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1239 – LIVRO 7 – FOLHA 39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NATIONAL DRIVING LICENCE (CARTEIRA NACIONAL DE HABILITAÇÃO)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Portuguese → English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 w:val="false"/>
          <w:bCs w:val="false"/>
          <w:sz w:val="20"/>
          <w:szCs w:val="20"/>
        </w:rPr>
        <w:t xml:space="preserve">[Coat of Arms]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/>
          <w:bCs/>
          <w:sz w:val="20"/>
          <w:szCs w:val="20"/>
        </w:rPr>
        <w:t xml:space="preserve">FICTITIOUS REPUBLIC OF BRAZIL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/>
          <w:bCs/>
          <w:sz w:val="20"/>
          <w:szCs w:val="20"/>
        </w:rPr>
        <w:t xml:space="preserve">FICTITIOUS MINISTRY OF TRANSPORT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/>
          <w:bCs/>
          <w:sz w:val="20"/>
          <w:szCs w:val="20"/>
        </w:rPr>
        <w:t xml:space="preserve">NATIONAL DRIVING LICENCE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 w:val="false"/>
          <w:bCs w:val="false"/>
          <w:sz w:val="20"/>
          <w:szCs w:val="20"/>
        </w:rPr>
        <w:t xml:space="preserve">State Department of Fictitious State Transit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3446"/>
        <w:gridCol w:w="5580"/>
      </w:tblGrid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BEATRIZ SOUZA MONTEIRO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Doc. Identity / Org. emitter / UF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00.555.222-3 SSP SC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CPF (Brazilian Individual Taxpayer Registry)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000.555.222-00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July 27, 2011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Filiation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FERNANDO MONTEIRO LIMA CAROLINA SOUZA MONTEIRO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No. Registration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00002123452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Validity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July 5, 2031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1st license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March 12, 2019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A – Mandatory use of corrective lenses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Place of issue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Serra Clara, SC</w:t>
            </w:r>
          </w:p>
        </w:tc>
      </w:tr>
      <w:tr>
        <w:trPr>
          <w:cantSplit/>
        </w:trPr>
        <w:tc>
          <w:tcPr>
            <w:tcW w:w="3446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w="558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 Light" w:hAnsi="Calibri Light" w:cs="Calibri Light" w:eastAsia="Calibri Light"/>
                <w:b w:val="false"/>
                <w:bCs w:val="false"/>
                <w:sz w:val="20"/>
                <w:szCs w:val="20"/>
              </w:rPr>
              <w:t xml:space="preserve">July 5, 2021</w:t>
            </w:r>
          </w:p>
        </w:tc>
      </w:tr>
    </w:tbl>
    <w:p>
      <w:pPr>
        <w:spacing w:after="80"/>
        <w:jc w:val="both"/>
      </w:pPr>
    </w:p>
    <w:p>
      <w:pPr>
        <w:spacing w:after="80"/>
        <w:jc w:val="both"/>
      </w:pPr>
      <w:r>
        <w:rPr>
          <w:rFonts w:ascii="Calibri Light" w:hAnsi="Calibri Light" w:cs="Calibri Light" w:eastAsia="Calibri Light"/>
          <w:b w:val="false"/>
          <w:bCs w:val="false"/>
          <w:sz w:val="20"/>
          <w:szCs w:val="20"/>
        </w:rPr>
        <w:t xml:space="preserve">Mandatory document when driving a motor vehicle. Valid as an identification document throughout the national territory.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 w:val="false"/>
          <w:bCs w:val="false"/>
          <w:sz w:val="20"/>
          <w:szCs w:val="20"/>
        </w:rPr>
        <w:t xml:space="preserve">FICTITIOUS DIRECTOR OF THE DMV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 w:val="false"/>
          <w:bCs w:val="false"/>
          <w:sz w:val="20"/>
          <w:szCs w:val="20"/>
        </w:rPr>
        <w:t xml:space="preserve">Organisation</w:t>
      </w:r>
    </w:p>
    <w:p>
      <w:pPr>
        <w:spacing w:after="80"/>
        <w:jc w:val="left"/>
      </w:pPr>
      <w:r>
        <w:rPr>
          <w:rFonts w:ascii="Calibri Light" w:hAnsi="Calibri Light" w:cs="Calibri Light" w:eastAsia="Calibri Light"/>
          <w:b w:val="false"/>
          <w:bCs w:val="false"/>
          <w:sz w:val="20"/>
          <w:szCs w:val="20"/>
        </w:rPr>
        <w:t xml:space="preserve">[Watermark: FICTITIOUS DOCUMENT – TEST MODEL]</w:t>
      </w:r>
    </w:p>
    <w:p>
      <w:pPr>
        <w:spacing w:after="80"/>
        <w:jc w:val="center"/>
      </w:pPr>
      <w:r>
        <w:rPr>
          <w:rFonts w:ascii="Calibri Light" w:hAnsi="Calibri Light" w:cs="Calibri Light" w:eastAsia="Calibri Light"/>
          <w:b w:val="false"/>
          <w:bCs w:val="false"/>
          <w:sz w:val="20"/>
          <w:szCs w:val="20"/>
        </w:rPr>
        <w:t xml:space="preserve">Simulated document for translation system testing. No legal validity.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October 21,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