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BANQUE FICTIVE S.A.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FACTURE PAR CARTE DE CRÉDIT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119"/>
        <w:gridCol w:w="6519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Titulaire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BEATRIZ SOUZA MONTEIRO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Carte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0000 •••• •••• 0022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Résultat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 décembre 2025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Montant total de la facture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R$ 574,80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Paiement minimum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R$ 86,22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Montant total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R$ 3.500,00</w:t>
            </w:r>
          </w:p>
        </w:tc>
      </w:tr>
    </w:tbl>
    <w:p>
      <w:pPr>
        <w:spacing w:after="120" w:before="0" w:line="264"/>
        <w:jc w:val="left"/>
      </w:pP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PÉRIODE DE LANCEMENT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1020"/>
        <w:gridCol w:w="4539"/>
        <w:gridCol w:w="2260"/>
        <w:gridCol w:w="1820"/>
      </w:tblGrid>
      <w:tr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Désignation des marchandises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Ville</w:t>
            </w:r>
          </w:p>
        </w:tc>
        <w:tc>
          <w:tcPr>
            <w:gridSpan w:val="1"/>
            <w:shd w:fill="DFE6F1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Valeur (R$)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02/11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MERCADO VIZINHANÇA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SERRA CLARA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98,76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07/11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ACADEMIA CORPO EM FORMA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SERRA CLARA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129,90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13/11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PADARIA PÃO QUENTE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SERRA CLARA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23,50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20/11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ESCOLA DE IDIOMAS – PARC 03/12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SERRA CLARA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310,00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25/11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IOF COMPRA INTERNACIONAL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12,64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Frais en cas de retard: amende de 2,00% sur le montant en retard et intérêt de retard 1,00% par mois. Le paiement d'un montant inférieur au minimum est retardé. Intérêts rotatifs: 14,90% par mois (CET annuel de 427,91%).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Centre de service fictif: 0000 000 0000. Payez pour l'application ou toute agence.</w:t>
      </w:r>
    </w:p>
    <w:p>
      <w:pPr>
        <w:spacing w:after="200" w:before="0" w:line="264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[Filigrane: DOCUMENT FICTIF – MODÈLE D'ESSAI]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Document simulé pour l'essai du système de traduction. Aucune validité juridique.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PAR CARTE DE CRÉDIT</dc:title>
  <dc:creator>Un-named</dc:creator>
  <cp:lastModifiedBy>Un-named</cp:lastModifiedBy>
  <cp:revision>1</cp:revision>
  <dcterms:created xsi:type="dcterms:W3CDTF">2026-10-20T19:20:32.869Z</dcterms:created>
  <dcterms:modified xsi:type="dcterms:W3CDTF">2026-10-20T19:20:32.869Z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