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10E5A" w14:textId="77777777" w:rsidR="00D13DC0" w:rsidRDefault="001D16AF">
      <w:pPr>
        <w:spacing w:after="80"/>
        <w:jc w:val="center"/>
      </w:pPr>
      <w:r>
        <w:rPr>
          <w:rFonts w:ascii="Calibri" w:hAnsi="Calibri"/>
          <w:b/>
          <w:sz w:val="28"/>
        </w:rPr>
        <w:t>Referências Selecionadas — TalkEx TCC</w:t>
      </w:r>
    </w:p>
    <w:p w14:paraId="78206424" w14:textId="77777777" w:rsidR="00D13DC0" w:rsidRDefault="001D16AF">
      <w:pPr>
        <w:spacing w:after="280"/>
        <w:jc w:val="center"/>
      </w:pPr>
      <w:r>
        <w:rPr>
          <w:rFonts w:ascii="Calibri" w:hAnsi="Calibri"/>
          <w:i/>
          <w:sz w:val="20"/>
        </w:rPr>
        <w:t>5 artigos mais relevantes para citação | ordenados por relevância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97"/>
        <w:gridCol w:w="2721"/>
        <w:gridCol w:w="2041"/>
        <w:gridCol w:w="1814"/>
        <w:gridCol w:w="581"/>
        <w:gridCol w:w="2216"/>
        <w:gridCol w:w="4422"/>
      </w:tblGrid>
      <w:tr w:rsidR="00D13DC0" w14:paraId="06B6947B" w14:textId="77777777">
        <w:tc>
          <w:tcPr>
            <w:tcW w:w="397" w:type="dxa"/>
            <w:shd w:val="clear" w:color="auto" w:fill="1F4E79"/>
          </w:tcPr>
          <w:p w14:paraId="0DAEA3EE" w14:textId="77777777" w:rsidR="00D13DC0" w:rsidRDefault="001D16AF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br/>
              <w:t>#</w:t>
            </w:r>
          </w:p>
        </w:tc>
        <w:tc>
          <w:tcPr>
            <w:tcW w:w="2721" w:type="dxa"/>
            <w:shd w:val="clear" w:color="auto" w:fill="1F4E79"/>
          </w:tcPr>
          <w:p w14:paraId="7FD395D5" w14:textId="77777777" w:rsidR="00D13DC0" w:rsidRDefault="001D16AF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br/>
              <w:t>Título</w:t>
            </w:r>
          </w:p>
        </w:tc>
        <w:tc>
          <w:tcPr>
            <w:tcW w:w="2041" w:type="dxa"/>
            <w:shd w:val="clear" w:color="auto" w:fill="1F4E79"/>
          </w:tcPr>
          <w:p w14:paraId="73280B4E" w14:textId="77777777" w:rsidR="00D13DC0" w:rsidRDefault="001D16AF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br/>
              <w:t>Autores / Instituição</w:t>
            </w:r>
          </w:p>
        </w:tc>
        <w:tc>
          <w:tcPr>
            <w:tcW w:w="1814" w:type="dxa"/>
            <w:shd w:val="clear" w:color="auto" w:fill="1F4E79"/>
          </w:tcPr>
          <w:p w14:paraId="6246A426" w14:textId="77777777" w:rsidR="00D13DC0" w:rsidRDefault="001D16AF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br/>
              <w:t>Veículo / Base</w:t>
            </w:r>
          </w:p>
        </w:tc>
        <w:tc>
          <w:tcPr>
            <w:tcW w:w="510" w:type="dxa"/>
            <w:shd w:val="clear" w:color="auto" w:fill="1F4E79"/>
          </w:tcPr>
          <w:p w14:paraId="4B142689" w14:textId="77777777" w:rsidR="00D13DC0" w:rsidRDefault="001D16AF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br/>
              <w:t>Ano</w:t>
            </w:r>
          </w:p>
        </w:tc>
        <w:tc>
          <w:tcPr>
            <w:tcW w:w="1814" w:type="dxa"/>
            <w:shd w:val="clear" w:color="auto" w:fill="1F4E79"/>
          </w:tcPr>
          <w:p w14:paraId="5F1742B7" w14:textId="77777777" w:rsidR="00D13DC0" w:rsidRDefault="001D16AF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br/>
              <w:t>Link</w:t>
            </w:r>
          </w:p>
        </w:tc>
        <w:tc>
          <w:tcPr>
            <w:tcW w:w="4422" w:type="dxa"/>
            <w:shd w:val="clear" w:color="auto" w:fill="1F4E79"/>
          </w:tcPr>
          <w:p w14:paraId="1A67445E" w14:textId="77777777" w:rsidR="00D13DC0" w:rsidRDefault="001D16AF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br/>
              <w:t>Justificativa de Citação</w:t>
            </w:r>
          </w:p>
        </w:tc>
      </w:tr>
      <w:tr w:rsidR="00D13DC0" w14:paraId="728D8AD2" w14:textId="77777777">
        <w:tc>
          <w:tcPr>
            <w:tcW w:w="397" w:type="dxa"/>
            <w:shd w:val="clear" w:color="auto" w:fill="D6E4F0"/>
          </w:tcPr>
          <w:p w14:paraId="256AED5B" w14:textId="77777777" w:rsidR="00D13DC0" w:rsidRDefault="001D16AF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18"/>
              </w:rPr>
              <w:br/>
              <w:t>1</w:t>
            </w:r>
          </w:p>
        </w:tc>
        <w:tc>
          <w:tcPr>
            <w:tcW w:w="2721" w:type="dxa"/>
            <w:shd w:val="clear" w:color="auto" w:fill="D6E4F0"/>
          </w:tcPr>
          <w:p w14:paraId="12207827" w14:textId="77777777" w:rsidR="00D13DC0" w:rsidRDefault="001D16AF">
            <w:pPr>
              <w:spacing w:before="40" w:after="40"/>
            </w:pPr>
            <w:r>
              <w:rPr>
                <w:rFonts w:ascii="Calibri" w:hAnsi="Calibri"/>
                <w:sz w:val="18"/>
              </w:rPr>
              <w:br/>
            </w:r>
            <w:r>
              <w:rPr>
                <w:rFonts w:ascii="Calibri" w:hAnsi="Calibri"/>
                <w:sz w:val="18"/>
              </w:rPr>
              <w:t>Improved Intent Classification Based on Context Information Using a Windows-Based Approach</w:t>
            </w:r>
          </w:p>
        </w:tc>
        <w:tc>
          <w:tcPr>
            <w:tcW w:w="2041" w:type="dxa"/>
            <w:shd w:val="clear" w:color="auto" w:fill="D6E4F0"/>
          </w:tcPr>
          <w:p w14:paraId="02AE3D93" w14:textId="77777777" w:rsidR="00D13DC0" w:rsidRDefault="001D16AF">
            <w:pPr>
              <w:spacing w:before="40" w:after="40"/>
            </w:pPr>
            <w:r>
              <w:rPr>
                <w:rFonts w:ascii="Calibri" w:hAnsi="Calibri"/>
                <w:sz w:val="18"/>
              </w:rPr>
              <w:br/>
              <w:t>Farfan-Escobedo, J. D.; Dos Reis, J. C.</w:t>
            </w:r>
            <w:r>
              <w:rPr>
                <w:rFonts w:ascii="Calibri" w:hAnsi="Calibri"/>
                <w:sz w:val="18"/>
              </w:rPr>
              <w:br/>
              <w:t>UNICAMP — Campinas/SP</w:t>
            </w:r>
          </w:p>
        </w:tc>
        <w:tc>
          <w:tcPr>
            <w:tcW w:w="1814" w:type="dxa"/>
            <w:shd w:val="clear" w:color="auto" w:fill="D6E4F0"/>
          </w:tcPr>
          <w:p w14:paraId="717CD5DD" w14:textId="77777777" w:rsidR="00D13DC0" w:rsidRDefault="001D16AF">
            <w:pPr>
              <w:spacing w:before="40" w:after="40"/>
            </w:pPr>
            <w:r>
              <w:rPr>
                <w:rFonts w:ascii="Calibri" w:hAnsi="Calibri"/>
                <w:sz w:val="18"/>
              </w:rPr>
              <w:br/>
              <w:t>arXiv</w:t>
            </w:r>
            <w:r>
              <w:rPr>
                <w:rFonts w:ascii="Calibri" w:hAnsi="Calibri"/>
                <w:sz w:val="18"/>
              </w:rPr>
              <w:br/>
              <w:t>(arXiv:2411.06022)</w:t>
            </w:r>
          </w:p>
        </w:tc>
        <w:tc>
          <w:tcPr>
            <w:tcW w:w="510" w:type="dxa"/>
            <w:shd w:val="clear" w:color="auto" w:fill="D6E4F0"/>
          </w:tcPr>
          <w:p w14:paraId="5D257898" w14:textId="77777777" w:rsidR="00D13DC0" w:rsidRDefault="001D16AF">
            <w:pPr>
              <w:spacing w:before="40" w:after="40"/>
              <w:jc w:val="center"/>
            </w:pPr>
            <w:r>
              <w:rPr>
                <w:rFonts w:ascii="Calibri" w:hAnsi="Calibri"/>
                <w:sz w:val="18"/>
              </w:rPr>
              <w:br/>
              <w:t>2024</w:t>
            </w:r>
          </w:p>
        </w:tc>
        <w:tc>
          <w:tcPr>
            <w:tcW w:w="1814" w:type="dxa"/>
            <w:shd w:val="clear" w:color="auto" w:fill="D6E4F0"/>
          </w:tcPr>
          <w:p w14:paraId="019052FD" w14:textId="77777777" w:rsidR="00D13DC0" w:rsidRDefault="001D16AF">
            <w:pPr>
              <w:spacing w:before="40" w:after="40"/>
            </w:pPr>
            <w:r>
              <w:rPr>
                <w:rFonts w:ascii="Calibri" w:hAnsi="Calibri"/>
                <w:sz w:val="18"/>
              </w:rPr>
              <w:br/>
              <w:t>arxiv.org/abs/</w:t>
            </w:r>
            <w:r>
              <w:rPr>
                <w:rFonts w:ascii="Calibri" w:hAnsi="Calibri"/>
                <w:sz w:val="18"/>
              </w:rPr>
              <w:br/>
              <w:t>2411.06022</w:t>
            </w:r>
          </w:p>
        </w:tc>
        <w:tc>
          <w:tcPr>
            <w:tcW w:w="4422" w:type="dxa"/>
            <w:shd w:val="clear" w:color="auto" w:fill="D6E4F0"/>
          </w:tcPr>
          <w:p w14:paraId="18CC5961" w14:textId="77777777" w:rsidR="00D13DC0" w:rsidRDefault="001D16AF">
            <w:pPr>
              <w:spacing w:before="40" w:after="40"/>
            </w:pPr>
            <w:r>
              <w:rPr>
                <w:rFonts w:ascii="Calibri" w:hAnsi="Calibri"/>
                <w:sz w:val="18"/>
              </w:rPr>
              <w:br/>
              <w:t>Artigo mais diretamente comparável ao TalkEx: mesmo problema (intent classification multi-turno em PT-BR), usa janelas de contexto deslizantes com BERT sobre o Wavy Global Dataset (7.574 conversas reais em português brasileiro, 22 classes). Valida empiricamente a abordagem de contexto por turnos — base direta para H2 e para a escolha de sliding windows.</w:t>
            </w:r>
          </w:p>
        </w:tc>
      </w:tr>
      <w:tr w:rsidR="00D13DC0" w14:paraId="7BB2CAE2" w14:textId="77777777">
        <w:tc>
          <w:tcPr>
            <w:tcW w:w="397" w:type="dxa"/>
            <w:shd w:val="clear" w:color="auto" w:fill="FFFFFF"/>
          </w:tcPr>
          <w:p w14:paraId="3B13828D" w14:textId="77777777" w:rsidR="00D13DC0" w:rsidRDefault="001D16AF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18"/>
              </w:rPr>
              <w:br/>
              <w:t>2</w:t>
            </w:r>
          </w:p>
        </w:tc>
        <w:tc>
          <w:tcPr>
            <w:tcW w:w="2721" w:type="dxa"/>
            <w:shd w:val="clear" w:color="auto" w:fill="FFFFFF"/>
          </w:tcPr>
          <w:p w14:paraId="76843ECD" w14:textId="77777777" w:rsidR="00D13DC0" w:rsidRDefault="001D16AF">
            <w:pPr>
              <w:spacing w:before="40" w:after="40"/>
            </w:pPr>
            <w:r>
              <w:rPr>
                <w:rFonts w:ascii="Calibri" w:hAnsi="Calibri"/>
                <w:sz w:val="18"/>
              </w:rPr>
              <w:br/>
              <w:t>JurisTCU: A Brazilian Portuguese Information Retrieval Dataset with Query Relevance Judgments</w:t>
            </w:r>
          </w:p>
        </w:tc>
        <w:tc>
          <w:tcPr>
            <w:tcW w:w="2041" w:type="dxa"/>
            <w:shd w:val="clear" w:color="auto" w:fill="FFFFFF"/>
          </w:tcPr>
          <w:p w14:paraId="4A6A27AC" w14:textId="77777777" w:rsidR="00D13DC0" w:rsidRDefault="001D16AF">
            <w:pPr>
              <w:spacing w:before="40" w:after="40"/>
            </w:pPr>
            <w:r>
              <w:rPr>
                <w:rFonts w:ascii="Calibri" w:hAnsi="Calibri"/>
                <w:sz w:val="18"/>
              </w:rPr>
              <w:br/>
              <w:t>Fernandes, L. C. et al.</w:t>
            </w:r>
            <w:r>
              <w:rPr>
                <w:rFonts w:ascii="Calibri" w:hAnsi="Calibri"/>
                <w:sz w:val="18"/>
              </w:rPr>
              <w:br/>
            </w:r>
            <w:r>
              <w:rPr>
                <w:rFonts w:ascii="Calibri" w:hAnsi="Calibri"/>
                <w:sz w:val="18"/>
              </w:rPr>
              <w:t>Câmara dos Deputados + TCU — Brasília/DF</w:t>
            </w:r>
          </w:p>
        </w:tc>
        <w:tc>
          <w:tcPr>
            <w:tcW w:w="1814" w:type="dxa"/>
            <w:shd w:val="clear" w:color="auto" w:fill="FFFFFF"/>
          </w:tcPr>
          <w:p w14:paraId="6580CC38" w14:textId="77777777" w:rsidR="00D13DC0" w:rsidRDefault="001D16AF">
            <w:pPr>
              <w:spacing w:before="40" w:after="40"/>
            </w:pPr>
            <w:r>
              <w:rPr>
                <w:rFonts w:ascii="Calibri" w:hAnsi="Calibri"/>
                <w:sz w:val="18"/>
              </w:rPr>
              <w:br/>
              <w:t>arXiv + Language Resources</w:t>
            </w:r>
            <w:r>
              <w:rPr>
                <w:rFonts w:ascii="Calibri" w:hAnsi="Calibri"/>
                <w:sz w:val="18"/>
              </w:rPr>
              <w:br/>
              <w:t>&amp; Evaluation (Springer)</w:t>
            </w:r>
            <w:r>
              <w:rPr>
                <w:rFonts w:ascii="Calibri" w:hAnsi="Calibri"/>
                <w:sz w:val="18"/>
              </w:rPr>
              <w:br/>
              <w:t>(arXiv:2503.08379)</w:t>
            </w:r>
          </w:p>
        </w:tc>
        <w:tc>
          <w:tcPr>
            <w:tcW w:w="510" w:type="dxa"/>
            <w:shd w:val="clear" w:color="auto" w:fill="FFFFFF"/>
          </w:tcPr>
          <w:p w14:paraId="19277F46" w14:textId="77777777" w:rsidR="00D13DC0" w:rsidRDefault="001D16AF">
            <w:pPr>
              <w:spacing w:before="40" w:after="40"/>
              <w:jc w:val="center"/>
            </w:pPr>
            <w:r>
              <w:rPr>
                <w:rFonts w:ascii="Calibri" w:hAnsi="Calibri"/>
                <w:sz w:val="18"/>
              </w:rPr>
              <w:br/>
              <w:t>2025</w:t>
            </w:r>
          </w:p>
        </w:tc>
        <w:tc>
          <w:tcPr>
            <w:tcW w:w="1814" w:type="dxa"/>
            <w:shd w:val="clear" w:color="auto" w:fill="FFFFFF"/>
          </w:tcPr>
          <w:p w14:paraId="1B4A6EBB" w14:textId="77777777" w:rsidR="00D13DC0" w:rsidRDefault="001D16AF">
            <w:pPr>
              <w:spacing w:before="40" w:after="40"/>
            </w:pPr>
            <w:r>
              <w:rPr>
                <w:rFonts w:ascii="Calibri" w:hAnsi="Calibri"/>
                <w:sz w:val="18"/>
              </w:rPr>
              <w:br/>
              <w:t>arxiv.org/abs/</w:t>
            </w:r>
            <w:r>
              <w:rPr>
                <w:rFonts w:ascii="Calibri" w:hAnsi="Calibri"/>
                <w:sz w:val="18"/>
              </w:rPr>
              <w:br/>
              <w:t>2503.08379</w:t>
            </w:r>
          </w:p>
        </w:tc>
        <w:tc>
          <w:tcPr>
            <w:tcW w:w="4422" w:type="dxa"/>
            <w:shd w:val="clear" w:color="auto" w:fill="FFFFFF"/>
          </w:tcPr>
          <w:p w14:paraId="1186CEA8" w14:textId="77777777" w:rsidR="00D13DC0" w:rsidRDefault="001D16AF">
            <w:pPr>
              <w:spacing w:before="40" w:after="40"/>
            </w:pPr>
            <w:r>
              <w:rPr>
                <w:rFonts w:ascii="Calibri" w:hAnsi="Calibri"/>
                <w:sz w:val="18"/>
              </w:rPr>
              <w:br/>
              <w:t>Avalia BM25, expansão de documentos e embeddings semânticos em corpus PT-BR com métricas idênticas ao TalkEx (nDCG@K, Recall@K, P@K). Evidencia que fusão léxico-semântica supera cada paradigma isolado — suporte empírico direto para H1 (recuperação híbrida). Autores de órgãos públicos federais brasileiros.</w:t>
            </w:r>
          </w:p>
        </w:tc>
      </w:tr>
      <w:tr w:rsidR="00D13DC0" w14:paraId="0D7CE581" w14:textId="77777777">
        <w:tc>
          <w:tcPr>
            <w:tcW w:w="397" w:type="dxa"/>
            <w:shd w:val="clear" w:color="auto" w:fill="D6E4F0"/>
          </w:tcPr>
          <w:p w14:paraId="151E47BA" w14:textId="77777777" w:rsidR="00D13DC0" w:rsidRDefault="001D16AF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18"/>
              </w:rPr>
              <w:br/>
              <w:t>3</w:t>
            </w:r>
          </w:p>
        </w:tc>
        <w:tc>
          <w:tcPr>
            <w:tcW w:w="2721" w:type="dxa"/>
            <w:shd w:val="clear" w:color="auto" w:fill="D6E4F0"/>
          </w:tcPr>
          <w:p w14:paraId="45B2555B" w14:textId="77777777" w:rsidR="00D13DC0" w:rsidRDefault="001D16AF">
            <w:pPr>
              <w:spacing w:before="40" w:after="40"/>
            </w:pPr>
            <w:r>
              <w:rPr>
                <w:rFonts w:ascii="Calibri" w:hAnsi="Calibri"/>
                <w:sz w:val="18"/>
              </w:rPr>
              <w:br/>
              <w:t>BERT Models for Brazilian Portuguese: Pretraining, Evaluation and Tokenization Analysis</w:t>
            </w:r>
          </w:p>
        </w:tc>
        <w:tc>
          <w:tcPr>
            <w:tcW w:w="2041" w:type="dxa"/>
            <w:shd w:val="clear" w:color="auto" w:fill="D6E4F0"/>
          </w:tcPr>
          <w:p w14:paraId="65815308" w14:textId="77777777" w:rsidR="00D13DC0" w:rsidRDefault="001D16AF">
            <w:pPr>
              <w:spacing w:before="40" w:after="40"/>
            </w:pPr>
            <w:r>
              <w:rPr>
                <w:rFonts w:ascii="Calibri" w:hAnsi="Calibri"/>
                <w:sz w:val="18"/>
              </w:rPr>
              <w:br/>
              <w:t>Souza, F. C.; Nogueira, R. F.; Lotufo, R. A.</w:t>
            </w:r>
            <w:r>
              <w:rPr>
                <w:rFonts w:ascii="Calibri" w:hAnsi="Calibri"/>
                <w:sz w:val="18"/>
              </w:rPr>
              <w:br/>
              <w:t>NeuralMind / UNICAMP</w:t>
            </w:r>
          </w:p>
        </w:tc>
        <w:tc>
          <w:tcPr>
            <w:tcW w:w="1814" w:type="dxa"/>
            <w:shd w:val="clear" w:color="auto" w:fill="D6E4F0"/>
          </w:tcPr>
          <w:p w14:paraId="2D5B44FB" w14:textId="77777777" w:rsidR="00D13DC0" w:rsidRDefault="001D16AF">
            <w:pPr>
              <w:spacing w:before="40" w:after="40"/>
            </w:pPr>
            <w:r>
              <w:rPr>
                <w:rFonts w:ascii="Calibri" w:hAnsi="Calibri"/>
                <w:sz w:val="18"/>
              </w:rPr>
              <w:br/>
              <w:t>Neurocomputing</w:t>
            </w:r>
            <w:r>
              <w:rPr>
                <w:rFonts w:ascii="Calibri" w:hAnsi="Calibri"/>
                <w:sz w:val="18"/>
              </w:rPr>
              <w:br/>
              <w:t>(Elsevier — ScienceDirect)</w:t>
            </w:r>
            <w:r>
              <w:rPr>
                <w:rFonts w:ascii="Calibri" w:hAnsi="Calibri"/>
                <w:sz w:val="18"/>
              </w:rPr>
              <w:br/>
              <w:t>ISSN 0925-2312</w:t>
            </w:r>
          </w:p>
        </w:tc>
        <w:tc>
          <w:tcPr>
            <w:tcW w:w="510" w:type="dxa"/>
            <w:shd w:val="clear" w:color="auto" w:fill="D6E4F0"/>
          </w:tcPr>
          <w:p w14:paraId="21721A51" w14:textId="77777777" w:rsidR="00D13DC0" w:rsidRDefault="001D16AF">
            <w:pPr>
              <w:spacing w:before="40" w:after="40"/>
              <w:jc w:val="center"/>
            </w:pPr>
            <w:r>
              <w:rPr>
                <w:rFonts w:ascii="Calibri" w:hAnsi="Calibri"/>
                <w:sz w:val="18"/>
              </w:rPr>
              <w:br/>
              <w:t>2023</w:t>
            </w:r>
          </w:p>
        </w:tc>
        <w:tc>
          <w:tcPr>
            <w:tcW w:w="1814" w:type="dxa"/>
            <w:shd w:val="clear" w:color="auto" w:fill="D6E4F0"/>
          </w:tcPr>
          <w:p w14:paraId="316853B1" w14:textId="77777777" w:rsidR="00D13DC0" w:rsidRDefault="001D16AF">
            <w:pPr>
              <w:spacing w:before="40" w:after="40"/>
            </w:pPr>
            <w:r>
              <w:rPr>
                <w:rFonts w:ascii="Calibri" w:hAnsi="Calibri"/>
                <w:sz w:val="18"/>
              </w:rPr>
              <w:br/>
              <w:t>sciencedirect.com/science/</w:t>
            </w:r>
            <w:r>
              <w:rPr>
                <w:rFonts w:ascii="Calibri" w:hAnsi="Calibri"/>
                <w:sz w:val="18"/>
              </w:rPr>
              <w:br/>
              <w:t>article/pii/</w:t>
            </w:r>
            <w:r>
              <w:rPr>
                <w:rFonts w:ascii="Calibri" w:hAnsi="Calibri"/>
                <w:sz w:val="18"/>
              </w:rPr>
              <w:br/>
              <w:t>S1568494623009195</w:t>
            </w:r>
          </w:p>
        </w:tc>
        <w:tc>
          <w:tcPr>
            <w:tcW w:w="4422" w:type="dxa"/>
            <w:shd w:val="clear" w:color="auto" w:fill="D6E4F0"/>
          </w:tcPr>
          <w:p w14:paraId="0A5F84F8" w14:textId="77777777" w:rsidR="00D13DC0" w:rsidRDefault="001D16AF">
            <w:pPr>
              <w:spacing w:before="40" w:after="40"/>
            </w:pPr>
            <w:r>
              <w:rPr>
                <w:rFonts w:ascii="Calibri" w:hAnsi="Calibri"/>
                <w:sz w:val="18"/>
              </w:rPr>
              <w:br/>
            </w:r>
            <w:r>
              <w:rPr>
                <w:rFonts w:ascii="Calibri" w:hAnsi="Calibri"/>
                <w:sz w:val="18"/>
              </w:rPr>
              <w:t>Referência fundacional de embeddings para PT-BR (BERTimbau). Já citado no stage2_talkex.pdf. Esta versão journal é mais completa que a de conferência (BRACIS 2020) e inclui análise de tokenização. Necessária para justificar a escolha do MiniLM multilíngue congelado em detrimento do BERTimbau no TalkEx.</w:t>
            </w:r>
          </w:p>
        </w:tc>
      </w:tr>
      <w:tr w:rsidR="00D13DC0" w14:paraId="14A68778" w14:textId="77777777">
        <w:tc>
          <w:tcPr>
            <w:tcW w:w="397" w:type="dxa"/>
            <w:shd w:val="clear" w:color="auto" w:fill="FFFFFF"/>
          </w:tcPr>
          <w:p w14:paraId="0B7D3D50" w14:textId="77777777" w:rsidR="00D13DC0" w:rsidRDefault="001D16AF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18"/>
              </w:rPr>
              <w:br/>
              <w:t>4</w:t>
            </w:r>
          </w:p>
        </w:tc>
        <w:tc>
          <w:tcPr>
            <w:tcW w:w="2721" w:type="dxa"/>
            <w:shd w:val="clear" w:color="auto" w:fill="FFFFFF"/>
          </w:tcPr>
          <w:p w14:paraId="5EA5E96C" w14:textId="77777777" w:rsidR="00D13DC0" w:rsidRDefault="001D16AF">
            <w:pPr>
              <w:spacing w:before="40" w:after="40"/>
            </w:pPr>
            <w:r>
              <w:rPr>
                <w:rFonts w:ascii="Calibri" w:hAnsi="Calibri"/>
                <w:sz w:val="18"/>
              </w:rPr>
              <w:br/>
              <w:t>Automatic Question Classification in Portuguese: A Large-Scale Dataset and Comparative Evaluation of Classification Strategies</w:t>
            </w:r>
          </w:p>
        </w:tc>
        <w:tc>
          <w:tcPr>
            <w:tcW w:w="2041" w:type="dxa"/>
            <w:shd w:val="clear" w:color="auto" w:fill="FFFFFF"/>
          </w:tcPr>
          <w:p w14:paraId="1DF8B964" w14:textId="77777777" w:rsidR="00D13DC0" w:rsidRDefault="001D16AF">
            <w:pPr>
              <w:spacing w:before="40" w:after="40"/>
            </w:pPr>
            <w:r>
              <w:rPr>
                <w:rFonts w:ascii="Calibri" w:hAnsi="Calibri"/>
                <w:sz w:val="18"/>
              </w:rPr>
              <w:br/>
              <w:t>Boccardo, M.; Feltrim, V. D.</w:t>
            </w:r>
            <w:r>
              <w:rPr>
                <w:rFonts w:ascii="Calibri" w:hAnsi="Calibri"/>
                <w:sz w:val="18"/>
              </w:rPr>
              <w:br/>
              <w:t>Universidade Estadual de Maringá (UEM) — PR</w:t>
            </w:r>
          </w:p>
        </w:tc>
        <w:tc>
          <w:tcPr>
            <w:tcW w:w="1814" w:type="dxa"/>
            <w:shd w:val="clear" w:color="auto" w:fill="FFFFFF"/>
          </w:tcPr>
          <w:p w14:paraId="69ECED0B" w14:textId="77777777" w:rsidR="00D13DC0" w:rsidRDefault="001D16AF">
            <w:pPr>
              <w:spacing w:before="40" w:after="40"/>
            </w:pPr>
            <w:r>
              <w:rPr>
                <w:rFonts w:ascii="Calibri" w:hAnsi="Calibri"/>
                <w:sz w:val="18"/>
              </w:rPr>
              <w:br/>
            </w:r>
            <w:r>
              <w:rPr>
                <w:rFonts w:ascii="Calibri" w:hAnsi="Calibri"/>
                <w:sz w:val="18"/>
              </w:rPr>
              <w:t>PROPOR 2026</w:t>
            </w:r>
            <w:r>
              <w:rPr>
                <w:rFonts w:ascii="Calibri" w:hAnsi="Calibri"/>
                <w:sz w:val="18"/>
              </w:rPr>
              <w:br/>
              <w:t>(ACL Anthology)</w:t>
            </w:r>
            <w:r>
              <w:rPr>
                <w:rFonts w:ascii="Calibri" w:hAnsi="Calibri"/>
                <w:sz w:val="18"/>
              </w:rPr>
              <w:br/>
              <w:t>aclanthology.org/</w:t>
            </w:r>
            <w:r>
              <w:rPr>
                <w:rFonts w:ascii="Calibri" w:hAnsi="Calibri"/>
                <w:sz w:val="18"/>
              </w:rPr>
              <w:br/>
              <w:t>2026.propor-1.43</w:t>
            </w:r>
          </w:p>
        </w:tc>
        <w:tc>
          <w:tcPr>
            <w:tcW w:w="510" w:type="dxa"/>
            <w:shd w:val="clear" w:color="auto" w:fill="FFFFFF"/>
          </w:tcPr>
          <w:p w14:paraId="414EB648" w14:textId="77777777" w:rsidR="00D13DC0" w:rsidRDefault="001D16AF">
            <w:pPr>
              <w:spacing w:before="40" w:after="40"/>
              <w:jc w:val="center"/>
            </w:pPr>
            <w:r>
              <w:rPr>
                <w:rFonts w:ascii="Calibri" w:hAnsi="Calibri"/>
                <w:sz w:val="18"/>
              </w:rPr>
              <w:br/>
              <w:t>2026</w:t>
            </w:r>
          </w:p>
        </w:tc>
        <w:tc>
          <w:tcPr>
            <w:tcW w:w="1814" w:type="dxa"/>
            <w:shd w:val="clear" w:color="auto" w:fill="FFFFFF"/>
          </w:tcPr>
          <w:p w14:paraId="03B3C898" w14:textId="77777777" w:rsidR="00D13DC0" w:rsidRDefault="001D16AF">
            <w:pPr>
              <w:spacing w:before="40" w:after="40"/>
            </w:pPr>
            <w:r>
              <w:rPr>
                <w:rFonts w:ascii="Calibri" w:hAnsi="Calibri"/>
                <w:sz w:val="18"/>
              </w:rPr>
              <w:br/>
              <w:t>aclanthology.org/</w:t>
            </w:r>
            <w:r>
              <w:rPr>
                <w:rFonts w:ascii="Calibri" w:hAnsi="Calibri"/>
                <w:sz w:val="18"/>
              </w:rPr>
              <w:br/>
              <w:t>2026.propor-1.43/</w:t>
            </w:r>
          </w:p>
        </w:tc>
        <w:tc>
          <w:tcPr>
            <w:tcW w:w="4422" w:type="dxa"/>
            <w:shd w:val="clear" w:color="auto" w:fill="FFFFFF"/>
          </w:tcPr>
          <w:p w14:paraId="232319EE" w14:textId="77777777" w:rsidR="00D13DC0" w:rsidRDefault="001D16AF">
            <w:pPr>
              <w:spacing w:before="40" w:after="40"/>
            </w:pPr>
            <w:r>
              <w:rPr>
                <w:rFonts w:ascii="Calibri" w:hAnsi="Calibri"/>
                <w:sz w:val="18"/>
              </w:rPr>
              <w:br/>
              <w:t>Compara classificadores supervisionados (BERT, RoBERTa, SVM, LightGBM) em dataset PT-BR com Macro-F1 — metodologia análoga ao TalkEx. Publicado no PROPOR, principal conferência de PLN para português. Confirma que LightGBM é competitivo frente a transformers em tarefas de classificação PT-BR, apoiando H2 e H3.</w:t>
            </w:r>
          </w:p>
        </w:tc>
      </w:tr>
      <w:tr w:rsidR="00D13DC0" w14:paraId="749181F7" w14:textId="77777777">
        <w:tc>
          <w:tcPr>
            <w:tcW w:w="397" w:type="dxa"/>
            <w:shd w:val="clear" w:color="auto" w:fill="D6E4F0"/>
          </w:tcPr>
          <w:p w14:paraId="53A7CF6C" w14:textId="77777777" w:rsidR="00D13DC0" w:rsidRDefault="001D16AF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18"/>
              </w:rPr>
              <w:br/>
              <w:t>5</w:t>
            </w:r>
          </w:p>
        </w:tc>
        <w:tc>
          <w:tcPr>
            <w:tcW w:w="2721" w:type="dxa"/>
            <w:shd w:val="clear" w:color="auto" w:fill="D6E4F0"/>
          </w:tcPr>
          <w:p w14:paraId="67CD515A" w14:textId="77777777" w:rsidR="00D13DC0" w:rsidRDefault="001D16AF">
            <w:pPr>
              <w:spacing w:before="40" w:after="40"/>
            </w:pPr>
            <w:r>
              <w:rPr>
                <w:rFonts w:ascii="Calibri" w:hAnsi="Calibri"/>
                <w:sz w:val="18"/>
              </w:rPr>
              <w:br/>
              <w:t xml:space="preserve">Chatbot to Support Frequently </w:t>
            </w:r>
            <w:r>
              <w:rPr>
                <w:rFonts w:ascii="Calibri" w:hAnsi="Calibri"/>
                <w:sz w:val="18"/>
              </w:rPr>
              <w:lastRenderedPageBreak/>
              <w:t>Asked Questions from Students in Higher Education Institutions</w:t>
            </w:r>
          </w:p>
        </w:tc>
        <w:tc>
          <w:tcPr>
            <w:tcW w:w="2041" w:type="dxa"/>
            <w:shd w:val="clear" w:color="auto" w:fill="D6E4F0"/>
          </w:tcPr>
          <w:p w14:paraId="4AB6D1D8" w14:textId="77777777" w:rsidR="00D13DC0" w:rsidRDefault="001D16AF">
            <w:pPr>
              <w:spacing w:before="40" w:after="40"/>
            </w:pPr>
            <w:r>
              <w:rPr>
                <w:rFonts w:ascii="Calibri" w:hAnsi="Calibri"/>
                <w:sz w:val="18"/>
              </w:rPr>
              <w:lastRenderedPageBreak/>
              <w:br/>
              <w:t xml:space="preserve">Rodrigues Neto, J.; </w:t>
            </w:r>
            <w:r>
              <w:rPr>
                <w:rFonts w:ascii="Calibri" w:hAnsi="Calibri"/>
                <w:sz w:val="18"/>
              </w:rPr>
              <w:lastRenderedPageBreak/>
              <w:t>Miranda, P. B. C.;</w:t>
            </w:r>
            <w:r>
              <w:rPr>
                <w:rFonts w:ascii="Calibri" w:hAnsi="Calibri"/>
                <w:sz w:val="18"/>
              </w:rPr>
              <w:br/>
              <w:t>Mello, R. F.; Nascimento, A. C. A.</w:t>
            </w:r>
            <w:r>
              <w:rPr>
                <w:rFonts w:ascii="Calibri" w:hAnsi="Calibri"/>
                <w:sz w:val="18"/>
              </w:rPr>
              <w:br/>
              <w:t>UFRPE — Recife/PE</w:t>
            </w:r>
          </w:p>
        </w:tc>
        <w:tc>
          <w:tcPr>
            <w:tcW w:w="1814" w:type="dxa"/>
            <w:shd w:val="clear" w:color="auto" w:fill="D6E4F0"/>
          </w:tcPr>
          <w:p w14:paraId="629D37BD" w14:textId="77777777" w:rsidR="00D13DC0" w:rsidRDefault="001D16AF">
            <w:pPr>
              <w:spacing w:before="40" w:after="40"/>
            </w:pPr>
            <w:r>
              <w:rPr>
                <w:rFonts w:ascii="Calibri" w:hAnsi="Calibri"/>
                <w:sz w:val="18"/>
              </w:rPr>
              <w:lastRenderedPageBreak/>
              <w:br/>
              <w:t>ENIAC 2022</w:t>
            </w:r>
            <w:r>
              <w:rPr>
                <w:rFonts w:ascii="Calibri" w:hAnsi="Calibri"/>
                <w:sz w:val="18"/>
              </w:rPr>
              <w:br/>
            </w:r>
            <w:r>
              <w:rPr>
                <w:rFonts w:ascii="Calibri" w:hAnsi="Calibri"/>
                <w:sz w:val="18"/>
              </w:rPr>
              <w:lastRenderedPageBreak/>
              <w:t>(SOL/SBC)</w:t>
            </w:r>
            <w:r>
              <w:rPr>
                <w:rFonts w:ascii="Calibri" w:hAnsi="Calibri"/>
                <w:sz w:val="18"/>
              </w:rPr>
              <w:br/>
              <w:t>sol.sbc.org.br/eniac/</w:t>
            </w:r>
            <w:r>
              <w:rPr>
                <w:rFonts w:ascii="Calibri" w:hAnsi="Calibri"/>
                <w:sz w:val="18"/>
              </w:rPr>
              <w:br/>
              <w:t>article/view/22815</w:t>
            </w:r>
          </w:p>
        </w:tc>
        <w:tc>
          <w:tcPr>
            <w:tcW w:w="510" w:type="dxa"/>
            <w:shd w:val="clear" w:color="auto" w:fill="D6E4F0"/>
          </w:tcPr>
          <w:p w14:paraId="4470398F" w14:textId="77777777" w:rsidR="00D13DC0" w:rsidRDefault="001D16AF">
            <w:pPr>
              <w:spacing w:before="40" w:after="40"/>
              <w:jc w:val="center"/>
            </w:pPr>
            <w:r>
              <w:rPr>
                <w:rFonts w:ascii="Calibri" w:hAnsi="Calibri"/>
                <w:sz w:val="18"/>
              </w:rPr>
              <w:lastRenderedPageBreak/>
              <w:br/>
              <w:t>2022</w:t>
            </w:r>
          </w:p>
        </w:tc>
        <w:tc>
          <w:tcPr>
            <w:tcW w:w="1814" w:type="dxa"/>
            <w:shd w:val="clear" w:color="auto" w:fill="D6E4F0"/>
          </w:tcPr>
          <w:p w14:paraId="205CEC02" w14:textId="77777777" w:rsidR="00D13DC0" w:rsidRDefault="001D16AF">
            <w:pPr>
              <w:spacing w:before="40" w:after="40"/>
            </w:pPr>
            <w:r>
              <w:rPr>
                <w:rFonts w:ascii="Calibri" w:hAnsi="Calibri"/>
                <w:sz w:val="18"/>
              </w:rPr>
              <w:br/>
              <w:t>sol.sbc.org.br/index.php/</w:t>
            </w:r>
            <w:r>
              <w:rPr>
                <w:rFonts w:ascii="Calibri" w:hAnsi="Calibri"/>
                <w:sz w:val="18"/>
              </w:rPr>
              <w:br/>
            </w:r>
            <w:r>
              <w:rPr>
                <w:rFonts w:ascii="Calibri" w:hAnsi="Calibri"/>
                <w:sz w:val="18"/>
              </w:rPr>
              <w:lastRenderedPageBreak/>
              <w:t>eniac/article/view/22815</w:t>
            </w:r>
          </w:p>
        </w:tc>
        <w:tc>
          <w:tcPr>
            <w:tcW w:w="4422" w:type="dxa"/>
            <w:shd w:val="clear" w:color="auto" w:fill="D6E4F0"/>
          </w:tcPr>
          <w:p w14:paraId="27D6C007" w14:textId="77777777" w:rsidR="00D13DC0" w:rsidRDefault="001D16AF">
            <w:pPr>
              <w:spacing w:before="40" w:after="40"/>
            </w:pPr>
            <w:r>
              <w:rPr>
                <w:rFonts w:ascii="Calibri" w:hAnsi="Calibri"/>
                <w:sz w:val="18"/>
              </w:rPr>
              <w:lastRenderedPageBreak/>
              <w:br/>
            </w:r>
            <w:r>
              <w:rPr>
                <w:rFonts w:ascii="Calibri" w:hAnsi="Calibri"/>
                <w:sz w:val="18"/>
              </w:rPr>
              <w:t>Implementa NLU com classificação de intenções em PT-</w:t>
            </w:r>
            <w:r>
              <w:rPr>
                <w:rFonts w:ascii="Calibri" w:hAnsi="Calibri"/>
                <w:sz w:val="18"/>
              </w:rPr>
              <w:lastRenderedPageBreak/>
              <w:t>BR para atendimento universitário, documentando dificuldades de generalização em domínios específicos com corpus rotulado limitado — lacuna que o TalkEx também endereça. Publicado no ENIAC/SBC por pesquisadores brasileiros. Reforça a Justificativa e a Introdução do TCC.</w:t>
            </w:r>
          </w:p>
        </w:tc>
      </w:tr>
    </w:tbl>
    <w:p w14:paraId="177782F6" w14:textId="694F66C2" w:rsidR="00D13DC0" w:rsidRDefault="00D13DC0"/>
    <w:sectPr w:rsidR="00D13DC0" w:rsidSect="00034616">
      <w:pgSz w:w="16838" w:h="11906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8070595">
    <w:abstractNumId w:val="8"/>
  </w:num>
  <w:num w:numId="2" w16cid:durableId="2125532945">
    <w:abstractNumId w:val="6"/>
  </w:num>
  <w:num w:numId="3" w16cid:durableId="2142071869">
    <w:abstractNumId w:val="5"/>
  </w:num>
  <w:num w:numId="4" w16cid:durableId="859972106">
    <w:abstractNumId w:val="4"/>
  </w:num>
  <w:num w:numId="5" w16cid:durableId="191382811">
    <w:abstractNumId w:val="7"/>
  </w:num>
  <w:num w:numId="6" w16cid:durableId="1965382680">
    <w:abstractNumId w:val="3"/>
  </w:num>
  <w:num w:numId="7" w16cid:durableId="1344358613">
    <w:abstractNumId w:val="2"/>
  </w:num>
  <w:num w:numId="8" w16cid:durableId="35933967">
    <w:abstractNumId w:val="1"/>
  </w:num>
  <w:num w:numId="9" w16cid:durableId="277492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6AF"/>
    <w:rsid w:val="0029639D"/>
    <w:rsid w:val="00326F90"/>
    <w:rsid w:val="007F45AD"/>
    <w:rsid w:val="00AA1D8D"/>
    <w:rsid w:val="00B47730"/>
    <w:rsid w:val="00CB0664"/>
    <w:rsid w:val="00D13D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24212B9-0722-2146-BD9D-D9059A4F1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499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Cauê Leão</cp:lastModifiedBy>
  <cp:revision>2</cp:revision>
  <dcterms:created xsi:type="dcterms:W3CDTF">2013-12-23T23:15:00Z</dcterms:created>
  <dcterms:modified xsi:type="dcterms:W3CDTF">2026-04-21T14:22:00Z</dcterms:modified>
  <cp:category/>
</cp:coreProperties>
</file>