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7B537" w14:textId="77777777" w:rsidR="00241BEE" w:rsidRPr="00B1739D" w:rsidRDefault="00F03966">
      <w:pPr>
        <w:rPr>
          <w:b/>
          <w:sz w:val="28"/>
        </w:rPr>
      </w:pPr>
      <w:r w:rsidRPr="00B1739D">
        <w:rPr>
          <w:b/>
          <w:sz w:val="28"/>
        </w:rPr>
        <w:t>Introduction</w:t>
      </w:r>
    </w:p>
    <w:p w14:paraId="22AB4565" w14:textId="57EE7C73" w:rsidR="00627B62" w:rsidRDefault="00F03966">
      <w:r>
        <w:t>AWS was not founded by Amazon in 2006, but in 2002.</w:t>
      </w:r>
      <w:r w:rsidR="00AB1913">
        <w:t xml:space="preserve"> It’s only the cloud component that was introduced in </w:t>
      </w:r>
      <w:commentRangeStart w:id="0"/>
      <w:r w:rsidR="00AB1913">
        <w:t>2006</w:t>
      </w:r>
      <w:commentRangeEnd w:id="0"/>
      <w:r w:rsidR="00FE6257">
        <w:rPr>
          <w:rStyle w:val="CommentReference"/>
        </w:rPr>
        <w:commentReference w:id="0"/>
      </w:r>
      <w:r w:rsidR="00AB1913">
        <w:t>.</w:t>
      </w:r>
    </w:p>
    <w:p w14:paraId="0507B539" w14:textId="77777777" w:rsidR="00F03966" w:rsidRPr="00F03966" w:rsidRDefault="00F03966">
      <w:pPr>
        <w:rPr>
          <w:b/>
        </w:rPr>
      </w:pPr>
      <w:r w:rsidRPr="00B1739D">
        <w:rPr>
          <w:b/>
          <w:sz w:val="28"/>
        </w:rPr>
        <w:t>Structure</w:t>
      </w:r>
    </w:p>
    <w:p w14:paraId="0507B53A" w14:textId="77777777" w:rsidR="00F03966" w:rsidRDefault="00F03966">
      <w:r>
        <w:t xml:space="preserve">Just as there are sections about “Compute Services” and “Storage Services”, it is important to have a section reserved to “Orchestration Services” because they are the glue that keeps all other services </w:t>
      </w:r>
      <w:commentRangeStart w:id="1"/>
      <w:r>
        <w:t>together</w:t>
      </w:r>
      <w:commentRangeEnd w:id="1"/>
      <w:r w:rsidR="008C1B34">
        <w:rPr>
          <w:rStyle w:val="CommentReference"/>
        </w:rPr>
        <w:commentReference w:id="1"/>
      </w:r>
      <w:r>
        <w:t xml:space="preserve">. </w:t>
      </w:r>
    </w:p>
    <w:p w14:paraId="0507B53B" w14:textId="77777777" w:rsidR="00AB1913" w:rsidRPr="00B1739D" w:rsidRDefault="00AB1913" w:rsidP="00AB1913">
      <w:pPr>
        <w:rPr>
          <w:b/>
          <w:sz w:val="28"/>
        </w:rPr>
      </w:pPr>
      <w:r w:rsidRPr="00B1739D">
        <w:rPr>
          <w:b/>
          <w:sz w:val="28"/>
        </w:rPr>
        <w:t xml:space="preserve">Introduction to AWS </w:t>
      </w:r>
    </w:p>
    <w:p w14:paraId="0507B53C" w14:textId="77777777" w:rsidR="00AB1913" w:rsidRDefault="00AB1913" w:rsidP="00AB1913">
      <w:r w:rsidRPr="00AB1913">
        <w:t>Here</w:t>
      </w:r>
      <w:r>
        <w:t xml:space="preserve"> again, AWS was not founded by Amazon in 2006, but in 2002. . It’s only the cloud component that was introduced in 2006.</w:t>
      </w:r>
    </w:p>
    <w:p w14:paraId="0507B53D" w14:textId="77777777" w:rsidR="008E3A80" w:rsidRDefault="008E3A80" w:rsidP="00AB1913"/>
    <w:p w14:paraId="0507B53E" w14:textId="77777777" w:rsidR="008E3A80" w:rsidRPr="00B1739D" w:rsidRDefault="008E3A80" w:rsidP="00AB1913">
      <w:pPr>
        <w:rPr>
          <w:b/>
          <w:sz w:val="28"/>
        </w:rPr>
      </w:pPr>
      <w:r w:rsidRPr="00B1739D">
        <w:rPr>
          <w:b/>
          <w:sz w:val="28"/>
        </w:rPr>
        <w:t>Regions and availability zones</w:t>
      </w:r>
    </w:p>
    <w:p w14:paraId="0507B53F" w14:textId="77777777" w:rsidR="00AB1913" w:rsidRDefault="008E3A80" w:rsidP="00AB1913">
      <w:r>
        <w:t>The figure 1.3 on page 5 does not provide the accurate number of Regions and their associated AZ.</w:t>
      </w:r>
    </w:p>
    <w:p w14:paraId="0507B540" w14:textId="77777777" w:rsidR="008E3A80" w:rsidRDefault="008E3A80" w:rsidP="00AB1913">
      <w:r>
        <w:t xml:space="preserve">The correct list can be found on this link: </w:t>
      </w:r>
      <w:hyperlink r:id="rId8" w:history="1">
        <w:r w:rsidRPr="00B34C9D">
          <w:rPr>
            <w:rStyle w:val="Hyperlink"/>
          </w:rPr>
          <w:t>https://aws.amazon.com/about-aws/global-infrastructure/regions_az/</w:t>
        </w:r>
      </w:hyperlink>
    </w:p>
    <w:p w14:paraId="0507B541" w14:textId="77777777" w:rsidR="008E3A80" w:rsidRDefault="008E3A80" w:rsidP="00AB1913"/>
    <w:p w14:paraId="0507B542" w14:textId="77777777" w:rsidR="008E3A80" w:rsidRPr="00B1739D" w:rsidRDefault="00206C99" w:rsidP="00AB1913">
      <w:pPr>
        <w:rPr>
          <w:b/>
          <w:sz w:val="28"/>
        </w:rPr>
      </w:pPr>
      <w:r w:rsidRPr="00B1739D">
        <w:rPr>
          <w:b/>
          <w:sz w:val="28"/>
        </w:rPr>
        <w:t>Amazon Web Services</w:t>
      </w:r>
    </w:p>
    <w:p w14:paraId="0507B543" w14:textId="77777777" w:rsidR="00206C99" w:rsidRDefault="00206C99" w:rsidP="00AB1913">
      <w:r>
        <w:t xml:space="preserve">On page 6, the “Orchestration Services” should also be added to the list of offered </w:t>
      </w:r>
      <w:commentRangeStart w:id="2"/>
      <w:r>
        <w:t>services</w:t>
      </w:r>
      <w:commentRangeEnd w:id="2"/>
      <w:r w:rsidR="00F63E93">
        <w:rPr>
          <w:rStyle w:val="CommentReference"/>
        </w:rPr>
        <w:commentReference w:id="2"/>
      </w:r>
      <w:r>
        <w:t>.</w:t>
      </w:r>
    </w:p>
    <w:p w14:paraId="0507B544" w14:textId="77777777" w:rsidR="00206C99" w:rsidRPr="00B1739D" w:rsidRDefault="00206C99" w:rsidP="00AB1913">
      <w:pPr>
        <w:rPr>
          <w:b/>
          <w:sz w:val="28"/>
        </w:rPr>
      </w:pPr>
      <w:r w:rsidRPr="00B1739D">
        <w:rPr>
          <w:b/>
          <w:sz w:val="28"/>
        </w:rPr>
        <w:t xml:space="preserve">Compute services </w:t>
      </w:r>
    </w:p>
    <w:p w14:paraId="0507B545" w14:textId="77777777" w:rsidR="00B1739D" w:rsidRDefault="00206C99" w:rsidP="00AB1913">
      <w:r>
        <w:t xml:space="preserve">On page 7, EC2 and ECS are used interchangeably. It’s important to be consistent by using EC2 </w:t>
      </w:r>
      <w:r w:rsidR="00B1739D">
        <w:t xml:space="preserve">especially because there is not explaining given the meaning of </w:t>
      </w:r>
      <w:commentRangeStart w:id="3"/>
      <w:r w:rsidR="00B1739D">
        <w:t>ECS</w:t>
      </w:r>
      <w:commentRangeEnd w:id="3"/>
      <w:r w:rsidR="00C95D85">
        <w:rPr>
          <w:rStyle w:val="CommentReference"/>
        </w:rPr>
        <w:commentReference w:id="3"/>
      </w:r>
      <w:r w:rsidR="00B1739D">
        <w:t>.</w:t>
      </w:r>
    </w:p>
    <w:p w14:paraId="0507B546" w14:textId="77777777" w:rsidR="00206C99" w:rsidRPr="00AB1913" w:rsidRDefault="00B1739D" w:rsidP="00AB1913">
      <w:r>
        <w:t xml:space="preserve"> </w:t>
      </w:r>
    </w:p>
    <w:p w14:paraId="0507B547" w14:textId="77777777" w:rsidR="00F03966" w:rsidRDefault="0035158E">
      <w:pPr>
        <w:rPr>
          <w:b/>
          <w:sz w:val="28"/>
        </w:rPr>
      </w:pPr>
      <w:r w:rsidRPr="0035158E">
        <w:rPr>
          <w:b/>
          <w:sz w:val="28"/>
        </w:rPr>
        <w:t>Scalability and elasticity</w:t>
      </w:r>
    </w:p>
    <w:p w14:paraId="0507B548" w14:textId="77777777" w:rsidR="0035158E" w:rsidRDefault="00E217CF" w:rsidP="00E217CF">
      <w:pPr>
        <w:jc w:val="both"/>
      </w:pPr>
      <w:r w:rsidRPr="00E217CF">
        <w:t xml:space="preserve">On page 12 it’s said “As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w:t>
      </w:r>
      <w:commentRangeStart w:id="4"/>
      <w:r>
        <w:t>recently</w:t>
      </w:r>
      <w:commentRangeEnd w:id="4"/>
      <w:r w:rsidR="00A55589">
        <w:rPr>
          <w:rStyle w:val="CommentReference"/>
        </w:rPr>
        <w:commentReference w:id="4"/>
      </w:r>
      <w:r>
        <w:t xml:space="preserve">. </w:t>
      </w:r>
    </w:p>
    <w:p w14:paraId="0507B549" w14:textId="77777777" w:rsidR="00746DCB" w:rsidRDefault="00746DCB" w:rsidP="00E217CF">
      <w:pPr>
        <w:jc w:val="both"/>
        <w:rPr>
          <w:b/>
          <w:sz w:val="28"/>
        </w:rPr>
      </w:pPr>
      <w:r>
        <w:rPr>
          <w:b/>
          <w:sz w:val="28"/>
        </w:rPr>
        <w:lastRenderedPageBreak/>
        <w:t>Use cases</w:t>
      </w:r>
    </w:p>
    <w:p w14:paraId="0507B54A"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AWS's case studies provide …real-world examples, ranging from startups to enterprises”.</w:t>
      </w:r>
    </w:p>
    <w:p w14:paraId="0507B54B" w14:textId="77777777" w:rsidR="00746DCB" w:rsidRDefault="00746DCB" w:rsidP="00746DCB">
      <w:pPr>
        <w:autoSpaceDE w:val="0"/>
        <w:autoSpaceDN w:val="0"/>
        <w:adjustRightInd w:val="0"/>
        <w:spacing w:after="0" w:line="240" w:lineRule="auto"/>
        <w:rPr>
          <w:rFonts w:ascii="PalatinoLinotype-Roman" w:hAnsi="PalatinoLinotype-Roman" w:cs="PalatinoLinotype-Roman"/>
        </w:rPr>
      </w:pPr>
    </w:p>
    <w:p w14:paraId="0507B54C" w14:textId="77777777"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 xml:space="preserve">It would make more sense to say “…from startups to corporates…” because enterprise is not the opposite of startup. The majority of startups do operate at the enterprise level. And they deploy enterprise </w:t>
      </w:r>
      <w:commentRangeStart w:id="5"/>
      <w:r>
        <w:rPr>
          <w:rFonts w:ascii="PalatinoLinotype-Roman" w:hAnsi="PalatinoLinotype-Roman" w:cs="PalatinoLinotype-Roman"/>
        </w:rPr>
        <w:t>solutions</w:t>
      </w:r>
      <w:commentRangeEnd w:id="5"/>
      <w:r w:rsidR="00FC6556">
        <w:rPr>
          <w:rStyle w:val="CommentReference"/>
        </w:rPr>
        <w:commentReference w:id="5"/>
      </w:r>
      <w:r>
        <w:rPr>
          <w:rFonts w:ascii="PalatinoLinotype-Roman" w:hAnsi="PalatinoLinotype-Roman" w:cs="PalatinoLinotype-Roman"/>
        </w:rPr>
        <w:t>.</w:t>
      </w:r>
    </w:p>
    <w:p w14:paraId="0507B54D" w14:textId="77777777" w:rsidR="00F03966" w:rsidRDefault="00F03966">
      <w:pPr>
        <w:rPr>
          <w:rFonts w:ascii="PalatinoLinotype-Roman" w:hAnsi="PalatinoLinotype-Roman" w:cs="PalatinoLinotype-Roman"/>
        </w:rPr>
      </w:pPr>
    </w:p>
    <w:p w14:paraId="0507B54E" w14:textId="77777777" w:rsidR="00D52B68" w:rsidRPr="00FE2A86" w:rsidRDefault="00D52B68">
      <w:pPr>
        <w:rPr>
          <w:rFonts w:ascii="PalatinoLinotype-Roman" w:hAnsi="PalatinoLinotype-Roman" w:cs="PalatinoLinotype-Roman"/>
          <w:b/>
        </w:rPr>
      </w:pPr>
      <w:r w:rsidRPr="00FE2A86">
        <w:rPr>
          <w:rFonts w:ascii="PalatinoLinotype-Roman" w:hAnsi="PalatinoLinotype-Roman" w:cs="PalatinoLinotype-Roman"/>
          <w:b/>
        </w:rPr>
        <w:t>Conclusion</w:t>
      </w:r>
    </w:p>
    <w:p w14:paraId="0507B54F" w14:textId="77777777" w:rsidR="00D52B68" w:rsidRPr="00D52B68" w:rsidRDefault="00FE2A86">
      <w:pPr>
        <w:rPr>
          <w:rFonts w:ascii="PalatinoLinotype-Roman" w:hAnsi="PalatinoLinotype-Roman" w:cs="PalatinoLinotype-Roman"/>
        </w:rPr>
      </w:pPr>
      <w:r>
        <w:rPr>
          <w:rFonts w:ascii="PalatinoLinotype-Roman" w:hAnsi="PalatinoLinotype-Roman" w:cs="PalatinoLinotype-Roman"/>
        </w:rPr>
        <w:t xml:space="preserve">On page 18 it’s written “AWS Compute is a set of physical servers”. An AWS compute is just 1 unit of </w:t>
      </w:r>
      <w:commentRangeStart w:id="6"/>
      <w:r>
        <w:rPr>
          <w:rFonts w:ascii="PalatinoLinotype-Roman" w:hAnsi="PalatinoLinotype-Roman" w:cs="PalatinoLinotype-Roman"/>
        </w:rPr>
        <w:t>computation</w:t>
      </w:r>
      <w:commentRangeEnd w:id="6"/>
      <w:r w:rsidR="004B12C7">
        <w:rPr>
          <w:rStyle w:val="CommentReference"/>
        </w:rPr>
        <w:commentReference w:id="6"/>
      </w:r>
      <w:r>
        <w:rPr>
          <w:rFonts w:ascii="PalatinoLinotype-Roman" w:hAnsi="PalatinoLinotype-Roman" w:cs="PalatinoLinotype-Roman"/>
        </w:rPr>
        <w:t xml:space="preserve"> (1 server, node, or instance). It’s the AWS compute platform that can be considered as a set of servers.</w:t>
      </w:r>
    </w:p>
    <w:p w14:paraId="0507B550" w14:textId="77777777" w:rsidR="00F03966" w:rsidRPr="00D52B68" w:rsidRDefault="00F03966">
      <w:pPr>
        <w:rPr>
          <w:rFonts w:ascii="PalatinoLinotype-Roman" w:hAnsi="PalatinoLinotype-Roman" w:cs="PalatinoLinotype-Roman"/>
        </w:rPr>
      </w:pPr>
    </w:p>
    <w:p w14:paraId="0507B551" w14:textId="77777777" w:rsidR="00F03966" w:rsidRDefault="00F03966"/>
    <w:p w14:paraId="0507B552" w14:textId="77777777" w:rsidR="00F03966" w:rsidRDefault="00F03966"/>
    <w:p w14:paraId="0507B553" w14:textId="77777777" w:rsidR="00F03966" w:rsidRDefault="00F03966"/>
    <w:p w14:paraId="0507B554" w14:textId="77777777" w:rsidR="00F03966" w:rsidRDefault="00F03966"/>
    <w:p w14:paraId="0507B555" w14:textId="77777777" w:rsidR="00F03966" w:rsidRDefault="00F03966"/>
    <w:p w14:paraId="0507B556" w14:textId="77777777" w:rsidR="00F03966" w:rsidRDefault="00F03966"/>
    <w:p w14:paraId="0507B557" w14:textId="77777777" w:rsidR="00F03966" w:rsidRDefault="00F03966"/>
    <w:p w14:paraId="0507B558" w14:textId="77777777" w:rsidR="00F03966" w:rsidRDefault="00F03966"/>
    <w:p w14:paraId="0507B559" w14:textId="77777777" w:rsidR="00F03966" w:rsidRDefault="00F03966"/>
    <w:p w14:paraId="0507B55A" w14:textId="77777777" w:rsidR="00F03966" w:rsidRDefault="00F03966"/>
    <w:p w14:paraId="0507B55B" w14:textId="77777777" w:rsidR="00F03966" w:rsidRDefault="00F03966"/>
    <w:p w14:paraId="0507B55C" w14:textId="77777777" w:rsidR="00F03966" w:rsidRDefault="00F03966"/>
    <w:p w14:paraId="0507B55D" w14:textId="77777777" w:rsidR="00F03966" w:rsidRDefault="00F03966"/>
    <w:p w14:paraId="0507B55E" w14:textId="77777777" w:rsidR="00F03966" w:rsidRDefault="00F03966"/>
    <w:p w14:paraId="0507B55F" w14:textId="77777777" w:rsidR="00F03966" w:rsidRDefault="00F03966"/>
    <w:p w14:paraId="0507B560" w14:textId="77777777" w:rsidR="00F03966" w:rsidRDefault="00F03966"/>
    <w:p w14:paraId="0507B561" w14:textId="77777777" w:rsidR="00F03966" w:rsidRDefault="00F03966"/>
    <w:p w14:paraId="0507B562" w14:textId="77777777" w:rsidR="00F03966" w:rsidRDefault="00F03966"/>
    <w:sectPr w:rsidR="00F039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ulo H. Leocadio" w:date="2024-09-03T15:13:00Z" w:initials="PHML">
    <w:p w14:paraId="413D9F06" w14:textId="77777777" w:rsidR="00127C35" w:rsidRDefault="00FE6257" w:rsidP="00127C35">
      <w:pPr>
        <w:pStyle w:val="CommentText"/>
      </w:pPr>
      <w:r>
        <w:rPr>
          <w:rStyle w:val="CommentReference"/>
        </w:rPr>
        <w:annotationRef/>
      </w:r>
      <w:r w:rsidR="00127C35">
        <w:t>This is not historically accurate. Anyhow, I am replacing with public available sources and recounting their beginning to satisfy historical accuracy.</w:t>
      </w:r>
    </w:p>
  </w:comment>
  <w:comment w:id="1" w:author="Paulo H. Leocadio" w:date="2024-09-03T15:18:00Z" w:initials="PHML">
    <w:p w14:paraId="5042135E" w14:textId="77777777" w:rsidR="008C1B34" w:rsidRDefault="008C1B34" w:rsidP="008C1B34">
      <w:pPr>
        <w:pStyle w:val="CommentText"/>
      </w:pPr>
      <w:r>
        <w:rPr>
          <w:rStyle w:val="CommentReference"/>
        </w:rPr>
        <w:annotationRef/>
      </w:r>
      <w:r>
        <w:t>Even though today we have 3</w:t>
      </w:r>
      <w:r>
        <w:rPr>
          <w:vertAlign w:val="superscript"/>
        </w:rPr>
        <w:t>rd</w:t>
      </w:r>
      <w:r>
        <w:t xml:space="preserve"> party offerings like Automated Data Orchestration or AWS Orchestration Tool, AWS has moved away from one vertical orchestration service. Rather, and with the wide adoption of Kubernetes, serverless application and such, we have today a fully managed container orchestration called Container Orchestration Service. It is wrong though to make any connection of this Kubernetes/container specific service to the same atmosphere as Compute and Storage Services</w:t>
      </w:r>
    </w:p>
  </w:comment>
  <w:comment w:id="2" w:author="Paulo H. Leocadio" w:date="2024-09-03T15:25:00Z" w:initials="PHML">
    <w:p w14:paraId="3B4F697E" w14:textId="77777777" w:rsidR="00F63E93" w:rsidRDefault="00F63E93" w:rsidP="00F63E93">
      <w:pPr>
        <w:pStyle w:val="CommentText"/>
      </w:pPr>
      <w:r>
        <w:rPr>
          <w:rStyle w:val="CommentReference"/>
        </w:rPr>
        <w:annotationRef/>
      </w:r>
      <w:r>
        <w:t>As mentioned above, such service does not exist</w:t>
      </w:r>
    </w:p>
  </w:comment>
  <w:comment w:id="3" w:author="Paulo H. Leocadio" w:date="2024-09-03T15:28:00Z" w:initials="PHML">
    <w:p w14:paraId="57DF0162" w14:textId="77777777" w:rsidR="00C95D85" w:rsidRDefault="00C95D85" w:rsidP="00C95D85">
      <w:pPr>
        <w:pStyle w:val="CommentText"/>
      </w:pPr>
      <w:r>
        <w:rPr>
          <w:rStyle w:val="CommentReference"/>
        </w:rPr>
        <w:annotationRef/>
      </w:r>
      <w:r>
        <w:t xml:space="preserve">They are not the same, neither they are interchangeable: “AWS offers </w:t>
      </w:r>
      <w:r>
        <w:rPr>
          <w:b/>
          <w:bCs/>
        </w:rPr>
        <w:t>Elastic Compute Cloud</w:t>
      </w:r>
      <w:r>
        <w:t xml:space="preserve"> (</w:t>
      </w:r>
      <w:r>
        <w:rPr>
          <w:b/>
          <w:bCs/>
        </w:rPr>
        <w:t>EC2</w:t>
      </w:r>
      <w:r>
        <w:t xml:space="preserve">) for scalable virtual servers, Lambda for serverless computing, and </w:t>
      </w:r>
      <w:r>
        <w:rPr>
          <w:b/>
          <w:bCs/>
        </w:rPr>
        <w:t>Elastic Container Service</w:t>
      </w:r>
      <w:r>
        <w:t xml:space="preserve"> (</w:t>
      </w:r>
      <w:r>
        <w:rPr>
          <w:b/>
          <w:bCs/>
        </w:rPr>
        <w:t>ECS</w:t>
      </w:r>
      <w:r>
        <w:t>) for containerized applications, ensuring flexibility for diverse workloads”</w:t>
      </w:r>
    </w:p>
  </w:comment>
  <w:comment w:id="4" w:author="Paulo H. Leocadio" w:date="2024-09-03T15:57:00Z" w:initials="PHML">
    <w:p w14:paraId="25962125" w14:textId="77777777" w:rsidR="00A55589" w:rsidRDefault="00A55589" w:rsidP="00A55589">
      <w:pPr>
        <w:pStyle w:val="CommentText"/>
      </w:pPr>
      <w:r>
        <w:rPr>
          <w:rStyle w:val="CommentReference"/>
        </w:rPr>
        <w:annotationRef/>
      </w:r>
      <w:r>
        <w:t xml:space="preserve">“may not be correct” is not sufficient to disqualify the statement. I used references and the references are spelled out in the reference list. For example, moving away from my source (I used scholarly academic and AWS sources), here is a reference from medium.com: </w:t>
      </w:r>
      <w:hyperlink r:id="rId1" w:history="1">
        <w:r w:rsidRPr="00E422C3">
          <w:rPr>
            <w:rStyle w:val="Hyperlink"/>
          </w:rPr>
          <w:t>https://medium.com/@nalawade1000work/aws-day-4-high-availability-and-scaling-ft-load-balancers-4d6966e5067c#:~:text=Elastic%20Load%20Balancing%20(ELB)%3A,to%20accommodate%20the%20additional%20capacity</w:t>
        </w:r>
      </w:hyperlink>
      <w:r>
        <w:t>.</w:t>
      </w:r>
    </w:p>
  </w:comment>
  <w:comment w:id="5" w:author="Paulo H. Leocadio" w:date="2024-09-03T17:56:00Z" w:initials="PHML">
    <w:p w14:paraId="45D4DF2F" w14:textId="77777777" w:rsidR="00FC6556" w:rsidRDefault="00FC6556" w:rsidP="00FC6556">
      <w:pPr>
        <w:pStyle w:val="CommentText"/>
      </w:pPr>
      <w:r>
        <w:rPr>
          <w:rStyle w:val="CommentReference"/>
        </w:rPr>
        <w:annotationRef/>
      </w:r>
      <w:r>
        <w:t>Neither is start ups from, corporates, and if this was the case, it would be corporation. Anyhow, this is Gammarly and Editor checked and corrected under configuration “for business text”. Not being a technical review, I will rely on our Senior Editor to improve here, but corporates is not a alternative.</w:t>
      </w:r>
    </w:p>
  </w:comment>
  <w:comment w:id="6" w:author="Paulo H. Leocadio" w:date="2024-09-03T18:01:00Z" w:initials="PHML">
    <w:p w14:paraId="7EA4C96B" w14:textId="77777777" w:rsidR="004B12C7" w:rsidRDefault="004B12C7" w:rsidP="004B12C7">
      <w:pPr>
        <w:pStyle w:val="CommentText"/>
      </w:pPr>
      <w:r>
        <w:rPr>
          <w:rStyle w:val="CommentReference"/>
        </w:rPr>
        <w:annotationRef/>
      </w:r>
      <w:r>
        <w:t>Not it is not. I recommend checking AWS infrastructure, “How AWS Datacenters are Built”, among other relevant sources.</w:t>
      </w:r>
      <w:r>
        <w:br/>
      </w:r>
      <w:hyperlink r:id="rId2" w:history="1">
        <w:r w:rsidRPr="003E294C">
          <w:rPr>
            <w:rStyle w:val="Hyperlink"/>
          </w:rPr>
          <w:t>https://aws.amazon.com/products/compute/</w:t>
        </w:r>
      </w:hyperlink>
      <w:r>
        <w:br/>
      </w:r>
      <w:hyperlink r:id="rId3" w:history="1">
        <w:r w:rsidRPr="003E294C">
          <w:rPr>
            <w:rStyle w:val="Hyperlink"/>
          </w:rPr>
          <w:t>https://aws.amazon.com/what-is/compute/</w:t>
        </w:r>
      </w:hyperlink>
    </w:p>
    <w:p w14:paraId="12CFF87F" w14:textId="77777777" w:rsidR="004B12C7" w:rsidRDefault="004B12C7" w:rsidP="004B12C7">
      <w:pPr>
        <w:pStyle w:val="CommentText"/>
      </w:pPr>
    </w:p>
    <w:p w14:paraId="23C91D5F" w14:textId="77777777" w:rsidR="004B12C7" w:rsidRDefault="004B12C7" w:rsidP="004B12C7">
      <w:pPr>
        <w:pStyle w:val="CommentText"/>
      </w:pPr>
      <w:r>
        <w:t>From one side, it is not wrong because it is “a set”, but please go through the AWS documentation to understand what is the concept they are transmitting.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3D9F06" w15:done="0"/>
  <w15:commentEx w15:paraId="5042135E" w15:done="0"/>
  <w15:commentEx w15:paraId="3B4F697E" w15:done="0"/>
  <w15:commentEx w15:paraId="57DF0162" w15:done="0"/>
  <w15:commentEx w15:paraId="25962125" w15:done="0"/>
  <w15:commentEx w15:paraId="45D4DF2F" w15:done="0"/>
  <w15:commentEx w15:paraId="23C91D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EAC29A" w16cex:dateUtc="2024-09-03T19:13:00Z"/>
  <w16cex:commentExtensible w16cex:durableId="3C349323" w16cex:dateUtc="2024-09-03T19:18:00Z"/>
  <w16cex:commentExtensible w16cex:durableId="3D8EA94B" w16cex:dateUtc="2024-09-03T19:25:00Z"/>
  <w16cex:commentExtensible w16cex:durableId="3EC73036" w16cex:dateUtc="2024-09-03T19:28:00Z"/>
  <w16cex:commentExtensible w16cex:durableId="1A60CB29" w16cex:dateUtc="2024-09-03T19:57:00Z"/>
  <w16cex:commentExtensible w16cex:durableId="098C7491" w16cex:dateUtc="2024-09-03T21:56:00Z"/>
  <w16cex:commentExtensible w16cex:durableId="09AEF93B" w16cex:dateUtc="2024-09-03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3D9F06" w16cid:durableId="32EAC29A"/>
  <w16cid:commentId w16cid:paraId="5042135E" w16cid:durableId="3C349323"/>
  <w16cid:commentId w16cid:paraId="3B4F697E" w16cid:durableId="3D8EA94B"/>
  <w16cid:commentId w16cid:paraId="57DF0162" w16cid:durableId="3EC73036"/>
  <w16cid:commentId w16cid:paraId="25962125" w16cid:durableId="1A60CB29"/>
  <w16cid:commentId w16cid:paraId="45D4DF2F" w16cid:durableId="098C7491"/>
  <w16cid:commentId w16cid:paraId="23C91D5F" w16cid:durableId="09AEF9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BE"/>
    <w:rsid w:val="00127C35"/>
    <w:rsid w:val="00206C99"/>
    <w:rsid w:val="00241BEE"/>
    <w:rsid w:val="00272C9B"/>
    <w:rsid w:val="0035158E"/>
    <w:rsid w:val="004B12C7"/>
    <w:rsid w:val="00627B62"/>
    <w:rsid w:val="00746DCB"/>
    <w:rsid w:val="00787FA3"/>
    <w:rsid w:val="008C1B34"/>
    <w:rsid w:val="008E3A80"/>
    <w:rsid w:val="00A342BE"/>
    <w:rsid w:val="00A55589"/>
    <w:rsid w:val="00AA47BB"/>
    <w:rsid w:val="00AB1913"/>
    <w:rsid w:val="00B1739D"/>
    <w:rsid w:val="00C37331"/>
    <w:rsid w:val="00C95D85"/>
    <w:rsid w:val="00D52B68"/>
    <w:rsid w:val="00E217CF"/>
    <w:rsid w:val="00F03966"/>
    <w:rsid w:val="00F63E93"/>
    <w:rsid w:val="00FC6556"/>
    <w:rsid w:val="00FE2A86"/>
    <w:rsid w:val="00FE6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B537"/>
  <w15:docId w15:val="{ECCF60EB-3C3C-4AF3-BD3A-5DDDC34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Revision">
    <w:name w:val="Revision"/>
    <w:hidden/>
    <w:uiPriority w:val="99"/>
    <w:semiHidden/>
    <w:rsid w:val="00C37331"/>
    <w:pPr>
      <w:spacing w:after="0" w:line="240" w:lineRule="auto"/>
    </w:pPr>
  </w:style>
  <w:style w:type="character" w:styleId="CommentReference">
    <w:name w:val="annotation reference"/>
    <w:basedOn w:val="DefaultParagraphFont"/>
    <w:uiPriority w:val="99"/>
    <w:semiHidden/>
    <w:unhideWhenUsed/>
    <w:rsid w:val="00FE6257"/>
    <w:rPr>
      <w:sz w:val="16"/>
      <w:szCs w:val="16"/>
    </w:rPr>
  </w:style>
  <w:style w:type="paragraph" w:styleId="CommentText">
    <w:name w:val="annotation text"/>
    <w:basedOn w:val="Normal"/>
    <w:link w:val="CommentTextChar"/>
    <w:uiPriority w:val="99"/>
    <w:unhideWhenUsed/>
    <w:rsid w:val="00FE6257"/>
    <w:pPr>
      <w:spacing w:line="240" w:lineRule="auto"/>
    </w:pPr>
    <w:rPr>
      <w:sz w:val="20"/>
      <w:szCs w:val="20"/>
    </w:rPr>
  </w:style>
  <w:style w:type="character" w:customStyle="1" w:styleId="CommentTextChar">
    <w:name w:val="Comment Text Char"/>
    <w:basedOn w:val="DefaultParagraphFont"/>
    <w:link w:val="CommentText"/>
    <w:uiPriority w:val="99"/>
    <w:rsid w:val="00FE6257"/>
    <w:rPr>
      <w:sz w:val="20"/>
      <w:szCs w:val="20"/>
    </w:rPr>
  </w:style>
  <w:style w:type="paragraph" w:styleId="CommentSubject">
    <w:name w:val="annotation subject"/>
    <w:basedOn w:val="CommentText"/>
    <w:next w:val="CommentText"/>
    <w:link w:val="CommentSubjectChar"/>
    <w:uiPriority w:val="99"/>
    <w:semiHidden/>
    <w:unhideWhenUsed/>
    <w:rsid w:val="00FE6257"/>
    <w:rPr>
      <w:b/>
      <w:bCs/>
    </w:rPr>
  </w:style>
  <w:style w:type="character" w:customStyle="1" w:styleId="CommentSubjectChar">
    <w:name w:val="Comment Subject Char"/>
    <w:basedOn w:val="CommentTextChar"/>
    <w:link w:val="CommentSubject"/>
    <w:uiPriority w:val="99"/>
    <w:semiHidden/>
    <w:rsid w:val="00FE6257"/>
    <w:rPr>
      <w:b/>
      <w:bCs/>
      <w:sz w:val="20"/>
      <w:szCs w:val="20"/>
    </w:rPr>
  </w:style>
  <w:style w:type="character" w:styleId="FollowedHyperlink">
    <w:name w:val="FollowedHyperlink"/>
    <w:basedOn w:val="DefaultParagraphFont"/>
    <w:uiPriority w:val="99"/>
    <w:semiHidden/>
    <w:unhideWhenUsed/>
    <w:rsid w:val="00F63E93"/>
    <w:rPr>
      <w:color w:val="800080" w:themeColor="followedHyperlink"/>
      <w:u w:val="single"/>
    </w:rPr>
  </w:style>
  <w:style w:type="character" w:styleId="UnresolvedMention">
    <w:name w:val="Unresolved Mention"/>
    <w:basedOn w:val="DefaultParagraphFont"/>
    <w:uiPriority w:val="99"/>
    <w:semiHidden/>
    <w:unhideWhenUsed/>
    <w:rsid w:val="00A55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amazon.com/what-is/compute/" TargetMode="External"/><Relationship Id="rId2" Type="http://schemas.openxmlformats.org/officeDocument/2006/relationships/hyperlink" Target="https://aws.amazon.com/products/compute/" TargetMode="External"/><Relationship Id="rId1" Type="http://schemas.openxmlformats.org/officeDocument/2006/relationships/hyperlink" Target="https://medium.com/@nalawade1000work/aws-day-4-high-availability-and-scaling-ft-load-balancers-4d6966e5067c#:~:text=Elastic%20Load%20Balancing%20(ELB)%3A,to%20accommodate%20the%20additional%20capacit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aws.amazon.com/about-aws/global-infrastructure/regions_az/"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3198</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Paulo H. Leocadio</cp:lastModifiedBy>
  <cp:revision>19</cp:revision>
  <dcterms:created xsi:type="dcterms:W3CDTF">2024-08-27T15:53:00Z</dcterms:created>
  <dcterms:modified xsi:type="dcterms:W3CDTF">2024-09-03T22:01:00Z</dcterms:modified>
</cp:coreProperties>
</file>