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Amazon Corretto</w:t>
      </w:r>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lastRenderedPageBreak/>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xml:space="preserve">, </w:t>
      </w:r>
      <w:r w:rsidRPr="009F5D45">
        <w:lastRenderedPageBreak/>
        <w:t>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lastRenderedPageBreak/>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lastRenderedPageBreak/>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lastRenderedPageBreak/>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Corretto seamlessly integrates with various AWS services, providing a cohesive experience for Java developers building applications on the AWS platform. Whether deploying applications on Amazon EC2 instances or leveraging </w:t>
      </w:r>
      <w:r w:rsidRPr="00C664F4">
        <w:lastRenderedPageBreak/>
        <w:t>serverless computing with AWS Lambda, developers can rely on Corretto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3921F03A">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8A12F7">
      <w:pPr>
        <w:pStyle w:val="NormalBPBHEB"/>
        <w:numPr>
          <w:ilvl w:val="0"/>
          <w:numId w:val="9"/>
        </w:numPr>
      </w:pPr>
      <w:r w:rsidRPr="00C31CD4">
        <w:rPr>
          <w:b/>
          <w:bCs/>
        </w:rPr>
        <w:t>IaC</w:t>
      </w:r>
      <w:r w:rsidRPr="00C31CD4">
        <w:t xml:space="preserve">: </w:t>
      </w:r>
      <w:r w:rsidR="0082764C" w:rsidRPr="0082764C">
        <w:t xml:space="preserve">The AWS Cloud Control API is particularly beneficial in IaC scenarios, where developers define and manage infrastructure using code. By offering a unified API, it </w:t>
      </w:r>
      <w:r w:rsidR="0082764C" w:rsidRPr="0082764C">
        <w:lastRenderedPageBreak/>
        <w:t>enables the creation and management of AWS resources in a programmatic and version-controlled manner.</w:t>
      </w:r>
    </w:p>
    <w:p w14:paraId="672127F7" w14:textId="614C31C1" w:rsidR="00106C44" w:rsidRDefault="00106C44" w:rsidP="008A12F7">
      <w:pPr>
        <w:pStyle w:val="NormalBPBHEB"/>
        <w:numPr>
          <w:ilvl w:val="0"/>
          <w:numId w:val="9"/>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lastRenderedPageBreak/>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lastRenderedPageBreak/>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lastRenderedPageBreak/>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lastRenderedPageBreak/>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lastRenderedPageBreak/>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lastRenderedPageBreak/>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Leverage CodeCommit's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lastRenderedPageBreak/>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 xml:space="preserve">AWS CodePipeline is a fully managed CI/CD service that automates the end-to-end software release process. This section provides an in-depth exploration of AWS CodePipeline, covering </w:t>
      </w:r>
      <w:r w:rsidRPr="002F0A2A">
        <w:lastRenderedPageBreak/>
        <w:t>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lastRenderedPageBreak/>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lastRenderedPageBreak/>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lastRenderedPageBreak/>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8A12F7">
      <w:pPr>
        <w:pStyle w:val="NormalBPBHEB"/>
        <w:numPr>
          <w:ilvl w:val="0"/>
          <w:numId w:val="38"/>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lastRenderedPageBreak/>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lastRenderedPageBreak/>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w:t>
      </w:r>
      <w:r w:rsidRPr="00A66E30">
        <w:lastRenderedPageBreak/>
        <w:t xml:space="preserve">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8A12F7">
      <w:pPr>
        <w:pStyle w:val="NormalBPBHEB"/>
        <w:numPr>
          <w:ilvl w:val="0"/>
          <w:numId w:val="48"/>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217AF8E4" w14:textId="68051F95" w:rsidR="0011769E" w:rsidRDefault="005E1F90" w:rsidP="005E1F90">
      <w:pPr>
        <w:pStyle w:val="Heading1BPBHEB"/>
      </w:pPr>
      <w:commentRangeStart w:id="49"/>
      <w:r>
        <w:t>Conclusion</w:t>
      </w:r>
      <w:commentRangeEnd w:id="49"/>
      <w:r>
        <w:rPr>
          <w:rStyle w:val="CommentReference"/>
          <w:rFonts w:eastAsiaTheme="minorHAnsi" w:cstheme="minorBidi"/>
        </w:rPr>
        <w:commentReference w:id="49"/>
      </w: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 w:id="49" w:author="Suman Deshwal" w:date="2024-09-19T14:46:00Z" w:initials="SD">
    <w:p w14:paraId="279986EC" w14:textId="77777777" w:rsidR="005E1F90" w:rsidRDefault="005E1F90" w:rsidP="005E1F90">
      <w:r>
        <w:rPr>
          <w:rStyle w:val="CommentReference"/>
        </w:rPr>
        <w:annotationRef/>
      </w:r>
      <w:r>
        <w:rPr>
          <w:color w:val="000000"/>
          <w:sz w:val="20"/>
          <w:szCs w:val="20"/>
        </w:rPr>
        <w:t xml:space="preserve">please include the conclusion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Ex w15:paraId="2799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Extensible w16cex:durableId="4526C57D" w16cex:dateUtc="2024-09-19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Id w16cid:paraId="279986EC" w16cid:durableId="4526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4EFEC" w14:textId="77777777" w:rsidR="000E5A90" w:rsidRDefault="000E5A90" w:rsidP="005935FF">
      <w:pPr>
        <w:spacing w:after="0" w:line="240" w:lineRule="auto"/>
      </w:pPr>
      <w:r>
        <w:separator/>
      </w:r>
    </w:p>
  </w:endnote>
  <w:endnote w:type="continuationSeparator" w:id="0">
    <w:p w14:paraId="059D4F83" w14:textId="77777777" w:rsidR="000E5A90" w:rsidRDefault="000E5A90"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376C5" w14:textId="77777777" w:rsidR="000E5A90" w:rsidRDefault="000E5A90" w:rsidP="005935FF">
      <w:pPr>
        <w:spacing w:after="0" w:line="240" w:lineRule="auto"/>
      </w:pPr>
      <w:r>
        <w:separator/>
      </w:r>
    </w:p>
  </w:footnote>
  <w:footnote w:type="continuationSeparator" w:id="0">
    <w:p w14:paraId="3C7B3849" w14:textId="77777777" w:rsidR="000E5A90" w:rsidRDefault="000E5A90"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5A90"/>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AF1"/>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1F90"/>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09F"/>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8A2B0750-363C-4BC7-BED3-6A1175A0633B}"/>
</file>

<file path=customXml/itemProps4.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9701</Words>
  <Characters>55296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cp:revision>
  <dcterms:created xsi:type="dcterms:W3CDTF">2024-09-19T09:16:00Z</dcterms:created>
  <dcterms:modified xsi:type="dcterms:W3CDTF">2024-09-19T09:16:00Z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