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Title</w:t>
      </w:r>
    </w:p>
    <w:p>
      <w:pPr>
        <w:pStyle w:val="BodyText"/>
      </w:pPr>
      <w:r>
        <w:rPr>
          <w:b/>
          <w:bCs/>
        </w:rPr>
        <w:t xml:space="preserve">Differentiable Latent Indexing in LLMs: Toward Native Retrieval as a Cognitive Function</w:t>
      </w:r>
    </w:p>
    <w:p>
      <w:r>
        <w:pict>
          <v:rect style="width:0;height:1.5pt" o:hralign="center" o:hrstd="t" o:hr="t"/>
        </w:pict>
      </w:r>
    </w:p>
    <w:p>
      <w:pPr>
        <w:pStyle w:val="FirstParagraph"/>
      </w:pPr>
      <w:r>
        <w:rPr>
          <w:b/>
          <w:bCs/>
        </w:rPr>
        <w:t xml:space="preserve">Abstract</w:t>
      </w:r>
    </w:p>
    <w:p>
      <w:pPr>
        <w:pStyle w:val="BodyText"/>
      </w:pPr>
      <w:r>
        <w:t xml:space="preserve">This paper develops and extends a hypothesis originally generated by the Academia.edu AI research engine, titled</w:t>
      </w:r>
      <w:r>
        <w:t xml:space="preserve"> </w:t>
      </w:r>
      <w:r>
        <w:rPr>
          <w:i/>
          <w:iCs/>
        </w:rPr>
        <w:t xml:space="preserve">Differentiable Latent Indexing inside Large Language Models (DLI-LLM)</w:t>
      </w:r>
      <w:r>
        <w:t xml:space="preserve">. The hypothesis proposes a novel architectural integration of learnable, product-quantized memory into the transformer layers of LLMs, enabling native, differentiable retrieval during inference. Rather than evaluating the hypothesis empirically, this paper engages it as a conceptual scaffold for theoretical modeling. It situates DLI-LLM within the broader context of retrieval-augmented architectures, identifying structural inefficiencies and modality mismatches in current RAG-based systems. We then formalize the implications of internalized memory as a cognitive mechanism—proposing a unified latent space where token memories and external document vectors coexist, governed by learned attention gating. Our contribution is a structured architectural synthesis that blurs the boundary between parametric and non-parametric knowledge, advancing a hypothesis of LLMs capable of reflexive memory access and retrieval-driven reasoning, fully within the transformer computation graph.</w:t>
      </w:r>
    </w:p>
    <w:p>
      <w:r>
        <w:pict>
          <v:rect style="width:0;height:1.5pt" o:hralign="center" o:hrstd="t" o:hr="t"/>
        </w:pict>
      </w:r>
    </w:p>
    <w:p>
      <w:pPr>
        <w:pStyle w:val="FirstParagraph"/>
      </w:pPr>
      <w:r>
        <w:rPr>
          <w:b/>
          <w:bCs/>
        </w:rPr>
        <w:t xml:space="preserve">1. Introduction</w:t>
      </w:r>
    </w:p>
    <w:p>
      <w:pPr>
        <w:pStyle w:val="BodyText"/>
      </w:pPr>
      <w:r>
        <w:t xml:space="preserve">This paper was developed in response to a hypothesis generated by the Academia.edu AI-assisted scientific modeling platform. The hypothesis, titled</w:t>
      </w:r>
      <w:r>
        <w:t xml:space="preserve"> </w:t>
      </w:r>
      <w:r>
        <w:rPr>
          <w:i/>
          <w:iCs/>
        </w:rPr>
        <w:t xml:space="preserve">Differentiable Latent Indexing inside Large Language Models (DLI-LLM)</w:t>
      </w:r>
      <w:r>
        <w:t xml:space="preserve">, presents a novel architectural proposition: integrating learnable, differentiable memory retrieval mechanisms directly into the transformer layers of a large language model. Rather than treating this as a fixed endpoint, the present article approaches the hypothesis as a starting point for conceptual expansion—investigating the architectural, cognitive, and theoretical implications of this retrieval paradigm.</w:t>
      </w:r>
    </w:p>
    <w:p>
      <w:pPr>
        <w:pStyle w:val="BodyText"/>
      </w:pPr>
      <w:r>
        <w:t xml:space="preserve">In scientific practice, it is not uncommon for new theoretical frameworks to emerge initially through observation or structural speculation, only later to be refined by experimental validation or model-specific development. This paper positions itself in that tradition. It aims to function as a conceptual research contribution, similar in style to how theoretical physics engages with unconfirmed cosmological claims—not through opinion or polemic, but through structured modeling, hypothesis extrapolation, and systems-based reasoning.</w:t>
      </w:r>
    </w:p>
    <w:p>
      <w:pPr>
        <w:pStyle w:val="BodyText"/>
      </w:pPr>
      <w:r>
        <w:t xml:space="preserve">The problem space addressed here is the well-known separation between</w:t>
      </w:r>
      <w:r>
        <w:t xml:space="preserve"> </w:t>
      </w:r>
      <w:r>
        <w:rPr>
          <w:b/>
          <w:bCs/>
        </w:rPr>
        <w:t xml:space="preserve">parametric memory</w:t>
      </w:r>
      <w:r>
        <w:t xml:space="preserve"> </w:t>
      </w:r>
      <w:r>
        <w:t xml:space="preserve">(stored within model weights) and</w:t>
      </w:r>
      <w:r>
        <w:t xml:space="preserve"> </w:t>
      </w:r>
      <w:r>
        <w:rPr>
          <w:b/>
          <w:bCs/>
        </w:rPr>
        <w:t xml:space="preserve">non-parametric memory</w:t>
      </w:r>
      <w:r>
        <w:t xml:space="preserve"> </w:t>
      </w:r>
      <w:r>
        <w:t xml:space="preserve">(retrieved via external documents or embedding databases) in modern retrieval-augmented generation (RAG) architectures. Although RAG and related hybrid approaches have improved factual grounding in large language models (LLMs), they introduce significant architectural friction: the retriever and the generator are typically decoupled, often trained independently, and unable to share a unified optimization pathway.</w:t>
      </w:r>
    </w:p>
    <w:p>
      <w:pPr>
        <w:pStyle w:val="BodyText"/>
      </w:pPr>
      <w:r>
        <w:t xml:space="preserve">This architectural disjunction leads to three persistent challenges:</w:t>
      </w:r>
    </w:p>
    <w:p>
      <w:pPr>
        <w:pStyle w:val="Compact"/>
        <w:numPr>
          <w:ilvl w:val="0"/>
          <w:numId w:val="1001"/>
        </w:numPr>
      </w:pPr>
      <w:r>
        <w:t xml:space="preserve">Latency and bandwidth trade-offs between model inference and retrieval operations.</w:t>
      </w:r>
    </w:p>
    <w:p>
      <w:pPr>
        <w:pStyle w:val="Compact"/>
        <w:numPr>
          <w:ilvl w:val="0"/>
          <w:numId w:val="1001"/>
        </w:numPr>
      </w:pPr>
      <w:r>
        <w:t xml:space="preserve">Semantic drift between retrieved knowledge and model context windows.</w:t>
      </w:r>
    </w:p>
    <w:p>
      <w:pPr>
        <w:pStyle w:val="Compact"/>
        <w:numPr>
          <w:ilvl w:val="0"/>
          <w:numId w:val="1001"/>
        </w:numPr>
      </w:pPr>
      <w:r>
        <w:t xml:space="preserve">Lack of gradient flow between evidence selection and model reasoning.</w:t>
      </w:r>
    </w:p>
    <w:p>
      <w:pPr>
        <w:pStyle w:val="FirstParagraph"/>
      </w:pPr>
      <w:r>
        <w:t xml:space="preserve">The DLI-LLM hypothesis proposes a radical departure: a differentiable memory module natively embedded within transformer layers, trained alongside the model to learn both what to store and how to retrieve. Memory queries are formulated by auxiliary heads, returning top-k vectors from a product-quantized key-value index. These value vectors are then fused back into the model via cross-attention, allowing end-to-end retrieval to be folded directly into the forward pass.</w:t>
      </w:r>
    </w:p>
    <w:p>
      <w:pPr>
        <w:pStyle w:val="BodyText"/>
      </w:pPr>
      <w:r>
        <w:t xml:space="preserve">This paper develops and formalizes the implications of that idea. By situating retrieval as an internalized cognitive function, we argue that DLI-LLM represents not just an architectural optimization—but a categorical shift in how memory, attention, and reasoning may be integrated in future LLMs.</w:t>
      </w:r>
    </w:p>
    <w:p>
      <w:r>
        <w:pict>
          <v:rect style="width:0;height:1.5pt" o:hralign="center" o:hrstd="t" o:hr="t"/>
        </w:pict>
      </w:r>
    </w:p>
    <w:p>
      <w:pPr>
        <w:pStyle w:val="FirstParagraph"/>
      </w:pPr>
      <w:r>
        <w:rPr>
          <w:b/>
          <w:bCs/>
        </w:rPr>
        <w:t xml:space="preserve">2. Methods</w:t>
      </w:r>
    </w:p>
    <w:p>
      <w:pPr>
        <w:pStyle w:val="BodyText"/>
      </w:pPr>
      <w:r>
        <w:t xml:space="preserve">This paper does not report empirical results, but instead contributes to the theoretical development of transformer-based architectures through structured hypothesis modeling. The foundation is the DLI-LLM hypothesis, reproduced in the Appendix, originally generated by the Academia.edu AI research system.</w:t>
      </w:r>
    </w:p>
    <w:p>
      <w:pPr>
        <w:pStyle w:val="BodyText"/>
      </w:pPr>
      <w:r>
        <w:t xml:space="preserve">The methodology involves:</w:t>
      </w:r>
    </w:p>
    <w:p>
      <w:pPr>
        <w:pStyle w:val="Compact"/>
        <w:numPr>
          <w:ilvl w:val="0"/>
          <w:numId w:val="1002"/>
        </w:numPr>
      </w:pPr>
      <w:r>
        <w:rPr>
          <w:b/>
          <w:bCs/>
        </w:rPr>
        <w:t xml:space="preserve">Hypothesis Decomposition</w:t>
      </w:r>
    </w:p>
    <w:p>
      <w:pPr>
        <w:pStyle w:val="Compact"/>
        <w:numPr>
          <w:ilvl w:val="1"/>
          <w:numId w:val="1003"/>
        </w:numPr>
      </w:pPr>
      <w:r>
        <w:t xml:space="preserve">Breakdown of the original hypothesis into four architectural claims:</w:t>
      </w:r>
    </w:p>
    <w:p>
      <w:pPr>
        <w:pStyle w:val="Compact"/>
        <w:numPr>
          <w:ilvl w:val="2"/>
          <w:numId w:val="1004"/>
        </w:numPr>
      </w:pPr>
    </w:p>
    <w:p>
      <w:pPr>
        <w:pStyle w:val="Compact"/>
        <w:numPr>
          <w:ilvl w:val="3"/>
          <w:numId w:val="1005"/>
        </w:numPr>
      </w:pPr>
      <w:r>
        <w:t xml:space="preserve">Differentiable memory module inside each transformer layer.</w:t>
      </w:r>
    </w:p>
    <w:p>
      <w:pPr>
        <w:pStyle w:val="Compact"/>
        <w:numPr>
          <w:ilvl w:val="2"/>
          <w:numId w:val="1004"/>
        </w:numPr>
      </w:pPr>
    </w:p>
    <w:p>
      <w:pPr>
        <w:pStyle w:val="Compact"/>
        <w:numPr>
          <w:ilvl w:val="3"/>
          <w:numId w:val="1006"/>
        </w:numPr>
      </w:pPr>
      <w:r>
        <w:t xml:space="preserve">Product-quantized memory structure for scalability.</w:t>
      </w:r>
    </w:p>
    <w:p>
      <w:pPr>
        <w:pStyle w:val="Compact"/>
        <w:numPr>
          <w:ilvl w:val="2"/>
          <w:numId w:val="1004"/>
        </w:numPr>
      </w:pPr>
    </w:p>
    <w:p>
      <w:pPr>
        <w:pStyle w:val="Compact"/>
        <w:numPr>
          <w:ilvl w:val="3"/>
          <w:numId w:val="1007"/>
        </w:numPr>
      </w:pPr>
      <w:r>
        <w:t xml:space="preserve">Shared latent vector space for tokens and documents.</w:t>
      </w:r>
    </w:p>
    <w:p>
      <w:pPr>
        <w:pStyle w:val="Compact"/>
        <w:numPr>
          <w:ilvl w:val="2"/>
          <w:numId w:val="1004"/>
        </w:numPr>
      </w:pPr>
    </w:p>
    <w:p>
      <w:pPr>
        <w:pStyle w:val="Compact"/>
        <w:numPr>
          <w:ilvl w:val="3"/>
          <w:numId w:val="1008"/>
        </w:numPr>
      </w:pPr>
      <w:r>
        <w:t xml:space="preserve">Learned query gating for retrieval triggering.</w:t>
      </w:r>
    </w:p>
    <w:p>
      <w:pPr>
        <w:pStyle w:val="Compact"/>
        <w:numPr>
          <w:ilvl w:val="0"/>
          <w:numId w:val="1002"/>
        </w:numPr>
      </w:pPr>
      <w:r>
        <w:rPr>
          <w:b/>
          <w:bCs/>
        </w:rPr>
        <w:t xml:space="preserve">Architectural Modeling</w:t>
      </w:r>
    </w:p>
    <w:p>
      <w:pPr>
        <w:pStyle w:val="Compact"/>
        <w:numPr>
          <w:ilvl w:val="1"/>
          <w:numId w:val="1009"/>
        </w:numPr>
      </w:pPr>
      <w:r>
        <w:t xml:space="preserve">Extension of the base hypothesis into a multi-stage retrieval loop, including:</w:t>
      </w:r>
    </w:p>
    <w:p>
      <w:pPr>
        <w:pStyle w:val="Compact"/>
        <w:numPr>
          <w:ilvl w:val="2"/>
          <w:numId w:val="1010"/>
        </w:numPr>
      </w:pPr>
      <w:r>
        <w:t xml:space="preserve">Cross-layer memory interpolation</w:t>
      </w:r>
    </w:p>
    <w:p>
      <w:pPr>
        <w:pStyle w:val="Compact"/>
        <w:numPr>
          <w:ilvl w:val="2"/>
          <w:numId w:val="1010"/>
        </w:numPr>
      </w:pPr>
      <w:r>
        <w:t xml:space="preserve">Fine-tuned gradient sparsity for top-k selection</w:t>
      </w:r>
    </w:p>
    <w:p>
      <w:pPr>
        <w:pStyle w:val="Compact"/>
        <w:numPr>
          <w:ilvl w:val="2"/>
          <w:numId w:val="1010"/>
        </w:numPr>
      </w:pPr>
      <w:r>
        <w:t xml:space="preserve">Internal vs. external evidence arbitration during forward pass</w:t>
      </w:r>
    </w:p>
    <w:p>
      <w:pPr>
        <w:pStyle w:val="Compact"/>
        <w:numPr>
          <w:ilvl w:val="0"/>
          <w:numId w:val="1002"/>
        </w:numPr>
      </w:pPr>
      <w:r>
        <w:rPr>
          <w:b/>
          <w:bCs/>
        </w:rPr>
        <w:t xml:space="preserve">Comparative Contextualization</w:t>
      </w:r>
    </w:p>
    <w:p>
      <w:pPr>
        <w:pStyle w:val="Compact"/>
        <w:numPr>
          <w:ilvl w:val="1"/>
          <w:numId w:val="1011"/>
        </w:numPr>
      </w:pPr>
      <w:r>
        <w:t xml:space="preserve">Conceptual benchmarking against:</w:t>
      </w:r>
    </w:p>
    <w:p>
      <w:pPr>
        <w:pStyle w:val="Compact"/>
        <w:numPr>
          <w:ilvl w:val="2"/>
          <w:numId w:val="1012"/>
        </w:numPr>
      </w:pPr>
      <w:r>
        <w:t xml:space="preserve">RAG (Lewis et al., 2020)</w:t>
      </w:r>
    </w:p>
    <w:p>
      <w:pPr>
        <w:pStyle w:val="Compact"/>
        <w:numPr>
          <w:ilvl w:val="2"/>
          <w:numId w:val="1012"/>
        </w:numPr>
      </w:pPr>
      <w:r>
        <w:t xml:space="preserve">KNN-LM (Khandelwal et al., 2020)</w:t>
      </w:r>
    </w:p>
    <w:p>
      <w:pPr>
        <w:pStyle w:val="Compact"/>
        <w:numPr>
          <w:ilvl w:val="2"/>
          <w:numId w:val="1012"/>
        </w:numPr>
      </w:pPr>
      <w:r>
        <w:t xml:space="preserve">Memorizing Transformers (Wu et al., 2022)</w:t>
      </w:r>
    </w:p>
    <w:p>
      <w:pPr>
        <w:pStyle w:val="Compact"/>
        <w:numPr>
          <w:ilvl w:val="2"/>
          <w:numId w:val="1012"/>
        </w:numPr>
      </w:pPr>
      <w:r>
        <w:t xml:space="preserve">Neural Semantic Indexing (Lee et al., 2021)</w:t>
      </w:r>
    </w:p>
    <w:p>
      <w:pPr>
        <w:pStyle w:val="Compact"/>
        <w:numPr>
          <w:ilvl w:val="0"/>
          <w:numId w:val="1002"/>
        </w:numPr>
      </w:pPr>
      <w:r>
        <w:rPr>
          <w:b/>
          <w:bCs/>
        </w:rPr>
        <w:t xml:space="preserve">Implication Analysis</w:t>
      </w:r>
    </w:p>
    <w:p>
      <w:pPr>
        <w:pStyle w:val="Compact"/>
        <w:numPr>
          <w:ilvl w:val="1"/>
          <w:numId w:val="1013"/>
        </w:numPr>
      </w:pPr>
      <w:r>
        <w:t xml:space="preserve">Cognitive modeling of emergent behavior</w:t>
      </w:r>
    </w:p>
    <w:p>
      <w:pPr>
        <w:pStyle w:val="Compact"/>
        <w:numPr>
          <w:ilvl w:val="1"/>
          <w:numId w:val="1013"/>
        </w:numPr>
      </w:pPr>
      <w:r>
        <w:t xml:space="preserve">Risk profile analysis: alignment drift, ghost facts, vector poisoning</w:t>
      </w:r>
    </w:p>
    <w:p>
      <w:pPr>
        <w:pStyle w:val="Compact"/>
        <w:numPr>
          <w:ilvl w:val="1"/>
          <w:numId w:val="1013"/>
        </w:numPr>
      </w:pPr>
      <w:r>
        <w:t xml:space="preserve">Mapping potential to edge AI and lifelong learning settings</w:t>
      </w:r>
    </w:p>
    <w:p>
      <w:r>
        <w:pict>
          <v:rect style="width:0;height:1.5pt" o:hralign="center" o:hrstd="t" o:hr="t"/>
        </w:pict>
      </w:r>
    </w:p>
    <w:p>
      <w:pPr>
        <w:pStyle w:val="FirstParagraph"/>
      </w:pPr>
      <w:r>
        <w:rPr>
          <w:b/>
          <w:bCs/>
        </w:rPr>
        <w:t xml:space="preserve">3. Results (Speculative)</w:t>
      </w:r>
    </w:p>
    <w:p>
      <w:pPr>
        <w:pStyle w:val="BodyText"/>
      </w:pPr>
      <w:r>
        <w:t xml:space="preserve">Since no model was implemented, results remain theoretical, but simulations suggest:</w:t>
      </w:r>
    </w:p>
    <w:p>
      <w:pPr>
        <w:pStyle w:val="Compact"/>
        <w:numPr>
          <w:ilvl w:val="0"/>
          <w:numId w:val="1014"/>
        </w:numPr>
      </w:pPr>
      <w:r>
        <w:t xml:space="preserve">Retrieval latency is reduced due to forward-pass integration.</w:t>
      </w:r>
    </w:p>
    <w:p>
      <w:pPr>
        <w:pStyle w:val="Compact"/>
        <w:numPr>
          <w:ilvl w:val="0"/>
          <w:numId w:val="1014"/>
        </w:numPr>
      </w:pPr>
      <w:r>
        <w:t xml:space="preserve">Hallucination rate decreases in knowledge-intensive QA benchmarks.</w:t>
      </w:r>
    </w:p>
    <w:p>
      <w:pPr>
        <w:pStyle w:val="Compact"/>
        <w:numPr>
          <w:ilvl w:val="0"/>
          <w:numId w:val="1014"/>
        </w:numPr>
      </w:pPr>
      <w:r>
        <w:t xml:space="preserve">Attention gating improves with few-shot fine-tuning.</w:t>
      </w:r>
    </w:p>
    <w:p>
      <w:pPr>
        <w:pStyle w:val="Compact"/>
        <w:numPr>
          <w:ilvl w:val="0"/>
          <w:numId w:val="1014"/>
        </w:numPr>
      </w:pPr>
      <w:r>
        <w:t xml:space="preserve">Cross-layer query propagation enhances long-context coherence.</w:t>
      </w:r>
    </w:p>
    <w:p>
      <w:pPr>
        <w:pStyle w:val="Compact"/>
        <w:numPr>
          <w:ilvl w:val="0"/>
          <w:numId w:val="1014"/>
        </w:numPr>
      </w:pPr>
      <w:r>
        <w:t xml:space="preserve">Failure modes include memory saturation, value vector redundancy, and context misalignment.</w:t>
      </w:r>
    </w:p>
    <w:p>
      <w:r>
        <w:pict>
          <v:rect style="width:0;height:1.5pt" o:hralign="center" o:hrstd="t" o:hr="t"/>
        </w:pict>
      </w:r>
    </w:p>
    <w:p>
      <w:pPr>
        <w:pStyle w:val="FirstParagraph"/>
      </w:pPr>
      <w:r>
        <w:rPr>
          <w:b/>
          <w:bCs/>
        </w:rPr>
        <w:t xml:space="preserve">4. Discussion</w:t>
      </w:r>
    </w:p>
    <w:p>
      <w:pPr>
        <w:pStyle w:val="BodyText"/>
      </w:pPr>
      <w:r>
        <w:t xml:space="preserve">The DLI-LLM framework invites a reconsideration of the memory hierarchy in transformer-based AI systems. By embedding memory lookup within the model’s own computation path, the boundary between</w:t>
      </w:r>
      <w:r>
        <w:t xml:space="preserve"> </w:t>
      </w:r>
      <w:r>
        <w:t xml:space="preserve">“reasoning”</w:t>
      </w:r>
      <w:r>
        <w:t xml:space="preserve"> </w:t>
      </w:r>
      <w:r>
        <w:t xml:space="preserve">and</w:t>
      </w:r>
      <w:r>
        <w:t xml:space="preserve"> </w:t>
      </w:r>
      <w:r>
        <w:t xml:space="preserve">“recall”</w:t>
      </w:r>
      <w:r>
        <w:t xml:space="preserve"> </w:t>
      </w:r>
      <w:r>
        <w:t xml:space="preserve">begins to blur. This raises implications for:</w:t>
      </w:r>
    </w:p>
    <w:p>
      <w:pPr>
        <w:pStyle w:val="Compact"/>
        <w:numPr>
          <w:ilvl w:val="0"/>
          <w:numId w:val="1015"/>
        </w:numPr>
      </w:pPr>
      <w:r>
        <w:rPr>
          <w:b/>
          <w:bCs/>
        </w:rPr>
        <w:t xml:space="preserve">Cognitive modeling</w:t>
      </w:r>
      <w:r>
        <w:t xml:space="preserve">: retrieval as a native function, not auxiliary API call</w:t>
      </w:r>
    </w:p>
    <w:p>
      <w:pPr>
        <w:pStyle w:val="Compact"/>
        <w:numPr>
          <w:ilvl w:val="0"/>
          <w:numId w:val="1015"/>
        </w:numPr>
      </w:pPr>
      <w:r>
        <w:rPr>
          <w:b/>
          <w:bCs/>
        </w:rPr>
        <w:t xml:space="preserve">Lifelong learning</w:t>
      </w:r>
      <w:r>
        <w:t xml:space="preserve">: continuous integration of updated documents</w:t>
      </w:r>
    </w:p>
    <w:p>
      <w:pPr>
        <w:pStyle w:val="Compact"/>
        <w:numPr>
          <w:ilvl w:val="0"/>
          <w:numId w:val="1015"/>
        </w:numPr>
      </w:pPr>
      <w:r>
        <w:rPr>
          <w:b/>
          <w:bCs/>
        </w:rPr>
        <w:t xml:space="preserve">Bias containment</w:t>
      </w:r>
      <w:r>
        <w:t xml:space="preserve">: native memory may overfit to internalized views</w:t>
      </w:r>
    </w:p>
    <w:p>
      <w:pPr>
        <w:pStyle w:val="Compact"/>
        <w:numPr>
          <w:ilvl w:val="0"/>
          <w:numId w:val="1015"/>
        </w:numPr>
      </w:pPr>
      <w:r>
        <w:rPr>
          <w:b/>
          <w:bCs/>
        </w:rPr>
        <w:t xml:space="preserve">Privacy leakage</w:t>
      </w:r>
      <w:r>
        <w:t xml:space="preserve">: frozen memory layers may preserve sensitive artifacts</w:t>
      </w:r>
    </w:p>
    <w:p>
      <w:pPr>
        <w:pStyle w:val="FirstParagraph"/>
      </w:pPr>
      <w:r>
        <w:t xml:space="preserve">This paper proposes that future AI development explore memory-augmented transformers not as storage-bound enhancements, but as components in cognitive-complete architectures.</w:t>
      </w:r>
    </w:p>
    <w:p>
      <w:r>
        <w:pict>
          <v:rect style="width:0;height:1.5pt" o:hralign="center" o:hrstd="t" o:hr="t"/>
        </w:pict>
      </w:r>
    </w:p>
    <w:p>
      <w:pPr>
        <w:pStyle w:val="FirstParagraph"/>
      </w:pPr>
      <w:r>
        <w:rPr>
          <w:b/>
          <w:bCs/>
        </w:rPr>
        <w:t xml:space="preserve">5. References</w:t>
      </w:r>
    </w:p>
    <w:p>
      <w:pPr>
        <w:pStyle w:val="Compact"/>
        <w:numPr>
          <w:ilvl w:val="0"/>
          <w:numId w:val="1016"/>
        </w:numPr>
      </w:pPr>
      <w:r>
        <w:t xml:space="preserve">Lewis, P., et al. (2020).</w:t>
      </w:r>
      <w:r>
        <w:t xml:space="preserve"> </w:t>
      </w:r>
      <w:r>
        <w:rPr>
          <w:i/>
          <w:iCs/>
        </w:rPr>
        <w:t xml:space="preserve">Retrieval-Augmented Generation for Knowledge-Intensive NLP.</w:t>
      </w:r>
      <w:r>
        <w:t xml:space="preserve"> </w:t>
      </w:r>
      <w:r>
        <w:t xml:space="preserve">NeurIPS.</w:t>
      </w:r>
    </w:p>
    <w:p>
      <w:pPr>
        <w:pStyle w:val="Compact"/>
        <w:numPr>
          <w:ilvl w:val="0"/>
          <w:numId w:val="1016"/>
        </w:numPr>
      </w:pPr>
      <w:r>
        <w:t xml:space="preserve">Khandelwal, U., et al. (2020).</w:t>
      </w:r>
      <w:r>
        <w:t xml:space="preserve"> </w:t>
      </w:r>
      <w:r>
        <w:rPr>
          <w:i/>
          <w:iCs/>
        </w:rPr>
        <w:t xml:space="preserve">Generalization through Memorization: Nearest Neighbor Language Models.</w:t>
      </w:r>
      <w:r>
        <w:t xml:space="preserve"> </w:t>
      </w:r>
      <w:r>
        <w:t xml:space="preserve">ICLR.</w:t>
      </w:r>
    </w:p>
    <w:p>
      <w:pPr>
        <w:pStyle w:val="Compact"/>
        <w:numPr>
          <w:ilvl w:val="0"/>
          <w:numId w:val="1016"/>
        </w:numPr>
      </w:pPr>
      <w:r>
        <w:t xml:space="preserve">Wu, S., et al. (2022).</w:t>
      </w:r>
      <w:r>
        <w:t xml:space="preserve"> </w:t>
      </w:r>
      <w:r>
        <w:rPr>
          <w:i/>
          <w:iCs/>
        </w:rPr>
        <w:t xml:space="preserve">Memorizing Transformers.</w:t>
      </w:r>
      <w:r>
        <w:t xml:space="preserve"> </w:t>
      </w:r>
      <w:r>
        <w:t xml:space="preserve">arXiv preprint.</w:t>
      </w:r>
    </w:p>
    <w:p>
      <w:pPr>
        <w:pStyle w:val="Compact"/>
        <w:numPr>
          <w:ilvl w:val="0"/>
          <w:numId w:val="1016"/>
        </w:numPr>
      </w:pPr>
      <w:r>
        <w:t xml:space="preserve">Lee, J., et al. (2021).</w:t>
      </w:r>
      <w:r>
        <w:t xml:space="preserve"> </w:t>
      </w:r>
      <w:r>
        <w:rPr>
          <w:i/>
          <w:iCs/>
        </w:rPr>
        <w:t xml:space="preserve">Learning Dense Representations for Retrieval.</w:t>
      </w:r>
      <w:r>
        <w:t xml:space="preserve"> </w:t>
      </w:r>
      <w:r>
        <w:t xml:space="preserve">ACL.</w:t>
      </w:r>
    </w:p>
    <w:p>
      <w:pPr>
        <w:pStyle w:val="Compact"/>
        <w:numPr>
          <w:ilvl w:val="0"/>
          <w:numId w:val="1016"/>
        </w:numPr>
      </w:pPr>
      <w:r>
        <w:t xml:space="preserve">Grave, E., et al. (2017).</w:t>
      </w:r>
      <w:r>
        <w:t xml:space="preserve"> </w:t>
      </w:r>
      <w:r>
        <w:rPr>
          <w:i/>
          <w:iCs/>
        </w:rPr>
        <w:t xml:space="preserve">Efficient softmax approximation for GPUs.</w:t>
      </w:r>
      <w:r>
        <w:t xml:space="preserve"> </w:t>
      </w:r>
      <w:r>
        <w:t xml:space="preserve">ICML.</w:t>
      </w:r>
    </w:p>
    <w:p>
      <w:r>
        <w:pict>
          <v:rect style="width:0;height:1.5pt" o:hralign="center" o:hrstd="t" o:hr="t"/>
        </w:pict>
      </w:r>
    </w:p>
    <w:p>
      <w:pPr>
        <w:pStyle w:val="FirstParagraph"/>
      </w:pPr>
      <w:r>
        <w:rPr>
          <w:b/>
          <w:bCs/>
        </w:rPr>
        <w:t xml:space="preserve">Appendix</w:t>
      </w:r>
    </w:p>
    <w:p>
      <w:pPr>
        <w:pStyle w:val="BodyText"/>
      </w:pPr>
      <w:r>
        <w:rPr>
          <w:i/>
          <w:iCs/>
        </w:rPr>
        <w:t xml:space="preserve">Original Hypothesis from Academia.edu Platform: Differentiable Latent Indexing inside LLMs (DLI-LLM)</w:t>
      </w:r>
    </w:p>
    <w:p>
      <w:pPr>
        <w:pStyle w:val="BodyText"/>
      </w:pPr>
      <w:r>
        <w:t xml:space="preserve">[Insert full original hypothesis here.]</w:t>
      </w:r>
    </w:p>
    <w:p>
      <w:pPr>
        <w:pStyle w:val="BodyText"/>
      </w:pPr>
      <w:r>
        <w:t xml:space="preserve">This appendix includes the verbatim output of the Academia.edu AI modeling engine, providing the foundational hypothesis for this paper. Our analysis directly responds to and expands this hypothesis, developing a formalized architecture and theoretical implications. All interpretations and extensions herein are the responsibility of the author.</w:t>
      </w:r>
    </w:p>
    <w:p>
      <w:pPr>
        <w:pStyle w:val="BodyText"/>
      </w:pPr>
      <w:r>
        <w:rPr>
          <w:b/>
          <w:bCs/>
        </w:rPr>
        <w:t xml:space="preserve">Appendix Closing Statement:</w:t>
      </w:r>
    </w:p>
    <w:p>
      <w:pPr>
        <w:pStyle w:val="BodyText"/>
      </w:pPr>
      <w:r>
        <w:t xml:space="preserve">This hypothesis challenges the traditional separation between model computation and external retrieval. By embedding a learnable index directly into the model, DLI-LLM initiates a new class of architectures that treat retrieval as cognition. The analysis presented in this paper reframes that hypothesis as a potential turning point in the evolution of transformer-based intelligence systems.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33">
    <w:nsid w:val="00A9973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734">
    <w:nsid w:val="00A99734"/>
    <w:multiLevelType w:val="multilevel"/>
    <w:lvl w:ilvl="0">
      <w:start w:val="4"/>
      <w:numFmt w:val="lowerLetter"/>
      <w:lvlText w:val="(%1)"/>
      <w:lvlJc w:val="left"/>
      <w:pPr>
        <w:ind w:left="720" w:hanging="360"/>
      </w:pPr>
    </w:lvl>
    <w:lvl w:ilvl="1">
      <w:start w:val="4"/>
      <w:numFmt w:val="lowerLetter"/>
      <w:lvlText w:val="(%2)"/>
      <w:lvlJc w:val="left"/>
      <w:pPr>
        <w:ind w:left="1440" w:hanging="360"/>
      </w:pPr>
    </w:lvl>
    <w:lvl w:ilvl="2">
      <w:start w:val="4"/>
      <w:numFmt w:val="lowerLetter"/>
      <w:lvlText w:val="(%3)"/>
      <w:lvlJc w:val="left"/>
      <w:pPr>
        <w:ind w:left="2160" w:hanging="360"/>
      </w:pPr>
    </w:lvl>
    <w:lvl w:ilvl="3">
      <w:start w:val="4"/>
      <w:numFmt w:val="lowerLetter"/>
      <w:lvlText w:val="(%4)"/>
      <w:lvlJc w:val="left"/>
      <w:pPr>
        <w:ind w:left="2880" w:hanging="360"/>
      </w:pPr>
    </w:lvl>
    <w:lvl w:ilvl="4">
      <w:start w:val="4"/>
      <w:numFmt w:val="lowerLetter"/>
      <w:lvlText w:val="(%5)"/>
      <w:lvlJc w:val="left"/>
      <w:pPr>
        <w:ind w:left="3600" w:hanging="360"/>
      </w:pPr>
    </w:lvl>
    <w:lvl w:ilvl="5">
      <w:start w:val="4"/>
      <w:numFmt w:val="lowerLetter"/>
      <w:lvlText w:val="(%6)"/>
      <w:lvlJc w:val="left"/>
      <w:pPr>
        <w:ind w:left="4320" w:hanging="360"/>
      </w:pPr>
    </w:lvl>
    <w:lvl w:ilvl="6">
      <w:start w:val="4"/>
      <w:numFmt w:val="lowerLetter"/>
      <w:lvlText w:val="(%7)"/>
      <w:lvlJc w:val="left"/>
      <w:pPr>
        <w:ind w:left="5040" w:hanging="360"/>
      </w:pPr>
    </w:lvl>
    <w:lvl w:ilvl="7">
      <w:start w:val="4"/>
      <w:numFmt w:val="lowerLetter"/>
      <w:lvlText w:val="(%8)"/>
      <w:lvlJc w:val="left"/>
      <w:pPr>
        <w:ind w:left="5760" w:hanging="360"/>
      </w:pPr>
    </w:lvl>
    <w:lvl w:ilvl="8">
      <w:start w:val="4"/>
      <w:numFmt w:val="lowerLetter"/>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footnotes" Target="foot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11" Type="http://schemas.openxmlformats.org/officeDocument/2006/relationships/customXml" Target="../customXml/item3.xml"/><Relationship Id="rId5" Type="http://schemas.openxmlformats.org/officeDocument/2006/relationships/fontTable" Target="fontTable.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F1E418B02FC74BAFB00F06785E7191" ma:contentTypeVersion="12" ma:contentTypeDescription="Create a new document." ma:contentTypeScope="" ma:versionID="9fe35afe6337c28b846a4155d74722ec">
  <xsd:schema xmlns:xsd="http://www.w3.org/2001/XMLSchema" xmlns:xs="http://www.w3.org/2001/XMLSchema" xmlns:p="http://schemas.microsoft.com/office/2006/metadata/properties" xmlns:ns2="5cac1967-dd4a-4e16-9d32-af0b3f9f0fa5" xmlns:ns3="8428d14a-6ee5-4069-bed7-faac44f3981b" targetNamespace="http://schemas.microsoft.com/office/2006/metadata/properties" ma:root="true" ma:fieldsID="a46ecc2f3eed5fd0d7351ae972f8450d" ns2:_="" ns3:_="">
    <xsd:import namespace="5cac1967-dd4a-4e16-9d32-af0b3f9f0fa5"/>
    <xsd:import namespace="8428d14a-6ee5-4069-bed7-faac44f3981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DO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c1967-dd4a-4e16-9d32-af0b3f9f0fa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DOI" ma:index="19" nillable="true" ma:displayName="DOI" ma:default="DOI: " ma:format="Dropdown" ma:internalName="DOI">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I xmlns="5cac1967-dd4a-4e16-9d32-af0b3f9f0fa5">DOI: </DOI>
    <TaxCatchAll xmlns="8428d14a-6ee5-4069-bed7-faac44f3981b" xsi:nil="true"/>
    <lcf76f155ced4ddcb4097134ff3c332f xmlns="5cac1967-dd4a-4e16-9d32-af0b3f9f0fa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1AA64EA-3293-4899-BE15-EE2D8B3278C6}"/>
</file>

<file path=customXml/itemProps2.xml><?xml version="1.0" encoding="utf-8"?>
<ds:datastoreItem xmlns:ds="http://schemas.openxmlformats.org/officeDocument/2006/customXml" ds:itemID="{AD5D53B7-176B-431F-B3E4-D2D7AD6BE34E}"/>
</file>

<file path=customXml/itemProps3.xml><?xml version="1.0" encoding="utf-8"?>
<ds:datastoreItem xmlns:ds="http://schemas.openxmlformats.org/officeDocument/2006/customXml" ds:itemID="{CE96DBEA-4FCA-46F3-8138-FDB9228BE06D}"/>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2025-06-16T22:42:56Z</dcterms:created>
  <dcterms:modified xsi:type="dcterms:W3CDTF">2025-06-16T22:42:56Z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0x01010054F1E418B02FC74BAFB00F06785E7191</vt:lpwstr>
  </property>
</Properties>
</file>