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Chapter 1</w:t>
        <w:br/>
        <w:t>The Rise of Agentic AI in Cybersecurity</w:t>
      </w:r>
    </w:p>
    <w:p>
      <w:pPr>
        <w:pStyle w:val="Heading2"/>
      </w:pPr>
      <w:r>
        <w:t>1.1 Introduction – From Automation to Agency</w:t>
      </w:r>
    </w:p>
    <w:p>
      <w:r>
        <w:t>The history of cybersecurity automation parallels the evolution of artificial intelligence itself. From early rule-based intrusion detection to neural-driven defense systems, AI has moved from automation to autonomy, and now to agency. Agentic systems interpret context, reason about uncertainty, and align decisions with strategic objectives (Russell and Norvig 2022).</w:t>
      </w:r>
    </w:p>
    <w:p>
      <w:pPr>
        <w:pStyle w:val="Heading2"/>
      </w:pPr>
      <w:r>
        <w:t>1.2 Transformers and Diffusers as Cognitive Catalysts</w:t>
      </w:r>
    </w:p>
    <w:p>
      <w:r>
        <w:t>Transformers and diffusion models underpin the cognitive shift enabling agentic reasoning. Transformers’ attention mechanisms provide contextual comprehension, while diffusion models simulate probabilistic threat states (Vaswani et al. 2017; Ho et al. 2020). Combined, they support predictive reasoning in cybersecurity workflows (Leocadio 2024).</w:t>
      </w:r>
    </w:p>
    <w:p>
      <w:pPr>
        <w:pStyle w:val="Heading2"/>
      </w:pPr>
      <w:r>
        <w:t>1.3 Emergent Agency in Cyber Defence</w:t>
      </w:r>
    </w:p>
    <w:p>
      <w:r>
        <w:t>Emergent agency arises when reinforcement learning and self-reflective loops allow systems to plan and act without constant supervision. SOCs now deploy multi-agent frameworks like LangChain and CrewAI, enabling distributed, cooperative decision-making (LangChain 2024; CrewAI 2025).</w:t>
      </w:r>
    </w:p>
    <w:p>
      <w:pPr>
        <w:pStyle w:val="Heading2"/>
      </w:pPr>
      <w:r>
        <w:t>1.4 Architectures of Agency</w:t>
      </w:r>
    </w:p>
    <w:p>
      <w:r>
        <w:t>Agentic AI integrates perception, memory, planning, and execution. These modules interconnect via message-passing systems such as LangGraph to ensure interpretable reasoning. Case studies show adoption across major cloud and enterprise security ecosystems (OpenAI 2024).</w:t>
      </w:r>
    </w:p>
    <w:p>
      <w:pPr>
        <w:pStyle w:val="Heading2"/>
      </w:pPr>
      <w:r>
        <w:t>1.5 Ethics and Governance of Autonomous Defense</w:t>
      </w:r>
    </w:p>
    <w:p>
      <w:r>
        <w:t>Delegating security decisions to machines raises ethical and regulatory challenges. The EU AI Act (2024) and NIST (2023) guidelines emphasize transparency, reversibility, and bounded autonomy. Ethical frameworks propose that trustworthy autonomy is the foundation of legitimate defense (Floridi and Cowls 2021).</w:t>
      </w:r>
    </w:p>
    <w:p>
      <w:pPr>
        <w:pStyle w:val="Heading2"/>
      </w:pPr>
      <w:r>
        <w:t>1.6 Conclusion – Toward Self-Learning Cyber Systems</w:t>
      </w:r>
    </w:p>
    <w:p>
      <w:r>
        <w:t>Agentic AI transforms cybersecurity into a collaborative cognitive ecosystem. Future architectures will blend transformer cognition, diffusion-based hypothesis testing, and reinforcement feedback, forming self-learning cyber systems capable of shared strategic reasoning (Tegmark 2017).</w:t>
      </w:r>
    </w:p>
    <w:p>
      <w:r>
        <w:t>Figure 1.1 Agentic AI Lifecycle — from automation to reasoning feedback loops.</w:t>
      </w:r>
    </w:p>
    <w:p>
      <w:r>
        <w:t>Table 1.1 Comparative Capabilities of Reactive, Autonomous, and Agentic AI Systems.</w:t>
      </w:r>
    </w:p>
    <w:p>
      <w:r>
        <w:t>Figure 1.2 Projected Architecture for Cognitive SOC 2028.</w:t>
      </w:r>
    </w:p>
    <w:p>
      <w:pPr>
        <w:pStyle w:val="Heading2"/>
      </w:pPr>
      <w:r>
        <w:t>References (Expanded)</w:t>
      </w:r>
    </w:p>
    <w:p>
      <w:pPr>
        <w:pStyle w:val="ListBullet"/>
      </w:pPr>
      <w:r>
        <w:t>Borgeaud, Sebastian, et al. 2022. “Improving Language Models by Retrieving from Trillions of Tokens.” arXiv:2112.04426.</w:t>
      </w:r>
    </w:p>
    <w:p>
      <w:pPr>
        <w:pStyle w:val="ListBullet"/>
      </w:pPr>
      <w:r>
        <w:t>CrewAI. 2025. CrewAI: Multi-Agent Collaboration Framework. GitHub Repository. https://github.com/joaomdmoura/crewai.</w:t>
      </w:r>
    </w:p>
    <w:p>
      <w:pPr>
        <w:pStyle w:val="ListBullet"/>
      </w:pPr>
      <w:r>
        <w:t>European Union. 2024. Artificial Intelligence Act. Official Journal of the European Union L 217.</w:t>
      </w:r>
    </w:p>
    <w:p>
      <w:pPr>
        <w:pStyle w:val="ListBullet"/>
      </w:pPr>
      <w:r>
        <w:t>Floridi, Luciano, and Josh Cowls. 2021. “A Unified Framework for AI Ethics and Governance.” Minds and Machines 31 (2): 123–147.</w:t>
      </w:r>
    </w:p>
    <w:p>
      <w:pPr>
        <w:pStyle w:val="ListBullet"/>
      </w:pPr>
      <w:r>
        <w:t>Goodfellow, Ian, Yoshua Bengio, and Aaron Courville. 2016. Deep Learning. MIT Press.</w:t>
      </w:r>
    </w:p>
    <w:p>
      <w:pPr>
        <w:pStyle w:val="ListBullet"/>
      </w:pPr>
      <w:r>
        <w:t>Ho, Jonathan, Ajay Jain, and Pieter Abbeel. 2020. “Denoising Diffusion Probabilistic Models.” NIPS 2020: 6840–6851.</w:t>
      </w:r>
    </w:p>
    <w:p>
      <w:pPr>
        <w:pStyle w:val="ListBullet"/>
      </w:pPr>
      <w:r>
        <w:t>LangChain. 2024. LangChain Documentation: Multi-Agent Systems. https://docs.langchain.com.</w:t>
      </w:r>
    </w:p>
    <w:p>
      <w:pPr>
        <w:pStyle w:val="ListBullet"/>
      </w:pPr>
      <w:r>
        <w:t>Leocadio, Paulo H. 2024. “The Role of Hugging Face Diffusers in Automating Cybersecurity Workflows.” Authorea Preprint.</w:t>
      </w:r>
    </w:p>
    <w:p>
      <w:pPr>
        <w:pStyle w:val="ListBullet"/>
      </w:pPr>
      <w:r>
        <w:t>MITRE Corporation. 2023. MITRE ATT&amp;CK Framework v13. McLean, VA: MITRE.</w:t>
      </w:r>
    </w:p>
    <w:p>
      <w:pPr>
        <w:pStyle w:val="ListBullet"/>
      </w:pPr>
      <w:r>
        <w:t>NIST. 2023. Artificial Intelligence Risk Management Framework (NIST AI 100-1).</w:t>
      </w:r>
    </w:p>
    <w:p>
      <w:pPr>
        <w:pStyle w:val="ListBullet"/>
      </w:pPr>
      <w:r>
        <w:t>OpenAI. 2024. “GPT-4 Technical Report.” arXiv:2303.08774.</w:t>
      </w:r>
    </w:p>
    <w:p>
      <w:pPr>
        <w:pStyle w:val="ListBullet"/>
      </w:pPr>
      <w:r>
        <w:t>Rahwan, Iyad, et al. 2019. “Machine Behaviour.” Nature 568 (7753): 477–486.</w:t>
      </w:r>
    </w:p>
    <w:p>
      <w:pPr>
        <w:pStyle w:val="ListBullet"/>
      </w:pPr>
      <w:r>
        <w:t>Russell, Stuart, and Peter Norvig. 2022. Artificial Intelligence: A Modern Approach. 4th ed. Pearson.</w:t>
      </w:r>
    </w:p>
    <w:p>
      <w:pPr>
        <w:pStyle w:val="ListBullet"/>
      </w:pPr>
      <w:r>
        <w:t>Smethurst, Rebecca. 2025. “Lecture on AI Governance and Trust.” University of Oxford Lecture Series.</w:t>
      </w:r>
    </w:p>
    <w:p>
      <w:pPr>
        <w:pStyle w:val="ListBullet"/>
      </w:pPr>
      <w:r>
        <w:t>Tegmark, Max. 2017. Life 3.0: Being Human in the Age of Artificial Intelligence. Knopf.</w:t>
      </w:r>
    </w:p>
    <w:p>
      <w:pPr>
        <w:pStyle w:val="ListBullet"/>
      </w:pPr>
      <w:r>
        <w:t>Vaswani, Ashish, et al. 2017. “Attention Is All You Need.” NIPS 2017: 5998–6008.</w:t>
      </w:r>
    </w:p>
    <w:p>
      <w:pPr>
        <w:pStyle w:val="ListBullet"/>
      </w:pPr>
      <w:r>
        <w:t>Zhou, Lili, Eric Liang, and John Schulman. 2024. “AutoGen: Enabling Next-Generation Multi-Agent LLM Applications.” arXiv:2402.07865.</w:t>
      </w:r>
    </w:p>
    <w:sectPr w:rsidR="00FC693F" w:rsidRPr="0006063C" w:rsidSect="00034616">
      <w:pgSz w:w="8391" w:h="11906"/>
      <w:pgMar w:top="1191" w:right="1191" w:bottom="1191"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