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2F06935D"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 not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P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B14705">
        <w:rPr>
          <w:i/>
          <w:iCs/>
          <w:sz w:val="20"/>
          <w:szCs w:val="20"/>
        </w:rPr>
        <w:t>structural consequence of how these systems are built, trained, and embedded into decision loops</w:t>
      </w:r>
      <w:r w:rsidRPr="00B14705">
        <w:rPr>
          <w:sz w:val="20"/>
          <w:szCs w:val="20"/>
        </w:rPr>
        <w:t>.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Bias, in this context, emerges when these compressions systematically distort risk allocation, resource deployment, or escalation pathways.</w:t>
      </w:r>
    </w:p>
    <w:p w14:paraId="5D45BB01" w14:textId="53695EBA"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relative to benign events, and labels are often assigned post hoc by analysts operating under time pressure. This creates a </w:t>
      </w:r>
      <w:r w:rsidRPr="00B14705">
        <w:rPr>
          <w:sz w:val="20"/>
          <w:szCs w:val="20"/>
        </w:rPr>
        <w:lastRenderedPageBreak/>
        <w:t xml:space="preserve">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B14705">
        <w:rPr>
          <w:i/>
          <w:iCs/>
          <w:sz w:val="20"/>
          <w:szCs w:val="20"/>
        </w:rPr>
        <w:t>what the organization has historically chosen to see</w:t>
      </w:r>
      <w:r w:rsidRPr="00B14705">
        <w:rPr>
          <w:sz w:val="20"/>
          <w:szCs w:val="20"/>
        </w:rPr>
        <w:t>. Bias is therefore encoded not only in data distributions but in institutional behavior.</w:t>
      </w:r>
    </w:p>
    <w:p w14:paraId="5723F6B2" w14:textId="3A455D00" w:rsidR="00B14705" w:rsidRPr="00B14705" w:rsidRDefault="00B14705" w:rsidP="006D42AF">
      <w:pPr>
        <w:ind w:firstLine="288"/>
        <w:jc w:val="both"/>
        <w:rPr>
          <w:sz w:val="20"/>
          <w:szCs w:val="20"/>
        </w:rPr>
      </w:pPr>
      <w:r w:rsidRPr="00B14705">
        <w:rPr>
          <w:sz w:val="20"/>
          <w:szCs w:val="20"/>
        </w:rPr>
        <w:t xml:space="preserve">Operational bias is further amplified by proxy variables.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 xml:space="preserve">overprioritize environments with richer telemetry while </w:t>
      </w:r>
      <w:proofErr w:type="spellStart"/>
      <w:r w:rsidR="006D42AF">
        <w:rPr>
          <w:sz w:val="20"/>
          <w:szCs w:val="20"/>
        </w:rPr>
        <w:t>underdetection</w:t>
      </w:r>
      <w:proofErr w:type="spellEnd"/>
      <w:r w:rsidR="006D42AF">
        <w:rPr>
          <w:sz w:val="20"/>
          <w:szCs w:val="20"/>
        </w:rPr>
        <w:t xml:space="preserve"> of</w:t>
      </w:r>
      <w:r w:rsidRPr="00B14705">
        <w:rPr>
          <w:sz w:val="20"/>
          <w:szCs w:val="20"/>
        </w:rPr>
        <w:t xml:space="preserve"> risks in legacy or resource-constrained systems. The resulting bias is not discriminatory in a demographic sense, but it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B14705">
        <w:rPr>
          <w:i/>
          <w:i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37851C9" w:rsidR="006550FA" w:rsidRDefault="00CF2569" w:rsidP="00B743A3">
      <w:pPr>
        <w:keepNext/>
        <w:ind w:firstLine="288"/>
        <w:jc w:val="center"/>
      </w:pPr>
      <w:r>
        <w:rPr>
          <w:noProof/>
          <w:sz w:val="20"/>
          <w:szCs w:val="20"/>
        </w:rPr>
        <w:drawing>
          <wp:inline distT="0" distB="0" distL="0" distR="0" wp14:anchorId="2BC65DBA" wp14:editId="6D4311F2">
            <wp:extent cx="3804920" cy="253619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4920" cy="2536190"/>
                    </a:xfrm>
                    <a:prstGeom prst="rect">
                      <a:avLst/>
                    </a:prstGeom>
                    <a:noFill/>
                    <a:ln>
                      <a:noFill/>
                    </a:ln>
                  </pic:spPr>
                </pic:pic>
              </a:graphicData>
            </a:graphic>
          </wp:inline>
        </w:drawing>
      </w:r>
    </w:p>
    <w:p w14:paraId="1787A480" w14:textId="4942B6AE" w:rsidR="00EF13E4" w:rsidRDefault="006550FA" w:rsidP="006550FA">
      <w:pPr>
        <w:pStyle w:val="Caption"/>
        <w:jc w:val="both"/>
      </w:pPr>
      <w:r>
        <w:t>Figure 6.</w:t>
      </w:r>
      <w:fldSimple w:instr=" SEQ Figure_6. \* ARABIC ">
        <w:r w:rsidR="00A91D2C">
          <w:rPr>
            <w:noProof/>
          </w:rPr>
          <w:t>1</w:t>
        </w:r>
      </w:fldSimple>
      <w:r>
        <w:t xml:space="preserve"> </w:t>
      </w:r>
      <w:r w:rsidRPr="00182185">
        <w:t xml:space="preserve">Bias as a </w:t>
      </w:r>
      <w:r w:rsidR="000A6482" w:rsidRPr="00182185">
        <w:t>feedback field in alerting syste</w:t>
      </w:r>
      <w:r w:rsidRPr="00182185">
        <w:t>ms.</w:t>
      </w:r>
    </w:p>
    <w:p w14:paraId="4931D5C9" w14:textId="63EF01BA" w:rsidR="006A32F5" w:rsidRDefault="006A32F5" w:rsidP="0092094D">
      <w:pPr>
        <w:ind w:firstLine="288"/>
        <w:jc w:val="both"/>
        <w:rPr>
          <w:sz w:val="20"/>
          <w:szCs w:val="20"/>
        </w:rPr>
      </w:pPr>
    </w:p>
    <w:p w14:paraId="1AF379FB" w14:textId="3FD77F0C" w:rsidR="0092094D" w:rsidRDefault="00620C81" w:rsidP="0092094D">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391ACA4D" w14:textId="62F04132" w:rsidR="006550FA" w:rsidRPr="006550FA" w:rsidRDefault="006550FA" w:rsidP="006550FA"/>
    <w:p w14:paraId="2A3EB490" w14:textId="12FD7EE4" w:rsidR="0040066A" w:rsidRPr="00B14705"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78792B">
        <w:rPr>
          <w:i/>
          <w:iCs/>
          <w:sz w:val="20"/>
          <w:szCs w:val="20"/>
        </w:rPr>
        <w:t>trained not to see it</w:t>
      </w:r>
      <w:r w:rsidR="00B14B40" w:rsidRPr="009C5BC3">
        <w:rPr>
          <w:i/>
          <w:iCs/>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0177E73D" w14:textId="2860552A" w:rsidR="0040066A" w:rsidRPr="0078792B" w:rsidRDefault="00F265A2" w:rsidP="00F265A2">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508A0290" w14:textId="5DD6CDF8" w:rsidR="0078792B" w:rsidRPr="0078792B" w:rsidRDefault="0078792B" w:rsidP="0078792B"/>
    <w:p w14:paraId="599140CD" w14:textId="1000D202"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 xml:space="preserve">alerting systems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45AA9D9F" w:rsidR="0078792B" w:rsidRDefault="0078792B" w:rsidP="00833446">
      <w:pPr>
        <w:ind w:firstLine="288"/>
        <w:jc w:val="both"/>
        <w:rPr>
          <w:sz w:val="20"/>
          <w:szCs w:val="20"/>
        </w:rPr>
      </w:pPr>
      <w:r w:rsidRPr="0078792B">
        <w:rPr>
          <w:sz w:val="20"/>
          <w:szCs w:val="20"/>
        </w:rPr>
        <w:t xml:space="preserve">Critically, these controls must be </w:t>
      </w:r>
      <w:r w:rsidRPr="0078792B">
        <w:rPr>
          <w:i/>
          <w:i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Pr="0078792B">
        <w:rPr>
          <w:sz w:val="20"/>
          <w:szCs w:val="20"/>
        </w:rPr>
        <w:t>.</w:t>
      </w:r>
    </w:p>
    <w:p w14:paraId="3DC98562" w14:textId="1583801B" w:rsidR="00DC6330" w:rsidRP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40547CAC" w14:textId="14A8863A" w:rsidR="0078792B" w:rsidRPr="0078792B" w:rsidRDefault="0078792B" w:rsidP="00B46279">
      <w:pPr>
        <w:jc w:val="both"/>
        <w:rPr>
          <w:sz w:val="20"/>
          <w:szCs w:val="20"/>
        </w:rPr>
      </w:pP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78792B">
        <w:rPr>
          <w:i/>
          <w:iCs/>
          <w:sz w:val="20"/>
          <w:szCs w:val="20"/>
        </w:rPr>
        <w:t xml:space="preserve">which model </w:t>
      </w:r>
      <w:r w:rsidR="006F6550">
        <w:rPr>
          <w:i/>
          <w:iCs/>
          <w:sz w:val="20"/>
          <w:szCs w:val="20"/>
        </w:rPr>
        <w:t>made which decisions, when, and under what</w:t>
      </w:r>
      <w:r w:rsidRPr="0078792B">
        <w:rPr>
          <w:i/>
          <w:iCs/>
          <w:sz w:val="20"/>
          <w:szCs w:val="20"/>
        </w:rPr>
        <w:t xml:space="preserve"> assumptions</w:t>
      </w:r>
      <w:r w:rsidRPr="0078792B">
        <w:rPr>
          <w:sz w:val="20"/>
          <w:szCs w:val="20"/>
        </w:rPr>
        <w:t xml:space="preserve"> 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78792B">
        <w:rPr>
          <w:i/>
          <w:iCs/>
          <w:sz w:val="20"/>
          <w:szCs w:val="20"/>
        </w:rPr>
        <w:t>how</w:t>
      </w:r>
      <w:r w:rsidRPr="0078792B">
        <w:rPr>
          <w:sz w:val="20"/>
          <w:szCs w:val="20"/>
        </w:rPr>
        <w:t xml:space="preserve"> a model behaves in the present, but they cannot justify </w:t>
      </w:r>
      <w:r w:rsidRPr="0078792B">
        <w:rPr>
          <w:i/>
          <w:i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78792B">
        <w:rPr>
          <w:i/>
          <w:i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29A18323" w:rsidR="000F0DB8" w:rsidRDefault="00CF2569" w:rsidP="000F0DB8">
      <w:pPr>
        <w:keepNext/>
        <w:ind w:firstLine="288"/>
        <w:jc w:val="both"/>
      </w:pPr>
      <w:r>
        <w:rPr>
          <w:noProof/>
          <w:sz w:val="20"/>
          <w:szCs w:val="20"/>
        </w:rPr>
        <w:drawing>
          <wp:inline distT="0" distB="0" distL="0" distR="0" wp14:anchorId="7DA60327" wp14:editId="4A6DB199">
            <wp:extent cx="3804920" cy="253619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4920" cy="2536190"/>
                    </a:xfrm>
                    <a:prstGeom prst="rect">
                      <a:avLst/>
                    </a:prstGeom>
                    <a:noFill/>
                    <a:ln>
                      <a:noFill/>
                    </a:ln>
                  </pic:spPr>
                </pic:pic>
              </a:graphicData>
            </a:graphic>
          </wp:inline>
        </w:drawing>
      </w:r>
    </w:p>
    <w:p w14:paraId="6D6A653B" w14:textId="30E1CB72" w:rsidR="006D6410" w:rsidRDefault="000F0DB8" w:rsidP="000F0DB8">
      <w:pPr>
        <w:pStyle w:val="Caption"/>
        <w:jc w:val="both"/>
      </w:pPr>
      <w:r>
        <w:t>Figure 6.</w:t>
      </w:r>
      <w:fldSimple w:instr=" SEQ Figure_6. \* ARABIC ">
        <w:r w:rsidR="00A91D2C">
          <w:rPr>
            <w:noProof/>
          </w:rPr>
          <w:t>2</w:t>
        </w:r>
      </w:fldSimple>
      <w:r>
        <w:t xml:space="preserve"> </w:t>
      </w:r>
      <w:r w:rsidRPr="00F05850">
        <w:t xml:space="preserve">Temporal </w:t>
      </w:r>
      <w:r w:rsidR="000A6482" w:rsidRPr="00F05850">
        <w:t>model lineage and accountability window</w:t>
      </w:r>
      <w:r w:rsidRPr="00F05850">
        <w:t>s.</w:t>
      </w:r>
    </w:p>
    <w:p w14:paraId="4E4C9306" w14:textId="20321E76" w:rsidR="002E59F9" w:rsidRDefault="002E59F9" w:rsidP="008D1D91">
      <w:pPr>
        <w:pStyle w:val="Body"/>
        <w:rPr>
          <w:lang w:val="en-US"/>
        </w:rPr>
      </w:pPr>
    </w:p>
    <w:p w14:paraId="4DDDBA9F" w14:textId="464D535F" w:rsidR="008D1D91" w:rsidRDefault="008D1D91" w:rsidP="008D1D91">
      <w:pPr>
        <w:pStyle w:val="Body"/>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07CC833F" w14:textId="3DC761F8" w:rsidR="008D1D91" w:rsidRPr="0078792B" w:rsidRDefault="008D1D91" w:rsidP="008D1D91"/>
    <w:p w14:paraId="38094430" w14:textId="6F06C374"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3A96DDDF" w14:textId="6DE4B273" w:rsidR="00EA6739" w:rsidRPr="00EA6739" w:rsidRDefault="00EA6739" w:rsidP="005375C1">
      <w:pPr>
        <w:pStyle w:val="Secondaryheadings"/>
      </w:pPr>
      <w:r w:rsidRPr="00EA6739">
        <w:t xml:space="preserve">6.3 Explainability </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EA6739">
        <w:rPr>
          <w:i/>
          <w:iCs/>
          <w:lang w:val="en-US"/>
        </w:rPr>
        <w:t>what</w:t>
      </w:r>
      <w:r w:rsidRPr="00EA6739">
        <w:rPr>
          <w:lang w:val="en-US"/>
        </w:rPr>
        <w:t xml:space="preserve"> it appears to value without demonstrating </w:t>
      </w:r>
      <w:r w:rsidRPr="00EA6739">
        <w:rPr>
          <w:i/>
          <w:i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0395B8F" w:rsidR="00EA6739" w:rsidRDefault="00EA6739" w:rsidP="00EA6739">
      <w:pPr>
        <w:pStyle w:val="Body"/>
        <w:rPr>
          <w:lang w:val="en-US"/>
        </w:rPr>
      </w:pPr>
      <w:r w:rsidRPr="00EA6739">
        <w:rPr>
          <w:lang w:val="en-US"/>
        </w:rPr>
        <w:t xml:space="preserve">From an ethical standpoint, the core question is not whether a model can explain itself, but whether an institution can defend the decisions it delegates. Explainability, in this sense, is a property of the </w:t>
      </w:r>
      <w:r w:rsidRPr="00EA6739">
        <w:rPr>
          <w:i/>
          <w:iCs/>
          <w:lang w:val="en-US"/>
        </w:rPr>
        <w:t>socio-technical system</w:t>
      </w:r>
      <w:r w:rsidR="00071701">
        <w:rPr>
          <w:lang w:val="en-US"/>
        </w:rPr>
        <w:t xml:space="preserve"> 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44555C8F" w14:textId="2A8224CA" w:rsidR="001C1F2C" w:rsidRDefault="001C1F2C" w:rsidP="00EA6739">
      <w:pPr>
        <w:pStyle w:val="Body"/>
        <w:rPr>
          <w:lang w:val="en-US"/>
        </w:rPr>
      </w:pPr>
      <w:r w:rsidRPr="00F25E9E">
        <w:rPr>
          <w:b/>
          <w:bCs/>
          <w:lang w:val="en-US"/>
        </w:rPr>
        <w:t>Figure 6.3</w:t>
      </w:r>
      <w:r>
        <w:rPr>
          <w:lang w:val="en-US"/>
        </w:rPr>
        <w:t xml:space="preserve"> shows that n</w:t>
      </w:r>
      <w:r w:rsidRPr="001C1F2C">
        <w:rPr>
          <w:lang w:val="en-US"/>
        </w:rPr>
        <w:t>ot all explanations are institutionally defensible. Operational accountability exists only where explanations are reproducible, traceable to specific system states, and aligned with formal decision authority.</w:t>
      </w:r>
    </w:p>
    <w:p w14:paraId="5DBD6BF2" w14:textId="748D0BD4" w:rsidR="003C5569" w:rsidRDefault="00CF2569" w:rsidP="003C5569">
      <w:pPr>
        <w:pStyle w:val="Body"/>
        <w:keepNext/>
      </w:pPr>
      <w:r>
        <w:rPr>
          <w:noProof/>
          <w:lang w:val="en-US"/>
        </w:rPr>
        <w:drawing>
          <wp:inline distT="0" distB="0" distL="0" distR="0" wp14:anchorId="5C463A7C" wp14:editId="69E67D9C">
            <wp:extent cx="3804920" cy="253619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4920" cy="2536190"/>
                    </a:xfrm>
                    <a:prstGeom prst="rect">
                      <a:avLst/>
                    </a:prstGeom>
                    <a:noFill/>
                    <a:ln>
                      <a:noFill/>
                    </a:ln>
                  </pic:spPr>
                </pic:pic>
              </a:graphicData>
            </a:graphic>
          </wp:inline>
        </w:drawing>
      </w:r>
    </w:p>
    <w:p w14:paraId="23AB6575" w14:textId="0CA5C265" w:rsidR="001D11C1" w:rsidRDefault="003C5569" w:rsidP="003C5569">
      <w:pPr>
        <w:pStyle w:val="Caption"/>
        <w:jc w:val="both"/>
      </w:pPr>
      <w:r>
        <w:t>Figure 6.</w:t>
      </w:r>
      <w:fldSimple w:instr=" SEQ Figure_6. \* ARABIC ">
        <w:r w:rsidR="00A91D2C">
          <w:rPr>
            <w:noProof/>
          </w:rPr>
          <w:t>3</w:t>
        </w:r>
      </w:fldSimple>
      <w:r>
        <w:t xml:space="preserve"> E</w:t>
      </w:r>
      <w:r w:rsidRPr="00506AC6">
        <w:t>xplainability versus defensibility in operational AI.</w:t>
      </w:r>
    </w:p>
    <w:p w14:paraId="2EE066E7" w14:textId="5EECA42B" w:rsidR="004B5586" w:rsidRDefault="004B5586" w:rsidP="004B5586">
      <w:pPr>
        <w:pStyle w:val="Body"/>
        <w:rPr>
          <w:lang w:val="en-US"/>
        </w:rPr>
      </w:pPr>
      <w:r w:rsidRPr="004B5586">
        <w:rPr>
          <w:lang w:val="en-US"/>
        </w:rPr>
        <w:t xml:space="preserve">The </w:t>
      </w:r>
      <w:r w:rsidR="005A1D6E">
        <w:rPr>
          <w:lang w:val="en-US"/>
        </w:rPr>
        <w:t>illustration</w:t>
      </w:r>
      <w:r w:rsidRPr="004B5586">
        <w:rPr>
          <w:lang w:val="en-US"/>
        </w:rPr>
        <w:t xml:space="preserv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BAB22F" w14:textId="03E1FF41" w:rsidR="001A7AE0" w:rsidRPr="001A7AE0" w:rsidRDefault="001A7AE0" w:rsidP="001A7AE0">
      <w:pPr>
        <w:pStyle w:val="Body"/>
      </w:pPr>
      <w:r w:rsidRPr="001A7AE0">
        <w:t xml:space="preserve">Next, </w:t>
      </w:r>
      <w:r w:rsidRPr="00AD2B64">
        <w:rPr>
          <w:b/>
          <w:bCs/>
        </w:rPr>
        <w:t>Figure 6.4</w:t>
      </w:r>
      <w:r w:rsidRPr="001A7AE0">
        <w:t xml:space="preserve"> </w:t>
      </w:r>
      <w:r w:rsidR="00AD2B64">
        <w:t xml:space="preserve">reinforces a </w:t>
      </w:r>
      <w:proofErr w:type="gramStart"/>
      <w:r w:rsidR="00AD2B64">
        <w:t>subtle</w:t>
      </w:r>
      <w:proofErr w:type="gramEnd"/>
      <w:r w:rsidR="00AD2B64">
        <w:t xml:space="preserve"> </w:t>
      </w:r>
      <w:r w:rsidR="0069504D">
        <w:t>yet important claim made in this section: human-in-the-loop</w:t>
      </w:r>
      <w:r w:rsidR="00AD2B64">
        <w:t xml:space="preserve"> does not guarantee accountability. This figure makes that distinction visually perceptible</w:t>
      </w:r>
      <w:r w:rsidRPr="001A7AE0">
        <w:t>.</w:t>
      </w:r>
    </w:p>
    <w:p w14:paraId="43BFA840" w14:textId="2D52A1F2" w:rsidR="0053014B" w:rsidRPr="001A7AE0" w:rsidRDefault="0053014B" w:rsidP="004B5586">
      <w:pPr>
        <w:pStyle w:val="Body"/>
      </w:pPr>
    </w:p>
    <w:p w14:paraId="37381F19" w14:textId="77777777" w:rsidR="00191335" w:rsidRDefault="0053014B" w:rsidP="00191335">
      <w:pPr>
        <w:pStyle w:val="Body"/>
        <w:keepNext/>
      </w:pPr>
      <w:r>
        <w:rPr>
          <w:noProof/>
        </w:rPr>
        <w:drawing>
          <wp:inline distT="0" distB="0" distL="0" distR="0" wp14:anchorId="5D1B272A" wp14:editId="723B4A57">
            <wp:extent cx="3816350" cy="2544445"/>
            <wp:effectExtent l="0" t="0" r="0" b="8255"/>
            <wp:docPr id="87590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2906" name="Picture 875902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1B67F8D" w14:textId="1064467D" w:rsidR="0053014B" w:rsidRPr="004B5586" w:rsidRDefault="00191335" w:rsidP="00191335">
      <w:pPr>
        <w:pStyle w:val="Caption"/>
        <w:jc w:val="both"/>
      </w:pPr>
      <w:r>
        <w:t>Figure 6.</w:t>
      </w:r>
      <w:fldSimple w:instr=" SEQ Figure_6. \* ARABIC ">
        <w:r w:rsidR="00A91D2C">
          <w:rPr>
            <w:noProof/>
          </w:rPr>
          <w:t>4</w:t>
        </w:r>
      </w:fldSimple>
      <w:r>
        <w:t xml:space="preserve"> </w:t>
      </w:r>
      <w:r w:rsidRPr="00952EF2">
        <w:t>Human oversight is not human control</w:t>
      </w:r>
      <w:r>
        <w:t>.</w: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661AE9D0" w:rsidR="00203F69" w:rsidRPr="00203F69" w:rsidRDefault="00203F69" w:rsidP="00637B2A">
      <w:pPr>
        <w:pStyle w:val="Secondaryheadings"/>
      </w:pPr>
      <w:r w:rsidRPr="00203F69">
        <w:t xml:space="preserve">6.4 Governance </w:t>
      </w:r>
      <w:r w:rsidR="0030768A">
        <w:t>e</w:t>
      </w:r>
      <w:r w:rsidRPr="00203F69">
        <w:t>xamples</w:t>
      </w:r>
    </w:p>
    <w:p w14:paraId="7B76F603" w14:textId="77777777" w:rsidR="00203F69" w:rsidRDefault="00203F69" w:rsidP="00203F69">
      <w:pPr>
        <w:pStyle w:val="Body"/>
        <w:rPr>
          <w:lang w:val="en-US"/>
        </w:rPr>
      </w:pPr>
      <w:r w:rsidRPr="00203F69">
        <w:rPr>
          <w:lang w:val="en-US"/>
        </w:rPr>
        <w:t>This section provides concrete examples illustrating how governance requirements discussed in this chapter can be operationalized. The intent is not to prescribe implementation details, but to demonstrate how accountability, traceability, and defensibility can be embedded into deployed AI systems. Code and mathematical formulations are used sparingly, as explanatory artifacts rather than optimization tools.</w:t>
      </w:r>
    </w:p>
    <w:p w14:paraId="2BA81E1C" w14:textId="41978FFA" w:rsidR="007B3B5E" w:rsidRDefault="007B3B5E" w:rsidP="00203F69">
      <w:pPr>
        <w:pStyle w:val="Body"/>
        <w:rPr>
          <w:lang w:val="en-US"/>
        </w:rPr>
      </w:pPr>
      <w:r w:rsidRPr="007B3B5E">
        <w:rPr>
          <w:b/>
          <w:bCs/>
          <w:lang w:val="en-US"/>
        </w:rPr>
        <w:t>Figure 6.</w:t>
      </w:r>
      <w:r w:rsidR="004C0FDC">
        <w:rPr>
          <w:b/>
          <w:bCs/>
          <w:lang w:val="en-US"/>
        </w:rPr>
        <w:t>5</w:t>
      </w:r>
      <w:r>
        <w:rPr>
          <w:lang w:val="en-US"/>
        </w:rPr>
        <w:t xml:space="preserve"> </w:t>
      </w:r>
      <w:r w:rsidRPr="007B3B5E">
        <w:rPr>
          <w:lang w:val="en-US"/>
        </w:rPr>
        <w:t>establishes that ethics</w:t>
      </w:r>
      <w:r>
        <w:rPr>
          <w:lang w:val="en-US"/>
        </w:rPr>
        <w:t>, governance, and control are equivalent</w:t>
      </w:r>
      <w:r w:rsidRPr="007B3B5E">
        <w:rPr>
          <w:lang w:val="en-US"/>
        </w:rPr>
        <w:t>.</w:t>
      </w:r>
      <w:r w:rsidR="00EA53D8">
        <w:rPr>
          <w:lang w:val="en-US"/>
        </w:rPr>
        <w:t xml:space="preserve"> </w:t>
      </w:r>
      <w:r w:rsidRPr="007B3B5E">
        <w:rPr>
          <w:lang w:val="en-US"/>
        </w:rPr>
        <w:t>Th</w:t>
      </w:r>
      <w:r w:rsidR="00EA53D8">
        <w:rPr>
          <w:lang w:val="en-US"/>
        </w:rPr>
        <w:t>e illustration</w:t>
      </w:r>
      <w:r w:rsidRPr="007B3B5E">
        <w:rPr>
          <w:lang w:val="en-US"/>
        </w:rPr>
        <w:t xml:space="preserve"> makes </w:t>
      </w:r>
      <w:r>
        <w:rPr>
          <w:lang w:val="en-US"/>
        </w:rPr>
        <w:t>this explicit by showing where governance is applied rather than</w:t>
      </w:r>
      <w:r w:rsidRPr="007B3B5E">
        <w:rPr>
          <w:lang w:val="en-US"/>
        </w:rPr>
        <w:t xml:space="preserve"> </w:t>
      </w:r>
      <w:r w:rsidRPr="007B3B5E">
        <w:rPr>
          <w:i/>
          <w:iCs/>
          <w:lang w:val="en-US"/>
        </w:rPr>
        <w:t>what the model does</w:t>
      </w:r>
      <w:r w:rsidRPr="007B3B5E">
        <w:rPr>
          <w:lang w:val="en-US"/>
        </w:rPr>
        <w:t>.</w:t>
      </w:r>
    </w:p>
    <w:p w14:paraId="1BFA3E7D" w14:textId="77777777" w:rsidR="00C77CD3" w:rsidRDefault="006B6CB9" w:rsidP="00C77CD3">
      <w:pPr>
        <w:pStyle w:val="Body"/>
        <w:keepNext/>
      </w:pPr>
      <w:r>
        <w:rPr>
          <w:noProof/>
          <w:lang w:val="en-US"/>
        </w:rPr>
        <w:drawing>
          <wp:inline distT="0" distB="0" distL="0" distR="0" wp14:anchorId="4DF0D97E" wp14:editId="1C526E33">
            <wp:extent cx="3816350" cy="2544445"/>
            <wp:effectExtent l="0" t="0" r="0" b="8255"/>
            <wp:docPr id="160054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4481" name="Picture 1600544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4672FDA" w14:textId="7D3503F5" w:rsidR="00320AB1" w:rsidRPr="00203F69" w:rsidRDefault="00C77CD3" w:rsidP="00C77CD3">
      <w:pPr>
        <w:pStyle w:val="Caption"/>
        <w:jc w:val="both"/>
      </w:pPr>
      <w:r>
        <w:t>Figure 6.</w:t>
      </w:r>
      <w:fldSimple w:instr=" SEQ Figure_6. \* ARABIC ">
        <w:r w:rsidR="00A91D2C">
          <w:rPr>
            <w:noProof/>
          </w:rPr>
          <w:t>5</w:t>
        </w:r>
      </w:fldSimple>
      <w:r>
        <w:t xml:space="preserve"> </w:t>
      </w:r>
      <w:r w:rsidRPr="0076182E">
        <w:t xml:space="preserve">Governance </w:t>
      </w:r>
      <w:r w:rsidR="00EA53D8" w:rsidRPr="0076182E">
        <w:t>control points across the ai lifecycle</w:t>
      </w:r>
      <w:r w:rsidR="00EA53D8">
        <w:t>.</w:t>
      </w:r>
    </w:p>
    <w:p w14:paraId="3C28FAF5" w14:textId="7009A048" w:rsidR="00203F69" w:rsidRPr="00203F69" w:rsidRDefault="00203F69" w:rsidP="0030768A">
      <w:pPr>
        <w:pStyle w:val="Secondaryheadings"/>
      </w:pPr>
      <w:r w:rsidRPr="00203F69">
        <w:t xml:space="preserve">Decision </w:t>
      </w:r>
      <w:r w:rsidR="0030768A" w:rsidRPr="00203F69">
        <w:t>traceability through structured log</w:t>
      </w:r>
      <w:r w:rsidRPr="00203F69">
        <w:t>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Pr>
          <w:i/>
          <w:i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proofErr w:type="spellStart"/>
      <w:r w:rsidRPr="005A3736">
        <w:t>decision_record</w:t>
      </w:r>
      <w:proofErr w:type="spellEnd"/>
      <w:r w:rsidRPr="005A3736">
        <w:t xml:space="preserve"> = {</w:t>
      </w:r>
    </w:p>
    <w:p w14:paraId="7E72596A"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decision_id</w:t>
      </w:r>
      <w:proofErr w:type="spellEnd"/>
      <w:r w:rsidRPr="005A3736">
        <w:t>":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model_id</w:t>
      </w:r>
      <w:proofErr w:type="spellEnd"/>
      <w:r w:rsidRPr="005A3736">
        <w:t>":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model_hash</w:t>
      </w:r>
      <w:proofErr w:type="spellEnd"/>
      <w:r w:rsidRPr="005A3736">
        <w:t>": "8f2c9a1e",</w:t>
      </w:r>
    </w:p>
    <w:p w14:paraId="3A2080DE"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data_snapshot</w:t>
      </w:r>
      <w:proofErr w:type="spellEnd"/>
      <w:r w:rsidRPr="005A3736">
        <w: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policy_version</w:t>
      </w:r>
      <w:proofErr w:type="spellEnd"/>
      <w:r w:rsidRPr="005A3736">
        <w:t>":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review_required</w:t>
      </w:r>
      <w:proofErr w:type="spellEnd"/>
      <w:r w:rsidRPr="005A3736">
        <w:t>":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proofErr w:type="spellStart"/>
      <w:r w:rsidRPr="005A3736">
        <w:t>audit_log.append</w:t>
      </w:r>
      <w:proofErr w:type="spellEnd"/>
      <w:r w:rsidRPr="005A3736">
        <w:t>(</w:t>
      </w:r>
      <w:proofErr w:type="spellStart"/>
      <w:r w:rsidRPr="005A3736">
        <w:t>decision_record</w:t>
      </w:r>
      <w:proofErr w:type="spellEnd"/>
      <w:r w:rsidRPr="005A3736">
        <w:t>)</w:t>
      </w:r>
    </w:p>
    <w:p w14:paraId="53BFDA0C" w14:textId="252FDF02" w:rsidR="005A3736" w:rsidRPr="005A3736" w:rsidRDefault="005A3736" w:rsidP="005A3736">
      <w:pPr>
        <w:pStyle w:val="SC-Source"/>
        <w:shd w:val="pct50" w:color="C1E4F5" w:themeColor="accent1" w:themeTint="33" w:fill="auto"/>
      </w:pPr>
      <w:r>
        <w:t>```</w:t>
      </w:r>
    </w:p>
    <w:p w14:paraId="6D9E59F4" w14:textId="40D0487D" w:rsidR="00C81C8F" w:rsidRDefault="00C81C8F" w:rsidP="00C81C8F">
      <w:pPr>
        <w:pStyle w:val="Body"/>
      </w:pPr>
      <w:r w:rsidRPr="00C81C8F">
        <w:t xml:space="preserve">This structure ensures that decisions remain reproducible even after models evolve. Crucially, it </w:t>
      </w:r>
      <w:r>
        <w:t xml:space="preserve">links predictions to </w:t>
      </w:r>
      <w:r w:rsidR="001E431C">
        <w:t>the policy context and the authority for execution</w:t>
      </w:r>
      <w:r>
        <w:t>, thereby preventing post hoc</w:t>
      </w:r>
      <w:r w:rsidRPr="00C81C8F">
        <w:t xml:space="preserve"> reinterpretation.</w:t>
      </w:r>
    </w:p>
    <w:p w14:paraId="7633B3DB" w14:textId="55EFA1DA" w:rsidR="00C81C8F" w:rsidRDefault="00C81C8F" w:rsidP="002B4A85">
      <w:pPr>
        <w:pStyle w:val="Body"/>
        <w:rPr>
          <w:lang w:val="en-US"/>
        </w:rPr>
      </w:pPr>
      <w:r w:rsidRPr="00C81C8F">
        <w:rPr>
          <w:b/>
          <w:bCs/>
        </w:rPr>
        <w:t>Sources.</w:t>
      </w:r>
      <w:r w:rsidRPr="00C81C8F">
        <w:t xml:space="preserve"> </w:t>
      </w:r>
      <w:r w:rsidRPr="00C81C8F">
        <w:rPr>
          <w:i/>
          <w:iCs/>
        </w:rPr>
        <w:t>This block draws on prior work by Mitchell et al. (2019) and Amodei et al. (2016).</w:t>
      </w:r>
    </w:p>
    <w:p w14:paraId="5680DB50" w14:textId="5FAF0395" w:rsidR="00132480" w:rsidRPr="00132480" w:rsidRDefault="00132480" w:rsidP="00132480">
      <w:pPr>
        <w:pStyle w:val="Body"/>
      </w:pPr>
    </w:p>
    <w:p w14:paraId="286A7C4F" w14:textId="067E1A5A" w:rsidR="00132480" w:rsidRPr="00132480" w:rsidRDefault="00132480" w:rsidP="0030768A">
      <w:pPr>
        <w:pStyle w:val="Secondaryheadings"/>
      </w:pPr>
      <w:r w:rsidRPr="00132480">
        <w:t xml:space="preserve">Quantifying </w:t>
      </w:r>
      <w:r w:rsidR="0030768A" w:rsidRPr="00132480">
        <w:t>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132480">
        <w:rPr>
          <w:i/>
          <w:iCs/>
        </w:rPr>
        <w:t>where does error concentrate, and what does it cost?</w:t>
      </w:r>
      <w:r w:rsidRPr="00132480">
        <w:t xml:space="preserve"> A simple risk formulation clarifies this distinction.</w:t>
      </w:r>
    </w:p>
    <w:p w14:paraId="0CC2C5E1" w14:textId="7042C7DA" w:rsidR="00262CC8" w:rsidRPr="00CF2569" w:rsidRDefault="00CF2569" w:rsidP="00132480">
      <w:pPr>
        <w:pStyle w:val="Body"/>
      </w:pPr>
      <m:oMathPara>
        <m:oMath>
          <m:r>
            <w:rPr>
              <w:rFonts w:ascii="Cambria Math" w:hAnsi="Cambria Math"/>
            </w:rPr>
            <m:t>R=</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6B645DBD" w14:textId="77777777" w:rsidR="00132480" w:rsidRPr="00132480" w:rsidRDefault="00132480" w:rsidP="00132480">
      <w:pPr>
        <w:pStyle w:val="Body"/>
      </w:pPr>
      <w:r w:rsidRPr="00132480">
        <w:t>Where:</w:t>
      </w:r>
    </w:p>
    <w:p w14:paraId="046CFCB2" w14:textId="3A7E3C0E" w:rsidR="00132480" w:rsidRPr="00132480" w:rsidRDefault="00000000" w:rsidP="00132480">
      <w:pPr>
        <w:pStyle w:val="Body"/>
        <w:numPr>
          <w:ilvl w:val="0"/>
          <w:numId w:val="14"/>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32480" w:rsidRPr="00132480">
        <w:t>represents an alert class,</w:t>
      </w:r>
    </w:p>
    <w:p w14:paraId="6426F4D4" w14:textId="06DFC567" w:rsidR="00132480" w:rsidRPr="00132480" w:rsidRDefault="00CF2569" w:rsidP="00132480">
      <w:pPr>
        <w:pStyle w:val="Body"/>
        <w:numPr>
          <w:ilvl w:val="0"/>
          <w:numId w:val="14"/>
        </w:numPr>
      </w:pP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132480" w:rsidRPr="00132480">
        <w:t>is the conditional probability of error for that class,</w:t>
      </w:r>
    </w:p>
    <w:p w14:paraId="458B63C0" w14:textId="458E8A24" w:rsidR="00132480" w:rsidRPr="00132480" w:rsidRDefault="00CF2569" w:rsidP="00132480">
      <w:pPr>
        <w:pStyle w:val="Body"/>
        <w:numPr>
          <w:ilvl w:val="0"/>
          <w:numId w:val="14"/>
        </w:numPr>
      </w:pP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00132480" w:rsidRPr="00132480">
        <w:t>is the operational cost associated with that error.</w:t>
      </w:r>
    </w:p>
    <w:p w14:paraId="0F7E8476" w14:textId="77777777" w:rsidR="00132480" w:rsidRP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03AC4FD4" w14:textId="77777777" w:rsidR="00132480" w:rsidRPr="00132480" w:rsidRDefault="00132480" w:rsidP="00132480">
      <w:pPr>
        <w:pStyle w:val="Body"/>
      </w:pPr>
      <w:r w:rsidRPr="00132480">
        <w:rPr>
          <w:b/>
          <w:bCs/>
        </w:rPr>
        <w:t>Sources.</w:t>
      </w:r>
      <w:r w:rsidRPr="00132480">
        <w:t xml:space="preserve"> </w:t>
      </w:r>
      <w:r w:rsidRPr="0030768A">
        <w:rPr>
          <w:i/>
          <w:iCs/>
        </w:rPr>
        <w:t>This block draws on prior work by Kearns and Roth (2019) and Binns (2018).</w:t>
      </w:r>
    </w:p>
    <w:p w14:paraId="047F2AE5" w14:textId="46D3DB63" w:rsidR="00132480" w:rsidRPr="00132480" w:rsidRDefault="00132480" w:rsidP="00132480">
      <w:pPr>
        <w:pStyle w:val="Body"/>
      </w:pPr>
    </w:p>
    <w:p w14:paraId="1D9D537B" w14:textId="0DFDF5A2" w:rsidR="00132480" w:rsidRPr="00132480" w:rsidRDefault="00132480" w:rsidP="00F931CB">
      <w:pPr>
        <w:pStyle w:val="Secondaryheadings"/>
      </w:pPr>
      <w:r w:rsidRPr="00132480">
        <w:t xml:space="preserve">Explainability </w:t>
      </w:r>
      <w:r w:rsidR="0030768A" w:rsidRPr="00132480">
        <w:t>as evidence, not narrative</w:t>
      </w:r>
    </w:p>
    <w:p w14:paraId="379869AE" w14:textId="77777777"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132480">
        <w:rPr>
          <w:i/>
          <w:iCs/>
        </w:rPr>
        <w:t>evidence</w:t>
      </w:r>
      <w:r w:rsidRPr="00132480">
        <w:t>—capable of being examined, challenged, and reproduced.</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2C46ED95" w:rsidR="00132480" w:rsidRDefault="00F931CB" w:rsidP="00F931CB">
      <w:pPr>
        <w:pStyle w:val="SC-Source"/>
      </w:pPr>
      <w:r>
        <w:t>```python</w:t>
      </w:r>
    </w:p>
    <w:p w14:paraId="6C58FB86" w14:textId="77777777" w:rsidR="00F931CB" w:rsidRDefault="00F931CB" w:rsidP="00F931CB">
      <w:pPr>
        <w:pStyle w:val="SC-Source"/>
      </w:pPr>
      <w:proofErr w:type="spellStart"/>
      <w:r>
        <w:t>explanation_record</w:t>
      </w:r>
      <w:proofErr w:type="spellEnd"/>
      <w:r>
        <w:t xml:space="preserve"> = {</w:t>
      </w:r>
    </w:p>
    <w:p w14:paraId="2CB645E8" w14:textId="77777777" w:rsidR="00F931CB" w:rsidRDefault="00F931CB" w:rsidP="00F931CB">
      <w:pPr>
        <w:pStyle w:val="SC-Source"/>
      </w:pPr>
      <w:r>
        <w:t xml:space="preserve">    "</w:t>
      </w:r>
      <w:proofErr w:type="spellStart"/>
      <w:r>
        <w:t>decision_id</w:t>
      </w:r>
      <w:proofErr w:type="spellEnd"/>
      <w:r>
        <w:t>": "D-2025-06-1421",</w:t>
      </w:r>
    </w:p>
    <w:p w14:paraId="67A4A36E" w14:textId="77777777" w:rsidR="00F931CB" w:rsidRDefault="00F931CB" w:rsidP="00F931CB">
      <w:pPr>
        <w:pStyle w:val="SC-Source"/>
      </w:pPr>
      <w:r>
        <w:t xml:space="preserve">    "</w:t>
      </w:r>
      <w:proofErr w:type="spellStart"/>
      <w:r>
        <w:t>explanation_method</w:t>
      </w:r>
      <w:proofErr w:type="spellEnd"/>
      <w:r>
        <w:t>": "</w:t>
      </w:r>
      <w:proofErr w:type="spellStart"/>
      <w:r>
        <w:t>local_surrogate</w:t>
      </w:r>
      <w:proofErr w:type="spellEnd"/>
      <w:r>
        <w:t>",</w:t>
      </w:r>
    </w:p>
    <w:p w14:paraId="321E9E1C" w14:textId="77777777" w:rsidR="00F931CB" w:rsidRDefault="00F931CB" w:rsidP="00F931CB">
      <w:pPr>
        <w:pStyle w:val="SC-Source"/>
      </w:pPr>
      <w:r>
        <w:t xml:space="preserve">    "</w:t>
      </w:r>
      <w:proofErr w:type="spellStart"/>
      <w:r>
        <w:t>feature_contributions</w:t>
      </w:r>
      <w:proofErr w:type="spellEnd"/>
      <w:r>
        <w:t>": {</w:t>
      </w:r>
    </w:p>
    <w:p w14:paraId="5BA46845" w14:textId="77777777" w:rsidR="00F931CB" w:rsidRDefault="00F931CB" w:rsidP="00F931CB">
      <w:pPr>
        <w:pStyle w:val="SC-Source"/>
      </w:pPr>
      <w:r>
        <w:t xml:space="preserve">        "</w:t>
      </w:r>
      <w:proofErr w:type="spellStart"/>
      <w:r>
        <w:t>failed_login_rate</w:t>
      </w:r>
      <w:proofErr w:type="spellEnd"/>
      <w:r>
        <w:t>": 0.42,</w:t>
      </w:r>
    </w:p>
    <w:p w14:paraId="4D40FF93" w14:textId="77777777" w:rsidR="00F931CB" w:rsidRDefault="00F931CB" w:rsidP="00F931CB">
      <w:pPr>
        <w:pStyle w:val="SC-Source"/>
      </w:pPr>
      <w:r>
        <w:t xml:space="preserve">        "</w:t>
      </w:r>
      <w:proofErr w:type="spellStart"/>
      <w:r>
        <w:t>anomalous_ip_score</w:t>
      </w:r>
      <w:proofErr w:type="spellEnd"/>
      <w:r>
        <w:t>": 0.31,</w:t>
      </w:r>
    </w:p>
    <w:p w14:paraId="51998271" w14:textId="77777777" w:rsidR="00F931CB" w:rsidRDefault="00F931CB" w:rsidP="00F931CB">
      <w:pPr>
        <w:pStyle w:val="SC-Source"/>
      </w:pPr>
      <w:r>
        <w:t xml:space="preserve">        "</w:t>
      </w:r>
      <w:proofErr w:type="spellStart"/>
      <w:r>
        <w:t>privilege_escalation_signal</w:t>
      </w:r>
      <w:proofErr w:type="spellEnd"/>
      <w:r>
        <w:t>": 0.18</w:t>
      </w:r>
    </w:p>
    <w:p w14:paraId="092E134E" w14:textId="77777777" w:rsidR="00F931CB" w:rsidRDefault="00F931CB" w:rsidP="00F931CB">
      <w:pPr>
        <w:pStyle w:val="SC-Source"/>
      </w:pPr>
      <w:r>
        <w:t xml:space="preserve">    },</w:t>
      </w:r>
    </w:p>
    <w:p w14:paraId="47A73A2D" w14:textId="77777777" w:rsidR="00F931CB" w:rsidRDefault="00F931CB" w:rsidP="00F931CB">
      <w:pPr>
        <w:pStyle w:val="SC-Source"/>
      </w:pPr>
      <w:r>
        <w:t xml:space="preserve">    "</w:t>
      </w:r>
      <w:proofErr w:type="spellStart"/>
      <w:r>
        <w:t>model_version</w:t>
      </w:r>
      <w:proofErr w:type="spellEnd"/>
      <w:r>
        <w:t>": "alert_classifier_v3.4.2",</w:t>
      </w:r>
    </w:p>
    <w:p w14:paraId="756FBBF1" w14:textId="77777777" w:rsidR="00F931CB" w:rsidRDefault="00F931CB" w:rsidP="00F931CB">
      <w:pPr>
        <w:pStyle w:val="SC-Source"/>
      </w:pPr>
      <w:r>
        <w:t xml:space="preserve">    "</w:t>
      </w:r>
      <w:proofErr w:type="spellStart"/>
      <w:r>
        <w:t>generated_at</w:t>
      </w:r>
      <w:proofErr w:type="spellEnd"/>
      <w:r>
        <w:t>": "2025-06-18T14:32:13Z"</w:t>
      </w:r>
    </w:p>
    <w:p w14:paraId="5A8A0675" w14:textId="77777777" w:rsidR="00F931CB" w:rsidRDefault="00F931CB" w:rsidP="00F931CB">
      <w:pPr>
        <w:pStyle w:val="SC-Source"/>
      </w:pPr>
      <w:r>
        <w:t>}</w:t>
      </w:r>
    </w:p>
    <w:p w14:paraId="226D53FC" w14:textId="7C26A4B8" w:rsidR="00F931CB" w:rsidRDefault="00F931CB" w:rsidP="00F931CB">
      <w:pPr>
        <w:pStyle w:val="SC-Source"/>
      </w:pPr>
      <w:proofErr w:type="spellStart"/>
      <w:r>
        <w:t>explanation_store.write</w:t>
      </w:r>
      <w:proofErr w:type="spellEnd"/>
      <w:r>
        <w:t>(</w:t>
      </w:r>
      <w:proofErr w:type="spellStart"/>
      <w:r>
        <w:t>explanation_record</w:t>
      </w:r>
      <w:proofErr w:type="spellEnd"/>
      <w:r>
        <w:t>)</w:t>
      </w:r>
    </w:p>
    <w:p w14:paraId="449E58A9" w14:textId="698EAC43" w:rsidR="00F931CB" w:rsidRPr="00132480" w:rsidRDefault="00F931CB" w:rsidP="00F931CB">
      <w:pPr>
        <w:pStyle w:val="SC-Source"/>
      </w:pPr>
      <w:r>
        <w:t>```</w:t>
      </w:r>
    </w:p>
    <w:p w14:paraId="05153F37" w14:textId="77777777" w:rsidR="001C45EA" w:rsidRPr="001C45EA" w:rsidRDefault="001C45EA" w:rsidP="001C45EA">
      <w:pPr>
        <w:pStyle w:val="Body"/>
      </w:pPr>
      <w:r w:rsidRPr="001C45EA">
        <w:t>By storing explanations as immutable records linked to decision identifiers, organizations preserve explanatory accountability without conflating interpretability with real-time decision-making.</w:t>
      </w:r>
    </w:p>
    <w:p w14:paraId="1B26DCB3" w14:textId="77777777" w:rsidR="001C45EA" w:rsidRPr="001C45EA" w:rsidRDefault="001C45EA" w:rsidP="001C45EA">
      <w:pPr>
        <w:pStyle w:val="Body"/>
      </w:pPr>
      <w:r w:rsidRPr="001C45EA">
        <w:rPr>
          <w:b/>
          <w:bCs/>
        </w:rPr>
        <w:t>Sources.</w:t>
      </w:r>
      <w:r w:rsidRPr="001C45EA">
        <w:t xml:space="preserve"> </w:t>
      </w:r>
      <w:r w:rsidRPr="001C45EA">
        <w:rPr>
          <w:i/>
          <w:iCs/>
        </w:rPr>
        <w:t>This block draws on prior work by Ribeiro et al. (2016) and Doshi-Velez and Kim (2017).</w:t>
      </w:r>
    </w:p>
    <w:p w14:paraId="3CED8FF3" w14:textId="58296350" w:rsidR="001C45EA" w:rsidRPr="001C45EA" w:rsidRDefault="001C45EA" w:rsidP="001C45EA">
      <w:pPr>
        <w:pStyle w:val="Body"/>
      </w:pPr>
    </w:p>
    <w:p w14:paraId="00B83DB7" w14:textId="7750FD13" w:rsidR="001C45EA" w:rsidRPr="001C45EA" w:rsidRDefault="001C45EA" w:rsidP="00BE1E01">
      <w:pPr>
        <w:pStyle w:val="Secondaryheadings"/>
      </w:pPr>
      <w:r w:rsidRPr="001C45EA">
        <w:t xml:space="preserve">Governance </w:t>
      </w:r>
      <w:r w:rsidR="00BE1E01" w:rsidRPr="001C45EA">
        <w:t>failures as detectable conditions</w:t>
      </w:r>
    </w:p>
    <w:p w14:paraId="37244031" w14:textId="77777777" w:rsidR="001C45EA" w:rsidRPr="001C45EA" w:rsidRDefault="001C45EA" w:rsidP="001C45EA">
      <w:pPr>
        <w:pStyle w:val="Body"/>
      </w:pPr>
      <w:r w:rsidRPr="001C45EA">
        <w:t>Governance breakdowns often manifest subtly: missing data snapshots, silent retraining, or policy drift. These conditions can be detected if governance expectations are formalized.</w:t>
      </w:r>
    </w:p>
    <w:p w14:paraId="04BF5FD0" w14:textId="77777777" w:rsidR="001C45EA" w:rsidRDefault="001C45EA" w:rsidP="001C45EA">
      <w:pPr>
        <w:pStyle w:val="Body"/>
      </w:pPr>
      <w:r w:rsidRPr="001C45EA">
        <w:t>One example is a simple lineage integrity check:</w:t>
      </w:r>
    </w:p>
    <w:p w14:paraId="58063F1F" w14:textId="63187B87" w:rsidR="003477B7" w:rsidRDefault="003477B7" w:rsidP="00A571A8">
      <w:pPr>
        <w:pStyle w:val="SC-Source"/>
      </w:pPr>
      <w:r>
        <w:t>```python</w:t>
      </w:r>
    </w:p>
    <w:p w14:paraId="56E9897B" w14:textId="77777777" w:rsidR="003477B7" w:rsidRDefault="003477B7" w:rsidP="00A571A8">
      <w:pPr>
        <w:pStyle w:val="SC-Source"/>
      </w:pPr>
      <w:r>
        <w:t xml:space="preserve">if not </w:t>
      </w:r>
      <w:proofErr w:type="spellStart"/>
      <w:r>
        <w:t>lineage.is_complete</w:t>
      </w:r>
      <w:proofErr w:type="spellEnd"/>
      <w:r>
        <w:t>(</w:t>
      </w:r>
      <w:proofErr w:type="spellStart"/>
      <w:r>
        <w:t>decision_id</w:t>
      </w:r>
      <w:proofErr w:type="spellEnd"/>
      <w:r>
        <w:t>):</w:t>
      </w:r>
    </w:p>
    <w:p w14:paraId="584C1829" w14:textId="77777777" w:rsidR="003477B7" w:rsidRDefault="003477B7" w:rsidP="00A571A8">
      <w:pPr>
        <w:pStyle w:val="SC-Source"/>
      </w:pPr>
      <w:r>
        <w:t xml:space="preserve">    raise </w:t>
      </w:r>
      <w:proofErr w:type="spellStart"/>
      <w:r>
        <w:t>GovernanceViolation</w:t>
      </w:r>
      <w:proofErr w:type="spellEnd"/>
      <w:r>
        <w:t>(</w:t>
      </w:r>
    </w:p>
    <w:p w14:paraId="7A47CCFC" w14:textId="77777777" w:rsidR="003477B7" w:rsidRDefault="003477B7" w:rsidP="00A571A8">
      <w:pPr>
        <w:pStyle w:val="SC-Source"/>
      </w:pPr>
      <w:r>
        <w:t xml:space="preserve">        "Decision lacks complete data, model, or policy lineage."</w:t>
      </w:r>
    </w:p>
    <w:p w14:paraId="08DB9C9E" w14:textId="2F8FD58F" w:rsidR="003477B7" w:rsidRDefault="003477B7" w:rsidP="00A571A8">
      <w:pPr>
        <w:pStyle w:val="SC-Source"/>
      </w:pPr>
      <w:r>
        <w:t xml:space="preserve">    )</w:t>
      </w:r>
    </w:p>
    <w:p w14:paraId="19238CEE" w14:textId="5F3FFB3D" w:rsidR="003477B7" w:rsidRPr="001C45EA" w:rsidRDefault="00A571A8" w:rsidP="00A571A8">
      <w:pPr>
        <w:pStyle w:val="SC-Source"/>
      </w:pPr>
      <w:r>
        <w:t>```</w:t>
      </w:r>
    </w:p>
    <w:p w14:paraId="7461EBD8" w14:textId="3D4E852A" w:rsidR="00046558" w:rsidRPr="00046558" w:rsidRDefault="00046558" w:rsidP="00046558">
      <w:pPr>
        <w:pStyle w:val="Body"/>
        <w:rPr>
          <w:lang w:val="en-US"/>
        </w:rPr>
      </w:pPr>
      <w:r w:rsidRPr="00046558">
        <w:rPr>
          <w:lang w:val="en-US"/>
        </w:rPr>
        <w:t>While simplistic, such checks enforce the principle that decisions without provenance are</w:t>
      </w:r>
      <w:r w:rsidR="001123D5">
        <w:rPr>
          <w:lang w:val="en-US"/>
        </w:rPr>
        <w:t>, by definition, invalid</w:t>
      </w:r>
      <w:r w:rsidRPr="00046558">
        <w:rPr>
          <w:lang w:val="en-US"/>
        </w:rPr>
        <w:t>. This shifts governance from reactive investigation to proactive enforcement.</w:t>
      </w:r>
    </w:p>
    <w:p w14:paraId="6BA1AA43" w14:textId="77777777" w:rsidR="00046558" w:rsidRPr="00046558" w:rsidRDefault="00046558" w:rsidP="00046558">
      <w:pPr>
        <w:pStyle w:val="Body"/>
        <w:rPr>
          <w:lang w:val="en-US"/>
        </w:rPr>
      </w:pPr>
      <w:r w:rsidRPr="00046558">
        <w:rPr>
          <w:b/>
          <w:bCs/>
          <w:lang w:val="en-US"/>
        </w:rPr>
        <w:t>Sources.</w:t>
      </w:r>
      <w:r w:rsidRPr="00046558">
        <w:rPr>
          <w:lang w:val="en-US"/>
        </w:rPr>
        <w:t xml:space="preserve"> </w:t>
      </w:r>
      <w:r w:rsidRPr="00046558">
        <w:rPr>
          <w:i/>
          <w:iCs/>
          <w:lang w:val="en-US"/>
        </w:rPr>
        <w:t>This block draws on prior work by Amodei et al. (2016) and Mitchell et al. (2019).</w:t>
      </w:r>
    </w:p>
    <w:p w14:paraId="340DC2A7" w14:textId="52F01324" w:rsidR="00046558" w:rsidRPr="00046558" w:rsidRDefault="00046558" w:rsidP="00046558">
      <w:pPr>
        <w:pStyle w:val="Body"/>
        <w:rPr>
          <w:lang w:val="en-US"/>
        </w:rPr>
      </w:pPr>
    </w:p>
    <w:p w14:paraId="05E9C485" w14:textId="4FB3E7F2" w:rsidR="00977B65" w:rsidRDefault="00046558" w:rsidP="002B4A85">
      <w:pPr>
        <w:pStyle w:val="Body"/>
        <w:rPr>
          <w:lang w:val="en-US"/>
        </w:rPr>
      </w:pPr>
      <w:r w:rsidRPr="00046558">
        <w:rPr>
          <w:lang w:val="en-US"/>
        </w:rPr>
        <w:t>The examples in this section demonstrate that governance is not an abstract constraint imposed after deployment. It is an operational property that can be encoded, validated, and enforced through concrete system artifacts. Code and mathematics serve governance only when they enhance traceability, accountability, and institutional defensibility. When they do not, they add complexity without control.</w:t>
      </w:r>
    </w:p>
    <w:p w14:paraId="2E216A85" w14:textId="2E0BBEA8" w:rsidR="0019258A" w:rsidRDefault="007133FE" w:rsidP="002B4A85">
      <w:pPr>
        <w:pStyle w:val="Body"/>
        <w:rPr>
          <w:lang w:val="en-US"/>
        </w:rPr>
      </w:pPr>
      <w:r w:rsidRPr="00673E99">
        <w:rPr>
          <w:b/>
          <w:bCs/>
          <w:lang w:val="en-US"/>
        </w:rPr>
        <w:t>Figure 6.6</w:t>
      </w:r>
      <w:r>
        <w:rPr>
          <w:lang w:val="en-US"/>
        </w:rPr>
        <w:t xml:space="preserve"> </w:t>
      </w:r>
      <w:r w:rsidR="00673E99">
        <w:rPr>
          <w:lang w:val="en-US"/>
        </w:rPr>
        <w:t>illustrates how governance can fail</w:t>
      </w:r>
      <w:r w:rsidRPr="007133FE">
        <w:t xml:space="preserve"> even in </w:t>
      </w:r>
      <w:r w:rsidR="00673E99">
        <w:t>"</w:t>
      </w:r>
      <w:r w:rsidRPr="007133FE">
        <w:t>well-designed</w:t>
      </w:r>
      <w:r w:rsidR="00673E99">
        <w:t>"</w:t>
      </w:r>
      <w:r w:rsidRPr="007133FE">
        <w:t xml:space="preserve"> systems.</w:t>
      </w:r>
    </w:p>
    <w:p w14:paraId="5683D61E" w14:textId="77777777" w:rsidR="00A91D2C" w:rsidRDefault="0019258A" w:rsidP="00A91D2C">
      <w:pPr>
        <w:pStyle w:val="Body"/>
        <w:keepNext/>
      </w:pPr>
      <w:r>
        <w:rPr>
          <w:noProof/>
          <w:lang w:val="en-US"/>
        </w:rPr>
        <w:drawing>
          <wp:inline distT="0" distB="0" distL="0" distR="0" wp14:anchorId="79B387E8" wp14:editId="7516597F">
            <wp:extent cx="3816350" cy="2544445"/>
            <wp:effectExtent l="0" t="0" r="0" b="8255"/>
            <wp:docPr id="178215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7195" name="Picture 1782157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DC20B59" w14:textId="7C1AF62D" w:rsidR="0019258A" w:rsidRDefault="00A91D2C" w:rsidP="00A91D2C">
      <w:pPr>
        <w:pStyle w:val="Caption"/>
        <w:jc w:val="both"/>
      </w:pPr>
      <w:r>
        <w:t>Figure 6.</w:t>
      </w:r>
      <w:fldSimple w:instr=" SEQ Figure_6. \* ARABIC ">
        <w:r>
          <w:rPr>
            <w:noProof/>
          </w:rPr>
          <w:t>6</w:t>
        </w:r>
      </w:fldSimple>
      <w:r>
        <w:t xml:space="preserve"> </w:t>
      </w:r>
      <w:r w:rsidRPr="00BC6C1C">
        <w:t>Governance failure modes in operational AI</w:t>
      </w:r>
      <w:r>
        <w:t>.</w:t>
      </w: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07A469AF"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w:t>
      </w:r>
      <w:r w:rsidR="00B574F9">
        <w:rPr>
          <w:lang w:val="en-US"/>
        </w:rPr>
        <w:t xml:space="preserve">; </w:t>
      </w:r>
      <w:r w:rsidRPr="00EA6739">
        <w:rPr>
          <w:lang w:val="en-US"/>
        </w:rPr>
        <w:t>they are assuming ethical liability by design.</w:t>
      </w:r>
    </w:p>
    <w:p w14:paraId="44D610E9" w14:textId="77777777" w:rsidR="00EA6739" w:rsidRPr="00EA6739" w:rsidRDefault="00000000" w:rsidP="00EA6739">
      <w:pPr>
        <w:pStyle w:val="Body"/>
        <w:rPr>
          <w:lang w:val="en-US"/>
        </w:rPr>
      </w:pPr>
      <w:r>
        <w:rPr>
          <w:lang w:val="en-US"/>
        </w:rPr>
        <w:pict w14:anchorId="3995958C">
          <v:rect id="_x0000_i1035" style="width:0;height:1.5pt" o:hralign="center" o:hrstd="t" o:hr="t" fillcolor="#a0a0a0" stroked="f"/>
        </w:pict>
      </w:r>
    </w:p>
    <w:p w14:paraId="794ACE12" w14:textId="5FE9EC5D" w:rsidR="00EB7D83" w:rsidRPr="00EA6739" w:rsidRDefault="00B574F9" w:rsidP="00EB7D83">
      <w:pPr>
        <w:pStyle w:val="Body"/>
        <w:rPr>
          <w:lang w:val="en-US"/>
        </w:rPr>
      </w:pPr>
      <w:r w:rsidRPr="00B574F9">
        <w:rPr>
          <w:lang w:val="en-US"/>
        </w:rPr>
        <w:t xml:space="preserve">As governance structures solidify, the limiting factor in operational AI shifts from </w:t>
      </w:r>
      <w:r w:rsidRPr="00B574F9">
        <w:rPr>
          <w:i/>
          <w:iCs/>
          <w:lang w:val="en-US"/>
        </w:rPr>
        <w:t>whether</w:t>
      </w:r>
      <w:r w:rsidRPr="00B574F9">
        <w:rPr>
          <w:lang w:val="en-US"/>
        </w:rPr>
        <w:t xml:space="preserve"> systems can be trusted to </w:t>
      </w:r>
      <w:r w:rsidRPr="00B574F9">
        <w:rPr>
          <w:i/>
          <w:iCs/>
          <w:lang w:val="en-US"/>
        </w:rPr>
        <w:t>how far</w:t>
      </w:r>
      <w:r w:rsidRPr="00B574F9">
        <w:rPr>
          <w:lang w:val="en-US"/>
        </w:rPr>
        <w:t xml:space="preserve"> they can be allowed to act. Once bias is bounded, lineage is enforced, and decisions are defensible, autonomy becomes a design question rather than a philosophical risk. The next chapter examines this transition point: how organizations progressively extend machine agency through controlled escalation, bounded execution, and human override, transforming governed models into operational actors without surrendering accountability.</w:t>
      </w:r>
    </w:p>
    <w:p w14:paraId="0685901A" w14:textId="77777777" w:rsidR="00031988" w:rsidRDefault="00031988" w:rsidP="00B46279">
      <w:pPr>
        <w:jc w:val="both"/>
        <w:rPr>
          <w:sz w:val="20"/>
          <w:szCs w:val="20"/>
        </w:rPr>
      </w:pP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466EE134"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doi:10.1109/msp.2018.2701147.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EB3383" w:rsidRDefault="00031988" w:rsidP="00031988">
      <w:pPr>
        <w:pStyle w:val="Bibliography"/>
        <w:ind w:left="720" w:hanging="720"/>
        <w:rPr>
          <w:noProof/>
          <w:sz w:val="20"/>
          <w:szCs w:val="20"/>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EB3383">
        <w:rPr>
          <w:noProof/>
          <w:sz w:val="20"/>
          <w:szCs w:val="20"/>
        </w:rPr>
        <w:t>ACM. 220–229. doi:10.1145/3287560.3287596.</w:t>
      </w:r>
    </w:p>
    <w:p w14:paraId="0838A679" w14:textId="301BA8A2"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"“Why Should I Trust You?”: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F63D" w14:textId="77777777" w:rsidR="00DD3582" w:rsidRDefault="00DD3582">
      <w:r>
        <w:separator/>
      </w:r>
    </w:p>
  </w:endnote>
  <w:endnote w:type="continuationSeparator" w:id="0">
    <w:p w14:paraId="11A1598E" w14:textId="77777777" w:rsidR="00DD3582" w:rsidRDefault="00DD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EEE54" w14:textId="77777777" w:rsidR="00DD3582" w:rsidRDefault="00DD3582">
      <w:r>
        <w:separator/>
      </w:r>
    </w:p>
  </w:footnote>
  <w:footnote w:type="continuationSeparator" w:id="0">
    <w:p w14:paraId="30D256B4" w14:textId="77777777" w:rsidR="00DD3582" w:rsidRDefault="00DD3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90A" w14:textId="4F755EFC" w:rsidR="00695DA6" w:rsidRDefault="00695DA6" w:rsidP="00695DA6">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13F7D"/>
    <w:rsid w:val="00025E7D"/>
    <w:rsid w:val="0002677C"/>
    <w:rsid w:val="00031988"/>
    <w:rsid w:val="00046558"/>
    <w:rsid w:val="000467EF"/>
    <w:rsid w:val="00071701"/>
    <w:rsid w:val="00071AA2"/>
    <w:rsid w:val="00086DEC"/>
    <w:rsid w:val="000A0C5B"/>
    <w:rsid w:val="000A6482"/>
    <w:rsid w:val="000C6FB8"/>
    <w:rsid w:val="000F0DB8"/>
    <w:rsid w:val="001123D5"/>
    <w:rsid w:val="00112F3E"/>
    <w:rsid w:val="00132087"/>
    <w:rsid w:val="00132480"/>
    <w:rsid w:val="001820EA"/>
    <w:rsid w:val="00191335"/>
    <w:rsid w:val="00192383"/>
    <w:rsid w:val="0019258A"/>
    <w:rsid w:val="001A7AE0"/>
    <w:rsid w:val="001C1F2C"/>
    <w:rsid w:val="001C45EA"/>
    <w:rsid w:val="001D11C1"/>
    <w:rsid w:val="001D2F95"/>
    <w:rsid w:val="001E431C"/>
    <w:rsid w:val="001E4FD9"/>
    <w:rsid w:val="001E5523"/>
    <w:rsid w:val="00203F69"/>
    <w:rsid w:val="0024377A"/>
    <w:rsid w:val="00243D25"/>
    <w:rsid w:val="00251DCE"/>
    <w:rsid w:val="00262CC8"/>
    <w:rsid w:val="002930AB"/>
    <w:rsid w:val="0029798A"/>
    <w:rsid w:val="002B2BFA"/>
    <w:rsid w:val="002B4A85"/>
    <w:rsid w:val="002C6ED3"/>
    <w:rsid w:val="002E0D50"/>
    <w:rsid w:val="002E0D90"/>
    <w:rsid w:val="002E59F9"/>
    <w:rsid w:val="0030768A"/>
    <w:rsid w:val="00320AB1"/>
    <w:rsid w:val="00321646"/>
    <w:rsid w:val="00342E2A"/>
    <w:rsid w:val="003477B7"/>
    <w:rsid w:val="00370753"/>
    <w:rsid w:val="00373806"/>
    <w:rsid w:val="003864E9"/>
    <w:rsid w:val="003C5569"/>
    <w:rsid w:val="003C70B2"/>
    <w:rsid w:val="003D4D9A"/>
    <w:rsid w:val="0040066A"/>
    <w:rsid w:val="00426DC2"/>
    <w:rsid w:val="004340D5"/>
    <w:rsid w:val="00434E8C"/>
    <w:rsid w:val="00455203"/>
    <w:rsid w:val="0046370F"/>
    <w:rsid w:val="00473582"/>
    <w:rsid w:val="004A7CEB"/>
    <w:rsid w:val="004B5586"/>
    <w:rsid w:val="004C0FDC"/>
    <w:rsid w:val="004D3E54"/>
    <w:rsid w:val="004E5946"/>
    <w:rsid w:val="00517345"/>
    <w:rsid w:val="0053014B"/>
    <w:rsid w:val="005375C1"/>
    <w:rsid w:val="0054427D"/>
    <w:rsid w:val="00546952"/>
    <w:rsid w:val="00557FE6"/>
    <w:rsid w:val="0059063E"/>
    <w:rsid w:val="0059560F"/>
    <w:rsid w:val="005A1D6E"/>
    <w:rsid w:val="005A3736"/>
    <w:rsid w:val="005C3F89"/>
    <w:rsid w:val="005C4E85"/>
    <w:rsid w:val="005D6017"/>
    <w:rsid w:val="00616822"/>
    <w:rsid w:val="00620C81"/>
    <w:rsid w:val="00637B2A"/>
    <w:rsid w:val="006550FA"/>
    <w:rsid w:val="00673E99"/>
    <w:rsid w:val="0069504D"/>
    <w:rsid w:val="00695DA6"/>
    <w:rsid w:val="006A32F5"/>
    <w:rsid w:val="006A4F69"/>
    <w:rsid w:val="006B3EF2"/>
    <w:rsid w:val="006B6CB9"/>
    <w:rsid w:val="006D42AF"/>
    <w:rsid w:val="006D6410"/>
    <w:rsid w:val="006F6550"/>
    <w:rsid w:val="007133FE"/>
    <w:rsid w:val="00747EA8"/>
    <w:rsid w:val="0075351D"/>
    <w:rsid w:val="0078792B"/>
    <w:rsid w:val="007951B3"/>
    <w:rsid w:val="007963F7"/>
    <w:rsid w:val="007B3B5E"/>
    <w:rsid w:val="007F3FF8"/>
    <w:rsid w:val="00833446"/>
    <w:rsid w:val="008377D3"/>
    <w:rsid w:val="00854E4B"/>
    <w:rsid w:val="00867D87"/>
    <w:rsid w:val="008752E3"/>
    <w:rsid w:val="008D1D91"/>
    <w:rsid w:val="008E3BE3"/>
    <w:rsid w:val="008E63EA"/>
    <w:rsid w:val="008F16E1"/>
    <w:rsid w:val="008F748B"/>
    <w:rsid w:val="0092094D"/>
    <w:rsid w:val="009233AF"/>
    <w:rsid w:val="00974D35"/>
    <w:rsid w:val="00977B65"/>
    <w:rsid w:val="009C5BC3"/>
    <w:rsid w:val="009D004D"/>
    <w:rsid w:val="009D5D6A"/>
    <w:rsid w:val="009E4CEE"/>
    <w:rsid w:val="009F16E4"/>
    <w:rsid w:val="00A0484A"/>
    <w:rsid w:val="00A249C2"/>
    <w:rsid w:val="00A25C95"/>
    <w:rsid w:val="00A571A8"/>
    <w:rsid w:val="00A745BC"/>
    <w:rsid w:val="00A74DA7"/>
    <w:rsid w:val="00A91D2C"/>
    <w:rsid w:val="00A92B86"/>
    <w:rsid w:val="00AB398A"/>
    <w:rsid w:val="00AC0682"/>
    <w:rsid w:val="00AD2B64"/>
    <w:rsid w:val="00B008C2"/>
    <w:rsid w:val="00B14705"/>
    <w:rsid w:val="00B14B40"/>
    <w:rsid w:val="00B2097D"/>
    <w:rsid w:val="00B43A71"/>
    <w:rsid w:val="00B46279"/>
    <w:rsid w:val="00B574F9"/>
    <w:rsid w:val="00B743A3"/>
    <w:rsid w:val="00BD390C"/>
    <w:rsid w:val="00BE1E01"/>
    <w:rsid w:val="00BE5170"/>
    <w:rsid w:val="00C05CA8"/>
    <w:rsid w:val="00C77CD3"/>
    <w:rsid w:val="00C81C8F"/>
    <w:rsid w:val="00C91A60"/>
    <w:rsid w:val="00CC43A4"/>
    <w:rsid w:val="00CF2569"/>
    <w:rsid w:val="00CF4CCF"/>
    <w:rsid w:val="00D04AE2"/>
    <w:rsid w:val="00D139D6"/>
    <w:rsid w:val="00D256FD"/>
    <w:rsid w:val="00D7095F"/>
    <w:rsid w:val="00D7740B"/>
    <w:rsid w:val="00DA085B"/>
    <w:rsid w:val="00DB0D40"/>
    <w:rsid w:val="00DB19F9"/>
    <w:rsid w:val="00DC6330"/>
    <w:rsid w:val="00DD3582"/>
    <w:rsid w:val="00E06FA1"/>
    <w:rsid w:val="00E828B3"/>
    <w:rsid w:val="00E9673A"/>
    <w:rsid w:val="00EA1B80"/>
    <w:rsid w:val="00EA53D8"/>
    <w:rsid w:val="00EA6739"/>
    <w:rsid w:val="00EB3383"/>
    <w:rsid w:val="00EB7D83"/>
    <w:rsid w:val="00EC0282"/>
    <w:rsid w:val="00EF13E4"/>
    <w:rsid w:val="00F076C8"/>
    <w:rsid w:val="00F25E9E"/>
    <w:rsid w:val="00F265A2"/>
    <w:rsid w:val="00F3229D"/>
    <w:rsid w:val="00F46908"/>
    <w:rsid w:val="00F931CB"/>
    <w:rsid w:val="00F95DD0"/>
    <w:rsid w:val="00FB0344"/>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867D87"/>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5A3736"/>
    <w:pPr>
      <w:shd w:val="pct50" w:color="C1E4F5" w:fill="auto"/>
      <w:ind w:firstLine="288"/>
      <w:jc w:val="both"/>
    </w:pPr>
    <w:rPr>
      <w:rFonts w:ascii="Consolas" w:eastAsia="Arial" w:hAnsi="Consolas" w:cs="Consolas"/>
      <w:sz w:val="20"/>
      <w:szCs w:val="20"/>
      <w:lang w:val="en"/>
    </w:rPr>
  </w:style>
  <w:style w:type="character" w:customStyle="1" w:styleId="SC-SourceChar">
    <w:name w:val="SC - Source Char"/>
    <w:link w:val="SC-Source"/>
    <w:rsid w:val="005A3736"/>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1</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2</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3</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4</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5</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6</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23920284-F47A-4D38-AFD2-91E37FC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14</Pages>
  <Words>3579</Words>
  <Characters>20402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47</cp:revision>
  <dcterms:created xsi:type="dcterms:W3CDTF">2026-02-03T02:37:00Z</dcterms:created>
  <dcterms:modified xsi:type="dcterms:W3CDTF">2026-02-16T22:54:00Z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