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8DD5" w14:textId="1AC22043" w:rsidR="006A4F69" w:rsidRDefault="002E0D90" w:rsidP="002E0D90">
      <w:pPr>
        <w:pStyle w:val="h1"/>
      </w:pPr>
      <w:r>
        <w:t xml:space="preserve">Chapter </w:t>
      </w:r>
      <w:r w:rsidR="00747EA8">
        <w:t>6</w:t>
      </w:r>
    </w:p>
    <w:p w14:paraId="40FFD947" w14:textId="0EBEE8FE" w:rsidR="002E0D90" w:rsidRPr="00747EA8" w:rsidRDefault="00546952" w:rsidP="00546952">
      <w:pPr>
        <w:pStyle w:val="Title"/>
      </w:pPr>
      <w:r>
        <w:t>Model Governance and Ethics in Operational AI</w:t>
      </w:r>
    </w:p>
    <w:p w14:paraId="323F5BC6" w14:textId="4E8BCD69" w:rsidR="002E0D90" w:rsidRDefault="00747EA8" w:rsidP="002E0D90">
      <w:pPr>
        <w:pStyle w:val="h1"/>
      </w:pPr>
      <w:r>
        <w:t>Paulo Leocadio</w:t>
      </w:r>
    </w:p>
    <w:p w14:paraId="43B092BF" w14:textId="77777777" w:rsidR="002E0D90" w:rsidRPr="002E0D90" w:rsidRDefault="002E0D90">
      <w:pPr>
        <w:rPr>
          <w:sz w:val="20"/>
          <w:szCs w:val="20"/>
          <w:lang w:val="en-GB"/>
        </w:rPr>
      </w:pPr>
    </w:p>
    <w:p w14:paraId="67FA7EBA" w14:textId="77777777" w:rsidR="002E0D90" w:rsidRPr="002E0D90" w:rsidRDefault="002E0D90">
      <w:pPr>
        <w:rPr>
          <w:sz w:val="20"/>
          <w:szCs w:val="20"/>
          <w:lang w:val="en-GB"/>
        </w:rPr>
      </w:pPr>
    </w:p>
    <w:p w14:paraId="0FDCA181" w14:textId="77777777" w:rsidR="002E0D90" w:rsidRPr="002E0D90" w:rsidRDefault="002E0D90">
      <w:pPr>
        <w:rPr>
          <w:sz w:val="20"/>
          <w:szCs w:val="20"/>
          <w:lang w:val="en-GB"/>
        </w:rPr>
      </w:pPr>
    </w:p>
    <w:p w14:paraId="1E2C95FA" w14:textId="0D41AC7B" w:rsidR="002E0D90" w:rsidRPr="002E0D90" w:rsidRDefault="005D6017" w:rsidP="0059560F">
      <w:pPr>
        <w:pStyle w:val="Secondaryheadings"/>
      </w:pPr>
      <w:r>
        <w:t>Introduction</w:t>
      </w:r>
    </w:p>
    <w:p w14:paraId="2F824F91" w14:textId="77777777" w:rsidR="002E0D90" w:rsidRPr="002E0D90" w:rsidRDefault="002E0D90">
      <w:pPr>
        <w:rPr>
          <w:sz w:val="18"/>
          <w:szCs w:val="18"/>
          <w:lang w:val="en-GB"/>
        </w:rPr>
      </w:pPr>
    </w:p>
    <w:p w14:paraId="35334CE9" w14:textId="2F06935D" w:rsidR="002E0D90" w:rsidRDefault="009E4CEE" w:rsidP="0059560F">
      <w:pPr>
        <w:pStyle w:val="Introduction"/>
      </w:pPr>
      <w:r w:rsidRPr="009E4CEE">
        <w:t>Operational AI systems do not fail ethically because they lack principles; they fail because governance is under-specified at the points where models interact with budgets, authority, and irreversible outcomes. In production environments, ethical risk materializes through biased alerting, untraceable model evolution, and explanations that cannot withstand audit or legal scrutiny. This chapter treats model governance and ethics as engineering constraints, not philosophical add-ons. It focuses on how bias enters alert pipelines, how accountability degrades without versioning and audit trails, and why explainability must serve institutional defense rather than user reassurance. The objective is not to moralize automated decision-making, but to specify the control structures required to deploy AI systems that remain governable under pressure.</w:t>
      </w:r>
    </w:p>
    <w:p w14:paraId="4BC20772" w14:textId="0D5EF15C" w:rsidR="00B14705" w:rsidRPr="00B14705" w:rsidRDefault="00B14705" w:rsidP="0029798A">
      <w:pPr>
        <w:pStyle w:val="Secondaryheadings"/>
      </w:pPr>
      <w:r w:rsidRPr="00B14705">
        <w:t xml:space="preserve">6.1 Bias in </w:t>
      </w:r>
      <w:r w:rsidR="000F0DB8" w:rsidRPr="00B14705">
        <w:t>alert classification</w:t>
      </w:r>
    </w:p>
    <w:p w14:paraId="6DA4906E" w14:textId="77777777" w:rsidR="00B14705" w:rsidRPr="00B14705" w:rsidRDefault="00B14705" w:rsidP="006D42AF">
      <w:pPr>
        <w:ind w:firstLine="288"/>
        <w:jc w:val="both"/>
        <w:rPr>
          <w:sz w:val="20"/>
          <w:szCs w:val="20"/>
        </w:rPr>
      </w:pPr>
      <w:r w:rsidRPr="00B14705">
        <w:rPr>
          <w:sz w:val="20"/>
          <w:szCs w:val="20"/>
        </w:rPr>
        <w:t xml:space="preserve">Bias in operational alert classification systems is not primarily a social or ideological artifact; it is a </w:t>
      </w:r>
      <w:r w:rsidRPr="00B14705">
        <w:rPr>
          <w:i/>
          <w:iCs/>
          <w:sz w:val="20"/>
          <w:szCs w:val="20"/>
        </w:rPr>
        <w:t>structural consequence of how these systems are built, trained, and embedded into decision loops</w:t>
      </w:r>
      <w:r w:rsidRPr="00B14705">
        <w:rPr>
          <w:sz w:val="20"/>
          <w:szCs w:val="20"/>
        </w:rPr>
        <w:t>. In security operations, emergency response, fraud detection, and public-sector monitoring, alerts are not neutral observations. They are compressed representations of complex environments, filtered through imperfect sensors, selective labeling practices, and historically contingent priorities. Bias, in this context, emerges when these compressions systematically distort risk allocation, resource deployment, or escalation pathways.</w:t>
      </w:r>
    </w:p>
    <w:p w14:paraId="5D45BB01" w14:textId="53695EBA" w:rsidR="00B14705" w:rsidRPr="00B14705" w:rsidRDefault="00B14705" w:rsidP="006D42AF">
      <w:pPr>
        <w:ind w:firstLine="288"/>
        <w:jc w:val="both"/>
        <w:rPr>
          <w:sz w:val="20"/>
          <w:szCs w:val="20"/>
        </w:rPr>
      </w:pPr>
      <w:r w:rsidRPr="00B14705">
        <w:rPr>
          <w:sz w:val="20"/>
          <w:szCs w:val="20"/>
        </w:rPr>
        <w:t xml:space="preserve">A defining characteristic of alerting systems is extreme class imbalance. True incidents are rare relative to benign events, and labels are often assigned post hoc by analysts operating under time pressure. This </w:t>
      </w:r>
      <w:r w:rsidRPr="00B14705">
        <w:rPr>
          <w:sz w:val="20"/>
          <w:szCs w:val="20"/>
        </w:rPr>
        <w:lastRenderedPageBreak/>
        <w:t xml:space="preserve">creates a feedback loop: alerts that align with </w:t>
      </w:r>
      <w:r w:rsidR="006D42AF">
        <w:rPr>
          <w:sz w:val="20"/>
          <w:szCs w:val="20"/>
        </w:rPr>
        <w:t>analysts' expectations are more likely to be confirmed and reinforced in subsequent training data, whereas</w:t>
      </w:r>
      <w:r w:rsidRPr="00B14705">
        <w:rPr>
          <w:sz w:val="20"/>
          <w:szCs w:val="20"/>
        </w:rPr>
        <w:t xml:space="preserve"> anomalous or ambiguous cases are dismissed or deprioritized. Over time, the model does not merely learn </w:t>
      </w:r>
      <w:r w:rsidR="004A7CEB">
        <w:rPr>
          <w:sz w:val="20"/>
          <w:szCs w:val="20"/>
        </w:rPr>
        <w:t>"</w:t>
      </w:r>
      <w:r w:rsidRPr="00B14705">
        <w:rPr>
          <w:sz w:val="20"/>
          <w:szCs w:val="20"/>
        </w:rPr>
        <w:t>what incidents look like</w:t>
      </w:r>
      <w:r w:rsidR="004A7CEB">
        <w:rPr>
          <w:sz w:val="20"/>
          <w:szCs w:val="20"/>
        </w:rPr>
        <w:t>"</w:t>
      </w:r>
      <w:r w:rsidRPr="00B14705">
        <w:rPr>
          <w:sz w:val="20"/>
          <w:szCs w:val="20"/>
        </w:rPr>
        <w:t xml:space="preserve">; it learns </w:t>
      </w:r>
      <w:r w:rsidRPr="00B14705">
        <w:rPr>
          <w:i/>
          <w:iCs/>
          <w:sz w:val="20"/>
          <w:szCs w:val="20"/>
        </w:rPr>
        <w:t>what the organization has historically chosen to see</w:t>
      </w:r>
      <w:r w:rsidRPr="00B14705">
        <w:rPr>
          <w:sz w:val="20"/>
          <w:szCs w:val="20"/>
        </w:rPr>
        <w:t>. Bias is therefore encoded not only in data distributions but in institutional behavior.</w:t>
      </w:r>
    </w:p>
    <w:p w14:paraId="5723F6B2" w14:textId="3A455D00" w:rsidR="00B14705" w:rsidRPr="00B14705" w:rsidRDefault="00B14705" w:rsidP="006D42AF">
      <w:pPr>
        <w:ind w:firstLine="288"/>
        <w:jc w:val="both"/>
        <w:rPr>
          <w:sz w:val="20"/>
          <w:szCs w:val="20"/>
        </w:rPr>
      </w:pPr>
      <w:r w:rsidRPr="00B14705">
        <w:rPr>
          <w:sz w:val="20"/>
          <w:szCs w:val="20"/>
        </w:rPr>
        <w:t xml:space="preserve">Operational bias is further amplified by proxy variables. Because ground truth is expensive or unavailable, systems rely on correlates such as alert frequency, past incident tags, or heuristic severity scores. These proxies often entangle technical signals with organizational convenience. For example, systems may </w:t>
      </w:r>
      <w:r w:rsidR="006D42AF">
        <w:rPr>
          <w:sz w:val="20"/>
          <w:szCs w:val="20"/>
        </w:rPr>
        <w:t>overprioritize environments with richer telemetry while underdetection of</w:t>
      </w:r>
      <w:r w:rsidRPr="00B14705">
        <w:rPr>
          <w:sz w:val="20"/>
          <w:szCs w:val="20"/>
        </w:rPr>
        <w:t xml:space="preserve"> risks in legacy or resource-constrained systems. The resulting bias is not discriminatory in a demographic sense, but it is strategically consequential: it shifts attention, budgets, and remediation capacity away from structurally opaque zones where failures may be most damaging.</w:t>
      </w:r>
    </w:p>
    <w:p w14:paraId="19BBE2A2" w14:textId="41123C18" w:rsidR="00B14705" w:rsidRPr="00B14705" w:rsidRDefault="00B14705" w:rsidP="006D42AF">
      <w:pPr>
        <w:ind w:firstLine="288"/>
        <w:jc w:val="both"/>
        <w:rPr>
          <w:sz w:val="20"/>
          <w:szCs w:val="20"/>
        </w:rPr>
      </w:pPr>
      <w:r w:rsidRPr="00B14705">
        <w:rPr>
          <w:sz w:val="20"/>
          <w:szCs w:val="20"/>
        </w:rPr>
        <w:t xml:space="preserve">Alert fatigue introduces an additional </w:t>
      </w:r>
      <w:r w:rsidR="006D42AF">
        <w:rPr>
          <w:sz w:val="20"/>
          <w:szCs w:val="20"/>
        </w:rPr>
        <w:t>layer of distortion</w:t>
      </w:r>
      <w:r w:rsidRPr="00B14705">
        <w:rPr>
          <w:sz w:val="20"/>
          <w:szCs w:val="20"/>
        </w:rPr>
        <w:t xml:space="preserve">. High false-positive rates </w:t>
      </w:r>
      <w:r w:rsidR="006D42AF">
        <w:rPr>
          <w:sz w:val="20"/>
          <w:szCs w:val="20"/>
        </w:rPr>
        <w:t>lead analysts to ignore certain alert classes, thereby biasing</w:t>
      </w:r>
      <w:r w:rsidRPr="00B14705">
        <w:rPr>
          <w:sz w:val="20"/>
          <w:szCs w:val="20"/>
        </w:rPr>
        <w:t xml:space="preserve"> labeling and retraining pipelines. Alerts that are routinely dismissed receive fewer confirmations, degrading future model sensitivity in precisely those regions where early weak signals might matter. This phenomenon converts human coping strategies into statistical artifacts, embedding operational stress directly into </w:t>
      </w:r>
      <w:r w:rsidR="00071AA2">
        <w:rPr>
          <w:sz w:val="20"/>
          <w:szCs w:val="20"/>
        </w:rPr>
        <w:t xml:space="preserve">the </w:t>
      </w:r>
      <w:r w:rsidRPr="00B14705">
        <w:rPr>
          <w:sz w:val="20"/>
          <w:szCs w:val="20"/>
        </w:rPr>
        <w:t>model.</w:t>
      </w:r>
    </w:p>
    <w:p w14:paraId="57F21DC4" w14:textId="4F010BF8" w:rsidR="00B14705" w:rsidRPr="00B14705" w:rsidRDefault="00B14705" w:rsidP="006D42AF">
      <w:pPr>
        <w:ind w:firstLine="288"/>
        <w:jc w:val="both"/>
        <w:rPr>
          <w:sz w:val="20"/>
          <w:szCs w:val="20"/>
        </w:rPr>
      </w:pPr>
      <w:r w:rsidRPr="00B14705">
        <w:rPr>
          <w:sz w:val="20"/>
          <w:szCs w:val="20"/>
        </w:rPr>
        <w:t>Crucially, traditional fairness metrics offer limited protection in this setting. Measures such as equalized odds or demographic parity presuppose stable populations and well-defined protected attributes</w:t>
      </w:r>
      <w:r w:rsidR="00833446">
        <w:rPr>
          <w:sz w:val="20"/>
          <w:szCs w:val="20"/>
        </w:rPr>
        <w:t xml:space="preserve"> (</w:t>
      </w:r>
      <w:r w:rsidRPr="00B14705">
        <w:rPr>
          <w:sz w:val="20"/>
          <w:szCs w:val="20"/>
        </w:rPr>
        <w:t>assumptions that rarely hold in infrastructure, cybersecurity, or public-sector domains</w:t>
      </w:r>
      <w:r w:rsidR="00E06FA1">
        <w:rPr>
          <w:sz w:val="20"/>
          <w:szCs w:val="20"/>
        </w:rPr>
        <w:t>)</w:t>
      </w:r>
      <w:r w:rsidRPr="00B14705">
        <w:rPr>
          <w:sz w:val="20"/>
          <w:szCs w:val="20"/>
        </w:rPr>
        <w:t xml:space="preserve">. The relevant question is not whether alerts are </w:t>
      </w:r>
      <w:r w:rsidR="00E06FA1">
        <w:rPr>
          <w:sz w:val="20"/>
          <w:szCs w:val="20"/>
        </w:rPr>
        <w:t>"</w:t>
      </w:r>
      <w:r w:rsidRPr="00B14705">
        <w:rPr>
          <w:sz w:val="20"/>
          <w:szCs w:val="20"/>
        </w:rPr>
        <w:t>fair</w:t>
      </w:r>
      <w:r w:rsidR="00E06FA1">
        <w:rPr>
          <w:sz w:val="20"/>
          <w:szCs w:val="20"/>
        </w:rPr>
        <w:t>"</w:t>
      </w:r>
      <w:r w:rsidRPr="00B14705">
        <w:rPr>
          <w:sz w:val="20"/>
          <w:szCs w:val="20"/>
        </w:rPr>
        <w:t xml:space="preserve"> in an abstract sense, but whether error is </w:t>
      </w:r>
      <w:r w:rsidRPr="00B14705">
        <w:rPr>
          <w:i/>
          <w:iCs/>
          <w:sz w:val="20"/>
          <w:szCs w:val="20"/>
        </w:rPr>
        <w:t>systematically concentrated</w:t>
      </w:r>
      <w:r w:rsidRPr="00B14705">
        <w:rPr>
          <w:sz w:val="20"/>
          <w:szCs w:val="20"/>
        </w:rPr>
        <w:t xml:space="preserve"> in ways that undermine mission objectives, safety margins, or fiscal accountability.</w:t>
      </w:r>
    </w:p>
    <w:p w14:paraId="4EE104FD" w14:textId="6AAF316A" w:rsidR="00974D35" w:rsidRDefault="00B14705" w:rsidP="00E828B3">
      <w:pPr>
        <w:ind w:firstLine="288"/>
        <w:jc w:val="both"/>
        <w:rPr>
          <w:sz w:val="20"/>
          <w:szCs w:val="20"/>
        </w:rPr>
      </w:pPr>
      <w:r w:rsidRPr="00B14705">
        <w:rPr>
          <w:sz w:val="20"/>
          <w:szCs w:val="20"/>
        </w:rPr>
        <w:t>Mitigating bias in alert classification</w:t>
      </w:r>
      <w:r w:rsidR="006D42AF">
        <w:rPr>
          <w:sz w:val="20"/>
          <w:szCs w:val="20"/>
        </w:rPr>
        <w:t>, therefore,</w:t>
      </w:r>
      <w:r w:rsidRPr="00B14705">
        <w:rPr>
          <w:sz w:val="20"/>
          <w:szCs w:val="20"/>
        </w:rPr>
        <w:t xml:space="preserve"> requires governance interventions upstream of model training. Dataset documentation, explicit articulation of labeling policies, and continuous bias audits must be treated as operational controls rather than ethical add-ons. Bias cannot be eliminated, but it can be bounded, surfaced, and managed</w:t>
      </w:r>
      <w:r w:rsidR="00D04AE2">
        <w:rPr>
          <w:sz w:val="20"/>
          <w:szCs w:val="20"/>
        </w:rPr>
        <w:t xml:space="preserve"> (</w:t>
      </w:r>
      <w:r w:rsidRPr="00B14705">
        <w:rPr>
          <w:sz w:val="20"/>
          <w:szCs w:val="20"/>
        </w:rPr>
        <w:t xml:space="preserve">provided </w:t>
      </w:r>
      <w:r w:rsidR="000F0DB8">
        <w:rPr>
          <w:sz w:val="20"/>
          <w:szCs w:val="20"/>
        </w:rPr>
        <w:t>that it is recognized as an architectural property of socio-technical systems, rather than</w:t>
      </w:r>
      <w:r w:rsidRPr="00B14705">
        <w:rPr>
          <w:sz w:val="20"/>
          <w:szCs w:val="20"/>
        </w:rPr>
        <w:t xml:space="preserve"> a flaw that can be </w:t>
      </w:r>
      <w:r w:rsidR="006D42AF">
        <w:rPr>
          <w:sz w:val="20"/>
          <w:szCs w:val="20"/>
        </w:rPr>
        <w:t>remedied by post hoc</w:t>
      </w:r>
      <w:r w:rsidRPr="00B14705">
        <w:rPr>
          <w:sz w:val="20"/>
          <w:szCs w:val="20"/>
        </w:rPr>
        <w:t xml:space="preserve"> calibration alone</w:t>
      </w:r>
      <w:r w:rsidR="00D04AE2">
        <w:rPr>
          <w:sz w:val="20"/>
          <w:szCs w:val="20"/>
        </w:rPr>
        <w:t>)</w:t>
      </w:r>
      <w:r w:rsidRPr="00B14705">
        <w:rPr>
          <w:sz w:val="20"/>
          <w:szCs w:val="20"/>
        </w:rPr>
        <w:t>.</w:t>
      </w:r>
      <w:r w:rsidR="00E828B3">
        <w:rPr>
          <w:sz w:val="20"/>
          <w:szCs w:val="20"/>
        </w:rPr>
        <w:t xml:space="preserve"> </w:t>
      </w:r>
    </w:p>
    <w:p w14:paraId="7E6CDBE4" w14:textId="5F5CA2B8" w:rsidR="00B14705" w:rsidRDefault="00342E2A" w:rsidP="006D42AF">
      <w:pPr>
        <w:ind w:firstLine="288"/>
        <w:jc w:val="both"/>
        <w:rPr>
          <w:sz w:val="20"/>
          <w:szCs w:val="20"/>
        </w:rPr>
      </w:pPr>
      <w:r>
        <w:rPr>
          <w:sz w:val="20"/>
          <w:szCs w:val="20"/>
        </w:rPr>
        <w:t xml:space="preserve">In </w:t>
      </w:r>
      <w:r w:rsidRPr="000F0DB8">
        <w:rPr>
          <w:b/>
          <w:bCs/>
          <w:sz w:val="20"/>
          <w:szCs w:val="20"/>
        </w:rPr>
        <w:t>Figure 6.1</w:t>
      </w:r>
      <w:r>
        <w:rPr>
          <w:sz w:val="20"/>
          <w:szCs w:val="20"/>
        </w:rPr>
        <w:t>, we present a representation of bias in operational alerting systems that emerges through repeated interactions among</w:t>
      </w:r>
      <w:r w:rsidR="00E828B3" w:rsidRPr="00E828B3">
        <w:rPr>
          <w:sz w:val="20"/>
          <w:szCs w:val="20"/>
        </w:rPr>
        <w:t xml:space="preserve"> telemetry coverage, human triage behavior, retraining practices, and resource allocation. Rather than entering at a single point, bias manifests as a distortion field that selectively amplifies some alerts while suppressing others over time.</w:t>
      </w:r>
    </w:p>
    <w:p w14:paraId="057FCC2C" w14:textId="77777777" w:rsidR="006550FA" w:rsidRDefault="00EF13E4" w:rsidP="00B743A3">
      <w:pPr>
        <w:keepNext/>
        <w:ind w:firstLine="288"/>
        <w:jc w:val="center"/>
      </w:pPr>
      <w:r>
        <w:rPr>
          <w:sz w:val="20"/>
          <w:szCs w:val="20"/>
        </w:rPr>
        <w:pict w14:anchorId="2BC65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299.5pt;height:199.7pt">
            <v:imagedata r:id="rId8" o:title="figure6.1"/>
          </v:shape>
        </w:pict>
      </w:r>
    </w:p>
    <w:p w14:paraId="1787A480" w14:textId="50337633" w:rsidR="00EF13E4" w:rsidRDefault="006550FA" w:rsidP="006550FA">
      <w:pPr>
        <w:pStyle w:val="Caption"/>
        <w:jc w:val="both"/>
      </w:pPr>
      <w:r>
        <w:t>Figure 6.</w:t>
      </w:r>
      <w:fldSimple w:instr=" SEQ Figure_6. \* ARABIC ">
        <w:r w:rsidR="003C5569">
          <w:rPr>
            <w:noProof/>
          </w:rPr>
          <w:t>1</w:t>
        </w:r>
      </w:fldSimple>
      <w:r>
        <w:t xml:space="preserve"> </w:t>
      </w:r>
      <w:r w:rsidRPr="00182185">
        <w:t>Bias as a Feedback Field in Alerting Systems.</w:t>
      </w:r>
    </w:p>
    <w:p w14:paraId="4931D5C9" w14:textId="11478F23" w:rsidR="006A32F5" w:rsidRDefault="006A32F5" w:rsidP="0092094D">
      <w:pPr>
        <w:ind w:firstLine="288"/>
        <w:jc w:val="both"/>
        <w:rPr>
          <w:sz w:val="20"/>
          <w:szCs w:val="20"/>
        </w:rPr>
      </w:pPr>
      <w:r w:rsidRPr="0078792B">
        <w:rPr>
          <w:sz w:val="20"/>
          <w:szCs w:val="20"/>
        </w:rPr>
        <w:pict w14:anchorId="403A226D">
          <v:rect id="_x0000_i1057" style="width:0;height:1.5pt" o:hralign="center" o:hrstd="t" o:hr="t" fillcolor="#a0a0a0" stroked="f"/>
        </w:pict>
      </w:r>
    </w:p>
    <w:p w14:paraId="1AF379FB" w14:textId="3FD77F0C" w:rsidR="0092094D" w:rsidRDefault="00620C81" w:rsidP="0092094D">
      <w:pPr>
        <w:ind w:firstLine="288"/>
        <w:jc w:val="both"/>
        <w:rPr>
          <w:sz w:val="20"/>
          <w:szCs w:val="20"/>
        </w:rPr>
      </w:pPr>
      <w:r>
        <w:rPr>
          <w:sz w:val="20"/>
          <w:szCs w:val="20"/>
        </w:rPr>
        <w:t xml:space="preserve">The figure </w:t>
      </w:r>
      <w:r w:rsidR="0092094D" w:rsidRPr="00DB0D40">
        <w:rPr>
          <w:sz w:val="20"/>
          <w:szCs w:val="20"/>
        </w:rPr>
        <w:t>illustrates how bias accumulates dynamically rather than originating from a single flawed dataset or decision rule. As alerts circulate through human and automated processes, organizational responses</w:t>
      </w:r>
      <w:r w:rsidR="0092094D">
        <w:rPr>
          <w:sz w:val="20"/>
          <w:szCs w:val="20"/>
        </w:rPr>
        <w:t xml:space="preserve"> (</w:t>
      </w:r>
      <w:r w:rsidR="0092094D" w:rsidRPr="00DB0D40">
        <w:rPr>
          <w:sz w:val="20"/>
          <w:szCs w:val="20"/>
        </w:rPr>
        <w:t>particularly suppression, prioritization, and funding decisions</w:t>
      </w:r>
      <w:r w:rsidR="0092094D">
        <w:rPr>
          <w:sz w:val="20"/>
          <w:szCs w:val="20"/>
        </w:rPr>
        <w:t xml:space="preserve">) </w:t>
      </w:r>
      <w:r w:rsidR="0092094D" w:rsidRPr="00DB0D40">
        <w:rPr>
          <w:sz w:val="20"/>
          <w:szCs w:val="20"/>
        </w:rPr>
        <w:t>reshape the statistical landscape on which future models are trained. Bias</w:t>
      </w:r>
      <w:r w:rsidR="0092094D">
        <w:rPr>
          <w:sz w:val="20"/>
          <w:szCs w:val="20"/>
        </w:rPr>
        <w:t>, therefore,</w:t>
      </w:r>
      <w:r w:rsidR="0092094D" w:rsidRPr="00DB0D40">
        <w:rPr>
          <w:sz w:val="20"/>
          <w:szCs w:val="20"/>
        </w:rPr>
        <w:t xml:space="preserve"> persists not because it is unnoticed, but because it becomes structurally reinforced.</w:t>
      </w:r>
    </w:p>
    <w:p w14:paraId="391ACA4D" w14:textId="029CE0D9" w:rsidR="006550FA" w:rsidRPr="006550FA" w:rsidRDefault="006A32F5" w:rsidP="006550FA">
      <w:r w:rsidRPr="0078792B">
        <w:rPr>
          <w:sz w:val="20"/>
          <w:szCs w:val="20"/>
        </w:rPr>
        <w:pict w14:anchorId="6687CBA8">
          <v:rect id="_x0000_i1054" style="width:0;height:1.5pt" o:hralign="center" o:hrstd="t" o:hr="t" fillcolor="#a0a0a0" stroked="f"/>
        </w:pict>
      </w:r>
    </w:p>
    <w:p w14:paraId="2A3EB490" w14:textId="12FD7EE4" w:rsidR="0040066A" w:rsidRPr="00B14705" w:rsidRDefault="00F265A2" w:rsidP="00F265A2">
      <w:pPr>
        <w:jc w:val="both"/>
        <w:rPr>
          <w:i/>
          <w:iCs/>
          <w:sz w:val="20"/>
          <w:szCs w:val="20"/>
        </w:rPr>
      </w:pPr>
      <w:r w:rsidRPr="00F265A2">
        <w:rPr>
          <w:b/>
          <w:bCs/>
          <w:sz w:val="20"/>
          <w:szCs w:val="20"/>
        </w:rPr>
        <w:t>Sources:</w:t>
      </w:r>
      <w:r>
        <w:rPr>
          <w:i/>
          <w:iCs/>
          <w:sz w:val="20"/>
          <w:szCs w:val="20"/>
        </w:rPr>
        <w:t xml:space="preserve"> </w:t>
      </w:r>
      <w:r w:rsidR="0040066A" w:rsidRPr="0040066A">
        <w:rPr>
          <w:i/>
          <w:iCs/>
          <w:sz w:val="20"/>
          <w:szCs w:val="20"/>
        </w:rPr>
        <w:t>This subsection synthesizes prior work on dataset governance, operational bias, and fairness in socio-technical machine learning systems, particularly Gebru et al. (2018), Holstein et al. (2019), and Binns (2018).</w:t>
      </w:r>
    </w:p>
    <w:p w14:paraId="3B8224D4" w14:textId="34DE9130" w:rsidR="0078792B" w:rsidRPr="0078792B" w:rsidRDefault="0078792B" w:rsidP="0029798A">
      <w:pPr>
        <w:pStyle w:val="Secondaryheadings"/>
      </w:pPr>
      <w:r w:rsidRPr="0078792B">
        <w:t xml:space="preserve">When </w:t>
      </w:r>
      <w:r w:rsidR="000F0DB8" w:rsidRPr="0078792B">
        <w:t>bias becomes a budget decision</w:t>
      </w:r>
    </w:p>
    <w:p w14:paraId="0ACBAED0" w14:textId="77777777" w:rsidR="0078792B" w:rsidRPr="0078792B" w:rsidRDefault="0078792B" w:rsidP="00B14B40">
      <w:pPr>
        <w:ind w:firstLine="288"/>
        <w:jc w:val="both"/>
        <w:rPr>
          <w:sz w:val="20"/>
          <w:szCs w:val="20"/>
        </w:rPr>
      </w:pPr>
      <w:r w:rsidRPr="0078792B">
        <w:rPr>
          <w:sz w:val="20"/>
          <w:szCs w:val="20"/>
        </w:rPr>
        <w:t>A national infrastructure monitoring program deploys an AI-driven alerting system to prioritize maintenance and incident response across thousands of distributed assets. The system is trained on historical incident data labeled by regional operations teams over several years. On paper, performance metrics look strong: high precision, acceptable recall, and steadily declining false positives.</w:t>
      </w:r>
    </w:p>
    <w:p w14:paraId="42FE1437" w14:textId="1CE4BEF3" w:rsidR="0078792B" w:rsidRPr="0078792B" w:rsidRDefault="0078792B" w:rsidP="00B14B40">
      <w:pPr>
        <w:ind w:firstLine="288"/>
        <w:jc w:val="both"/>
        <w:rPr>
          <w:sz w:val="20"/>
          <w:szCs w:val="20"/>
        </w:rPr>
      </w:pPr>
      <w:r w:rsidRPr="0078792B">
        <w:rPr>
          <w:sz w:val="20"/>
          <w:szCs w:val="20"/>
        </w:rPr>
        <w:t xml:space="preserve">Within eighteen months, budget allocation begins to shift. Regions with dense telemetry and mature reporting practices receive disproportionate funding increases, justified by higher </w:t>
      </w:r>
      <w:r w:rsidR="00833446">
        <w:rPr>
          <w:sz w:val="20"/>
          <w:szCs w:val="20"/>
        </w:rPr>
        <w:t>"</w:t>
      </w:r>
      <w:r w:rsidRPr="0078792B">
        <w:rPr>
          <w:sz w:val="20"/>
          <w:szCs w:val="20"/>
        </w:rPr>
        <w:t>model-detected risk.</w:t>
      </w:r>
      <w:r w:rsidR="00D7740B" w:rsidRPr="009C5BC3">
        <w:rPr>
          <w:sz w:val="20"/>
          <w:szCs w:val="20"/>
        </w:rPr>
        <w:t>"</w:t>
      </w:r>
      <w:r w:rsidRPr="0078792B">
        <w:rPr>
          <w:sz w:val="20"/>
          <w:szCs w:val="20"/>
        </w:rPr>
        <w:t xml:space="preserve"> </w:t>
      </w:r>
      <w:r w:rsidR="00B14B40" w:rsidRPr="009C5BC3">
        <w:rPr>
          <w:sz w:val="20"/>
          <w:szCs w:val="20"/>
        </w:rPr>
        <w:t xml:space="preserve">Less-instrumented regions, </w:t>
      </w:r>
      <w:r w:rsidRPr="0078792B">
        <w:rPr>
          <w:sz w:val="20"/>
          <w:szCs w:val="20"/>
        </w:rPr>
        <w:t>often older, more failure-prone, and politically quieter</w:t>
      </w:r>
      <w:r w:rsidR="00B14B40" w:rsidRPr="009C5BC3">
        <w:rPr>
          <w:sz w:val="20"/>
          <w:szCs w:val="20"/>
        </w:rPr>
        <w:t xml:space="preserve">, </w:t>
      </w:r>
      <w:r w:rsidRPr="0078792B">
        <w:rPr>
          <w:sz w:val="20"/>
          <w:szCs w:val="20"/>
        </w:rPr>
        <w:t>show fewer alerts and are deprioritized. No one flags this as bias; it appears data-driven.</w:t>
      </w:r>
    </w:p>
    <w:p w14:paraId="285A53BB" w14:textId="5B1E5CCE" w:rsidR="0078792B" w:rsidRPr="0078792B" w:rsidRDefault="0078792B" w:rsidP="00B14B40">
      <w:pPr>
        <w:ind w:firstLine="288"/>
        <w:jc w:val="both"/>
        <w:rPr>
          <w:sz w:val="20"/>
          <w:szCs w:val="20"/>
        </w:rPr>
      </w:pPr>
      <w:r w:rsidRPr="0078792B">
        <w:rPr>
          <w:sz w:val="20"/>
          <w:szCs w:val="20"/>
        </w:rPr>
        <w:t xml:space="preserve">The failure </w:t>
      </w:r>
      <w:r w:rsidR="00B14B40" w:rsidRPr="009C5BC3">
        <w:rPr>
          <w:sz w:val="20"/>
          <w:szCs w:val="20"/>
        </w:rPr>
        <w:t>occurs during a cascading outage originating in an underfunded region</w:t>
      </w:r>
      <w:r w:rsidRPr="0078792B">
        <w:rPr>
          <w:sz w:val="20"/>
          <w:szCs w:val="20"/>
        </w:rPr>
        <w:t xml:space="preserve">. Post-incident analysis reveals </w:t>
      </w:r>
      <w:r w:rsidR="00B14B40" w:rsidRPr="009C5BC3">
        <w:rPr>
          <w:sz w:val="20"/>
          <w:szCs w:val="20"/>
        </w:rPr>
        <w:t xml:space="preserve">that the root cause was evident months earlier, as weak, noisy alerts were </w:t>
      </w:r>
      <w:r w:rsidRPr="0078792B">
        <w:rPr>
          <w:sz w:val="20"/>
          <w:szCs w:val="20"/>
        </w:rPr>
        <w:t xml:space="preserve">repeatedly dismissed by analysts and down-weighted during retraining. The model did not </w:t>
      </w:r>
      <w:r w:rsidR="00B14B40" w:rsidRPr="009C5BC3">
        <w:rPr>
          <w:sz w:val="20"/>
          <w:szCs w:val="20"/>
        </w:rPr>
        <w:t>"</w:t>
      </w:r>
      <w:r w:rsidRPr="0078792B">
        <w:rPr>
          <w:sz w:val="20"/>
          <w:szCs w:val="20"/>
        </w:rPr>
        <w:t>miss</w:t>
      </w:r>
      <w:r w:rsidR="00B14B40" w:rsidRPr="009C5BC3">
        <w:rPr>
          <w:sz w:val="20"/>
          <w:szCs w:val="20"/>
        </w:rPr>
        <w:t>"</w:t>
      </w:r>
      <w:r w:rsidRPr="0078792B">
        <w:rPr>
          <w:sz w:val="20"/>
          <w:szCs w:val="20"/>
        </w:rPr>
        <w:t xml:space="preserve"> the risk</w:t>
      </w:r>
      <w:r w:rsidR="00B14B40" w:rsidRPr="009C5BC3">
        <w:rPr>
          <w:sz w:val="20"/>
          <w:szCs w:val="20"/>
        </w:rPr>
        <w:t xml:space="preserve"> (</w:t>
      </w:r>
      <w:r w:rsidRPr="0078792B">
        <w:rPr>
          <w:sz w:val="20"/>
          <w:szCs w:val="20"/>
        </w:rPr>
        <w:t xml:space="preserve">it was </w:t>
      </w:r>
      <w:r w:rsidRPr="0078792B">
        <w:rPr>
          <w:i/>
          <w:iCs/>
          <w:sz w:val="20"/>
          <w:szCs w:val="20"/>
        </w:rPr>
        <w:t>trained not to see it</w:t>
      </w:r>
      <w:r w:rsidR="00B14B40" w:rsidRPr="009C5BC3">
        <w:rPr>
          <w:i/>
          <w:iCs/>
          <w:sz w:val="20"/>
          <w:szCs w:val="20"/>
        </w:rPr>
        <w:t>)</w:t>
      </w:r>
      <w:r w:rsidRPr="0078792B">
        <w:rPr>
          <w:sz w:val="20"/>
          <w:szCs w:val="20"/>
        </w:rPr>
        <w:t>.</w:t>
      </w:r>
    </w:p>
    <w:p w14:paraId="2C4AE6EE" w14:textId="77777777" w:rsidR="0078792B" w:rsidRDefault="0078792B" w:rsidP="00B14B40">
      <w:pPr>
        <w:ind w:firstLine="288"/>
        <w:jc w:val="both"/>
        <w:rPr>
          <w:sz w:val="20"/>
          <w:szCs w:val="20"/>
        </w:rPr>
      </w:pPr>
      <w:r w:rsidRPr="0078792B">
        <w:rPr>
          <w:sz w:val="20"/>
          <w:szCs w:val="20"/>
        </w:rPr>
        <w:t>The ethical failure was not malicious intent or demographic discrimination. It was the absence of governance mechanisms capable of detecting that alert suppression had become a financial signal. By the time the system was audited, the model could no longer reproduce earlier states, the training data had drifted, and accountability dissolved into plausible deniability.</w:t>
      </w:r>
    </w:p>
    <w:p w14:paraId="0177E73D" w14:textId="2860552A" w:rsidR="0040066A" w:rsidRPr="0078792B" w:rsidRDefault="00F265A2" w:rsidP="00F265A2">
      <w:pPr>
        <w:jc w:val="both"/>
        <w:rPr>
          <w:i/>
          <w:iCs/>
          <w:sz w:val="20"/>
          <w:szCs w:val="20"/>
        </w:rPr>
      </w:pPr>
      <w:r w:rsidRPr="00F265A2">
        <w:rPr>
          <w:b/>
          <w:bCs/>
          <w:sz w:val="20"/>
          <w:szCs w:val="20"/>
        </w:rPr>
        <w:t>Sources:</w:t>
      </w:r>
      <w:r>
        <w:rPr>
          <w:b/>
          <w:bCs/>
          <w:sz w:val="20"/>
          <w:szCs w:val="20"/>
        </w:rPr>
        <w:t xml:space="preserve"> </w:t>
      </w:r>
      <w:r w:rsidR="0040066A" w:rsidRPr="0040066A">
        <w:rPr>
          <w:i/>
          <w:iCs/>
          <w:sz w:val="20"/>
          <w:szCs w:val="20"/>
        </w:rPr>
        <w:t>This analysis is informed by research on institutional fairness and the political consequences of algorithmic decision-making, with particular grounding in Binns (2018) and Holstein et al. (2019).</w:t>
      </w:r>
    </w:p>
    <w:p w14:paraId="508A0290" w14:textId="77777777" w:rsidR="0078792B" w:rsidRPr="0078792B" w:rsidRDefault="0078792B" w:rsidP="0078792B">
      <w:r w:rsidRPr="0078792B">
        <w:rPr>
          <w:sz w:val="20"/>
          <w:szCs w:val="20"/>
        </w:rPr>
        <w:pict w14:anchorId="513091F9">
          <v:rect id="_x0000_i1031" style="width:0;height:1.5pt" o:hralign="center" o:hrstd="t" o:hr="t" fillcolor="#a0a0a0" stroked="f"/>
        </w:pict>
      </w:r>
    </w:p>
    <w:p w14:paraId="599140CD" w14:textId="1000D202" w:rsidR="0078792B" w:rsidRPr="0078792B" w:rsidRDefault="0078792B" w:rsidP="009233AF">
      <w:pPr>
        <w:pStyle w:val="Secondaryheadings"/>
      </w:pPr>
      <w:r w:rsidRPr="0078792B">
        <w:t xml:space="preserve">Bias </w:t>
      </w:r>
      <w:r w:rsidR="000F0DB8" w:rsidRPr="0078792B">
        <w:t>control surfaces in</w:t>
      </w:r>
      <w:r w:rsidR="000F0DB8" w:rsidRPr="0078792B">
        <w:rPr>
          <w:bCs/>
        </w:rPr>
        <w:t xml:space="preserve"> </w:t>
      </w:r>
      <w:r w:rsidR="000F0DB8" w:rsidRPr="0078792B">
        <w:t xml:space="preserve">alerting systems </w:t>
      </w:r>
    </w:p>
    <w:p w14:paraId="346FE74B" w14:textId="236E16A9" w:rsidR="0078792B" w:rsidRPr="0078792B" w:rsidRDefault="0078792B" w:rsidP="00833446">
      <w:pPr>
        <w:ind w:firstLine="288"/>
        <w:jc w:val="both"/>
        <w:rPr>
          <w:sz w:val="20"/>
          <w:szCs w:val="20"/>
        </w:rPr>
      </w:pPr>
      <w:r w:rsidRPr="0078792B">
        <w:rPr>
          <w:sz w:val="20"/>
          <w:szCs w:val="20"/>
        </w:rPr>
        <w:t xml:space="preserve">To prevent this class of failure, bias must be </w:t>
      </w:r>
      <w:r w:rsidR="00E9673A">
        <w:rPr>
          <w:sz w:val="20"/>
          <w:szCs w:val="20"/>
        </w:rPr>
        <w:t>treated as a system-level property rather than</w:t>
      </w:r>
      <w:r w:rsidRPr="0078792B">
        <w:rPr>
          <w:sz w:val="20"/>
          <w:szCs w:val="20"/>
        </w:rPr>
        <w:t xml:space="preserve"> as a static metric. Conceptually, bias enters and propagates through three primary surfaces:</w:t>
      </w:r>
    </w:p>
    <w:p w14:paraId="4408F486" w14:textId="0AFB5B27" w:rsidR="0078792B" w:rsidRPr="0078792B" w:rsidRDefault="0078792B" w:rsidP="00B46279">
      <w:pPr>
        <w:numPr>
          <w:ilvl w:val="0"/>
          <w:numId w:val="10"/>
        </w:numPr>
        <w:jc w:val="both"/>
        <w:rPr>
          <w:sz w:val="20"/>
          <w:szCs w:val="20"/>
        </w:rPr>
      </w:pPr>
      <w:r w:rsidRPr="0078792B">
        <w:rPr>
          <w:b/>
          <w:bCs/>
          <w:sz w:val="20"/>
          <w:szCs w:val="20"/>
        </w:rPr>
        <w:t xml:space="preserve">Data </w:t>
      </w:r>
      <w:r w:rsidR="000F0DB8" w:rsidRPr="0078792B">
        <w:rPr>
          <w:b/>
          <w:bCs/>
          <w:sz w:val="20"/>
          <w:szCs w:val="20"/>
        </w:rPr>
        <w:t>ingress layer</w:t>
      </w:r>
    </w:p>
    <w:p w14:paraId="26998F13" w14:textId="77777777" w:rsidR="0078792B" w:rsidRPr="0078792B" w:rsidRDefault="0078792B" w:rsidP="00B46279">
      <w:pPr>
        <w:numPr>
          <w:ilvl w:val="1"/>
          <w:numId w:val="10"/>
        </w:numPr>
        <w:jc w:val="both"/>
        <w:rPr>
          <w:sz w:val="20"/>
          <w:szCs w:val="20"/>
        </w:rPr>
      </w:pPr>
      <w:r w:rsidRPr="0078792B">
        <w:rPr>
          <w:sz w:val="20"/>
          <w:szCs w:val="20"/>
        </w:rPr>
        <w:t>Sensor coverage asymmetry</w:t>
      </w:r>
    </w:p>
    <w:p w14:paraId="6C128FEF" w14:textId="77777777" w:rsidR="0078792B" w:rsidRPr="0078792B" w:rsidRDefault="0078792B" w:rsidP="00B46279">
      <w:pPr>
        <w:numPr>
          <w:ilvl w:val="1"/>
          <w:numId w:val="10"/>
        </w:numPr>
        <w:jc w:val="both"/>
        <w:rPr>
          <w:sz w:val="20"/>
          <w:szCs w:val="20"/>
        </w:rPr>
      </w:pPr>
      <w:r w:rsidRPr="0078792B">
        <w:rPr>
          <w:sz w:val="20"/>
          <w:szCs w:val="20"/>
        </w:rPr>
        <w:t>Logging fidelity differences</w:t>
      </w:r>
    </w:p>
    <w:p w14:paraId="1F28C155" w14:textId="77777777" w:rsidR="0078792B" w:rsidRPr="0078792B" w:rsidRDefault="0078792B" w:rsidP="0029798A">
      <w:pPr>
        <w:numPr>
          <w:ilvl w:val="1"/>
          <w:numId w:val="10"/>
        </w:numPr>
        <w:rPr>
          <w:sz w:val="20"/>
          <w:szCs w:val="20"/>
        </w:rPr>
      </w:pPr>
      <w:r w:rsidRPr="0078792B">
        <w:rPr>
          <w:sz w:val="20"/>
          <w:szCs w:val="20"/>
        </w:rPr>
        <w:t>Selective data retention</w:t>
      </w:r>
      <w:r w:rsidRPr="0078792B">
        <w:rPr>
          <w:sz w:val="20"/>
          <w:szCs w:val="20"/>
        </w:rPr>
        <w:br/>
        <w:t xml:space="preserve">These factors determine </w:t>
      </w:r>
      <w:r w:rsidRPr="0078792B">
        <w:rPr>
          <w:i/>
          <w:iCs/>
          <w:sz w:val="20"/>
          <w:szCs w:val="20"/>
        </w:rPr>
        <w:t>what can be seen</w:t>
      </w:r>
      <w:r w:rsidRPr="0078792B">
        <w:rPr>
          <w:sz w:val="20"/>
          <w:szCs w:val="20"/>
        </w:rPr>
        <w:t xml:space="preserve"> before any model is trained.</w:t>
      </w:r>
    </w:p>
    <w:p w14:paraId="798D96F1" w14:textId="49C549D3" w:rsidR="0078792B" w:rsidRPr="0078792B" w:rsidRDefault="0078792B" w:rsidP="00B46279">
      <w:pPr>
        <w:numPr>
          <w:ilvl w:val="0"/>
          <w:numId w:val="10"/>
        </w:numPr>
        <w:jc w:val="both"/>
        <w:rPr>
          <w:sz w:val="20"/>
          <w:szCs w:val="20"/>
        </w:rPr>
      </w:pPr>
      <w:r w:rsidRPr="0078792B">
        <w:rPr>
          <w:b/>
          <w:bCs/>
          <w:sz w:val="20"/>
          <w:szCs w:val="20"/>
        </w:rPr>
        <w:t xml:space="preserve">Labeling </w:t>
      </w:r>
      <w:r w:rsidR="000F0DB8" w:rsidRPr="0078792B">
        <w:rPr>
          <w:b/>
          <w:bCs/>
          <w:sz w:val="20"/>
          <w:szCs w:val="20"/>
        </w:rPr>
        <w:t>and feedback layer</w:t>
      </w:r>
    </w:p>
    <w:p w14:paraId="47E49D2D" w14:textId="77777777" w:rsidR="0078792B" w:rsidRPr="0078792B" w:rsidRDefault="0078792B" w:rsidP="00B46279">
      <w:pPr>
        <w:numPr>
          <w:ilvl w:val="1"/>
          <w:numId w:val="10"/>
        </w:numPr>
        <w:jc w:val="both"/>
        <w:rPr>
          <w:sz w:val="20"/>
          <w:szCs w:val="20"/>
        </w:rPr>
      </w:pPr>
      <w:r w:rsidRPr="0078792B">
        <w:rPr>
          <w:sz w:val="20"/>
          <w:szCs w:val="20"/>
        </w:rPr>
        <w:t>Analyst confirmation bias</w:t>
      </w:r>
    </w:p>
    <w:p w14:paraId="286EAA7B" w14:textId="77777777" w:rsidR="0078792B" w:rsidRPr="0078792B" w:rsidRDefault="0078792B" w:rsidP="00B46279">
      <w:pPr>
        <w:numPr>
          <w:ilvl w:val="1"/>
          <w:numId w:val="10"/>
        </w:numPr>
        <w:jc w:val="both"/>
        <w:rPr>
          <w:sz w:val="20"/>
          <w:szCs w:val="20"/>
        </w:rPr>
      </w:pPr>
      <w:r w:rsidRPr="0078792B">
        <w:rPr>
          <w:sz w:val="20"/>
          <w:szCs w:val="20"/>
        </w:rPr>
        <w:t>Alert fatigue-driven dismissal</w:t>
      </w:r>
    </w:p>
    <w:p w14:paraId="388EF013" w14:textId="17A7D015" w:rsidR="0078792B" w:rsidRPr="0078792B" w:rsidRDefault="0078792B" w:rsidP="00833446">
      <w:pPr>
        <w:numPr>
          <w:ilvl w:val="1"/>
          <w:numId w:val="10"/>
        </w:numPr>
        <w:rPr>
          <w:sz w:val="20"/>
          <w:szCs w:val="20"/>
        </w:rPr>
      </w:pPr>
      <w:r w:rsidRPr="0078792B">
        <w:rPr>
          <w:sz w:val="20"/>
          <w:szCs w:val="20"/>
        </w:rPr>
        <w:t>Policy-driven escalation thresholds</w:t>
      </w:r>
      <w:r w:rsidRPr="0078792B">
        <w:rPr>
          <w:sz w:val="20"/>
          <w:szCs w:val="20"/>
        </w:rPr>
        <w:br/>
        <w:t xml:space="preserve">This layer </w:t>
      </w:r>
      <w:r w:rsidR="006F6550">
        <w:rPr>
          <w:sz w:val="20"/>
          <w:szCs w:val="20"/>
        </w:rPr>
        <w:t xml:space="preserve">directly encodes organizational behavior into the </w:t>
      </w:r>
      <w:r w:rsidRPr="0078792B">
        <w:rPr>
          <w:sz w:val="20"/>
          <w:szCs w:val="20"/>
        </w:rPr>
        <w:t>ground truth.</w:t>
      </w:r>
    </w:p>
    <w:p w14:paraId="5E9CD601" w14:textId="211017D9" w:rsidR="0078792B" w:rsidRPr="0078792B" w:rsidRDefault="0078792B" w:rsidP="00B46279">
      <w:pPr>
        <w:numPr>
          <w:ilvl w:val="0"/>
          <w:numId w:val="10"/>
        </w:numPr>
        <w:jc w:val="both"/>
        <w:rPr>
          <w:sz w:val="20"/>
          <w:szCs w:val="20"/>
        </w:rPr>
      </w:pPr>
      <w:r w:rsidRPr="0078792B">
        <w:rPr>
          <w:b/>
          <w:bCs/>
          <w:sz w:val="20"/>
          <w:szCs w:val="20"/>
        </w:rPr>
        <w:t xml:space="preserve">Model and </w:t>
      </w:r>
      <w:r w:rsidR="000F0DB8" w:rsidRPr="0078792B">
        <w:rPr>
          <w:b/>
          <w:bCs/>
          <w:sz w:val="20"/>
          <w:szCs w:val="20"/>
        </w:rPr>
        <w:t>policy layer</w:t>
      </w:r>
    </w:p>
    <w:p w14:paraId="41CABAAE" w14:textId="77777777" w:rsidR="0078792B" w:rsidRPr="0078792B" w:rsidRDefault="0078792B" w:rsidP="00B46279">
      <w:pPr>
        <w:numPr>
          <w:ilvl w:val="1"/>
          <w:numId w:val="10"/>
        </w:numPr>
        <w:jc w:val="both"/>
        <w:rPr>
          <w:sz w:val="20"/>
          <w:szCs w:val="20"/>
        </w:rPr>
      </w:pPr>
      <w:r w:rsidRPr="0078792B">
        <w:rPr>
          <w:sz w:val="20"/>
          <w:szCs w:val="20"/>
        </w:rPr>
        <w:t>Class imbalance handling</w:t>
      </w:r>
    </w:p>
    <w:p w14:paraId="196888A5" w14:textId="77777777" w:rsidR="0078792B" w:rsidRPr="0078792B" w:rsidRDefault="0078792B" w:rsidP="00B46279">
      <w:pPr>
        <w:numPr>
          <w:ilvl w:val="1"/>
          <w:numId w:val="10"/>
        </w:numPr>
        <w:jc w:val="both"/>
        <w:rPr>
          <w:sz w:val="20"/>
          <w:szCs w:val="20"/>
        </w:rPr>
      </w:pPr>
      <w:r w:rsidRPr="0078792B">
        <w:rPr>
          <w:sz w:val="20"/>
          <w:szCs w:val="20"/>
        </w:rPr>
        <w:t>Proxy feature selection</w:t>
      </w:r>
    </w:p>
    <w:p w14:paraId="5A4ED6D7" w14:textId="77777777" w:rsidR="0078792B" w:rsidRPr="0078792B" w:rsidRDefault="0078792B" w:rsidP="00833446">
      <w:pPr>
        <w:numPr>
          <w:ilvl w:val="1"/>
          <w:numId w:val="10"/>
        </w:numPr>
        <w:rPr>
          <w:sz w:val="20"/>
          <w:szCs w:val="20"/>
        </w:rPr>
      </w:pPr>
      <w:r w:rsidRPr="0078792B">
        <w:rPr>
          <w:sz w:val="20"/>
          <w:szCs w:val="20"/>
        </w:rPr>
        <w:t>Retraining cadence and criteria</w:t>
      </w:r>
      <w:r w:rsidRPr="0078792B">
        <w:rPr>
          <w:sz w:val="20"/>
          <w:szCs w:val="20"/>
        </w:rPr>
        <w:br/>
        <w:t>Here, historical bias is normalized into operational logic.</w:t>
      </w:r>
    </w:p>
    <w:p w14:paraId="1D94D917" w14:textId="604B42B0" w:rsidR="0078792B" w:rsidRPr="0078792B" w:rsidRDefault="0078792B" w:rsidP="00F46908">
      <w:pPr>
        <w:ind w:firstLine="288"/>
        <w:jc w:val="both"/>
        <w:rPr>
          <w:sz w:val="20"/>
          <w:szCs w:val="20"/>
        </w:rPr>
      </w:pPr>
      <w:r w:rsidRPr="0078792B">
        <w:rPr>
          <w:sz w:val="20"/>
          <w:szCs w:val="20"/>
        </w:rPr>
        <w:t xml:space="preserve">Effective governance introduces </w:t>
      </w:r>
      <w:r w:rsidRPr="0078792B">
        <w:rPr>
          <w:b/>
          <w:bCs/>
          <w:sz w:val="20"/>
          <w:szCs w:val="20"/>
        </w:rPr>
        <w:t>control surfaces</w:t>
      </w:r>
      <w:r w:rsidRPr="0078792B">
        <w:rPr>
          <w:sz w:val="20"/>
          <w:szCs w:val="20"/>
        </w:rPr>
        <w:t xml:space="preserve"> at each layer:</w:t>
      </w:r>
    </w:p>
    <w:p w14:paraId="7258F8CE" w14:textId="77777777" w:rsidR="0078792B" w:rsidRPr="0078792B" w:rsidRDefault="0078792B" w:rsidP="00B46279">
      <w:pPr>
        <w:numPr>
          <w:ilvl w:val="0"/>
          <w:numId w:val="11"/>
        </w:numPr>
        <w:jc w:val="both"/>
        <w:rPr>
          <w:sz w:val="20"/>
          <w:szCs w:val="20"/>
        </w:rPr>
      </w:pPr>
      <w:r w:rsidRPr="0078792B">
        <w:rPr>
          <w:sz w:val="20"/>
          <w:szCs w:val="20"/>
        </w:rPr>
        <w:t>Dataset documentation and coverage audits at ingress</w:t>
      </w:r>
    </w:p>
    <w:p w14:paraId="5A4DF28B" w14:textId="77777777" w:rsidR="0078792B" w:rsidRPr="0078792B" w:rsidRDefault="0078792B" w:rsidP="00B46279">
      <w:pPr>
        <w:numPr>
          <w:ilvl w:val="0"/>
          <w:numId w:val="11"/>
        </w:numPr>
        <w:jc w:val="both"/>
        <w:rPr>
          <w:sz w:val="20"/>
          <w:szCs w:val="20"/>
        </w:rPr>
      </w:pPr>
      <w:r w:rsidRPr="0078792B">
        <w:rPr>
          <w:sz w:val="20"/>
          <w:szCs w:val="20"/>
        </w:rPr>
        <w:t>Explicit labeling protocols and rejection logging at feedback</w:t>
      </w:r>
    </w:p>
    <w:p w14:paraId="7B5E9423" w14:textId="77777777" w:rsidR="0078792B" w:rsidRPr="0078792B" w:rsidRDefault="0078792B" w:rsidP="00B46279">
      <w:pPr>
        <w:numPr>
          <w:ilvl w:val="0"/>
          <w:numId w:val="11"/>
        </w:numPr>
        <w:jc w:val="both"/>
        <w:rPr>
          <w:sz w:val="20"/>
          <w:szCs w:val="20"/>
        </w:rPr>
      </w:pPr>
      <w:r w:rsidRPr="0078792B">
        <w:rPr>
          <w:sz w:val="20"/>
          <w:szCs w:val="20"/>
        </w:rPr>
        <w:t>Bias stress-testing and counterfactual analysis at the model layer</w:t>
      </w:r>
    </w:p>
    <w:p w14:paraId="7665F427" w14:textId="45AA9D9F" w:rsidR="0078792B" w:rsidRDefault="0078792B" w:rsidP="00833446">
      <w:pPr>
        <w:ind w:firstLine="288"/>
        <w:jc w:val="both"/>
        <w:rPr>
          <w:sz w:val="20"/>
          <w:szCs w:val="20"/>
        </w:rPr>
      </w:pPr>
      <w:r w:rsidRPr="0078792B">
        <w:rPr>
          <w:sz w:val="20"/>
          <w:szCs w:val="20"/>
        </w:rPr>
        <w:t xml:space="preserve">Critically, these controls must be </w:t>
      </w:r>
      <w:r w:rsidRPr="0078792B">
        <w:rPr>
          <w:i/>
          <w:iCs/>
          <w:sz w:val="20"/>
          <w:szCs w:val="20"/>
        </w:rPr>
        <w:t>observable over time</w:t>
      </w:r>
      <w:r w:rsidRPr="0078792B">
        <w:rPr>
          <w:sz w:val="20"/>
          <w:szCs w:val="20"/>
        </w:rPr>
        <w:t>. One-time fairness checks are insufficient; bias evolves as systems learn from their own consequences. Governance architecture</w:t>
      </w:r>
      <w:r w:rsidR="00D7095F">
        <w:rPr>
          <w:sz w:val="20"/>
          <w:szCs w:val="20"/>
        </w:rPr>
        <w:t>, therefore,</w:t>
      </w:r>
      <w:r w:rsidRPr="0078792B">
        <w:rPr>
          <w:sz w:val="20"/>
          <w:szCs w:val="20"/>
        </w:rPr>
        <w:t xml:space="preserve"> requires continuous monitoring of where alerts are suppressed, ignored, or never generated</w:t>
      </w:r>
      <w:r w:rsidR="00D7095F">
        <w:rPr>
          <w:sz w:val="20"/>
          <w:szCs w:val="20"/>
        </w:rPr>
        <w:t>,</w:t>
      </w:r>
      <w:r w:rsidR="001E4FD9">
        <w:rPr>
          <w:sz w:val="20"/>
          <w:szCs w:val="20"/>
        </w:rPr>
        <w:t xml:space="preserve"> </w:t>
      </w:r>
      <w:r w:rsidRPr="0078792B">
        <w:rPr>
          <w:sz w:val="20"/>
          <w:szCs w:val="20"/>
        </w:rPr>
        <w:t xml:space="preserve">and </w:t>
      </w:r>
      <w:r w:rsidR="001E4FD9">
        <w:rPr>
          <w:sz w:val="20"/>
          <w:szCs w:val="20"/>
        </w:rPr>
        <w:t>of the reasons</w:t>
      </w:r>
      <w:r w:rsidRPr="0078792B">
        <w:rPr>
          <w:sz w:val="20"/>
          <w:szCs w:val="20"/>
        </w:rPr>
        <w:t>.</w:t>
      </w:r>
    </w:p>
    <w:p w14:paraId="3DC98562" w14:textId="1583801B" w:rsidR="00DC6330" w:rsidRPr="00DC6330" w:rsidRDefault="00F265A2" w:rsidP="00112F3E">
      <w:pPr>
        <w:pStyle w:val="citationblock"/>
      </w:pPr>
      <w:r w:rsidRPr="00F265A2">
        <w:rPr>
          <w:b/>
          <w:bCs/>
        </w:rPr>
        <w:t>Sources:</w:t>
      </w:r>
      <w:r>
        <w:rPr>
          <w:b/>
          <w:bCs/>
        </w:rPr>
        <w:t xml:space="preserve"> </w:t>
      </w:r>
      <w:r w:rsidR="00DC6330" w:rsidRPr="00DC6330">
        <w:t xml:space="preserve">The governance framing in this section draws on established practices in dataset documentation and model reporting, </w:t>
      </w:r>
      <w:r w:rsidR="004E5946">
        <w:t>particularly those of</w:t>
      </w:r>
      <w:r w:rsidR="00DC6330" w:rsidRPr="00DC6330">
        <w:t xml:space="preserve"> Gebru et al. (2018) and Mitchell et al. (2019).</w:t>
      </w:r>
    </w:p>
    <w:p w14:paraId="40547CAC" w14:textId="77777777" w:rsidR="0078792B" w:rsidRPr="0078792B" w:rsidRDefault="0078792B" w:rsidP="00B46279">
      <w:pPr>
        <w:jc w:val="both"/>
        <w:rPr>
          <w:sz w:val="20"/>
          <w:szCs w:val="20"/>
        </w:rPr>
      </w:pPr>
      <w:r w:rsidRPr="0078792B">
        <w:rPr>
          <w:sz w:val="20"/>
          <w:szCs w:val="20"/>
        </w:rPr>
        <w:pict w14:anchorId="4F5CF079">
          <v:rect id="_x0000_i1032" style="width:0;height:1.5pt" o:hralign="center" o:hrstd="t" o:hr="t" fillcolor="#a0a0a0" stroked="f"/>
        </w:pict>
      </w:r>
    </w:p>
    <w:p w14:paraId="043F99BF" w14:textId="142B9A0D" w:rsidR="0078792B" w:rsidRPr="0078792B" w:rsidRDefault="0078792B" w:rsidP="009233AF">
      <w:pPr>
        <w:pStyle w:val="Secondaryheadings"/>
      </w:pPr>
      <w:r w:rsidRPr="0078792B">
        <w:t xml:space="preserve">6.2 Model </w:t>
      </w:r>
      <w:r w:rsidR="000F0DB8">
        <w:t>v</w:t>
      </w:r>
      <w:r w:rsidRPr="0078792B">
        <w:t xml:space="preserve">ersioning and </w:t>
      </w:r>
      <w:r w:rsidR="000F0DB8">
        <w:t>a</w:t>
      </w:r>
      <w:r w:rsidRPr="0078792B">
        <w:t xml:space="preserve">udit </w:t>
      </w:r>
      <w:r w:rsidR="000F0DB8">
        <w:t>t</w:t>
      </w:r>
      <w:r w:rsidRPr="0078792B">
        <w:t>rails</w:t>
      </w:r>
    </w:p>
    <w:p w14:paraId="16F9DDE6" w14:textId="4578A3E0" w:rsidR="0078792B" w:rsidRPr="0078792B" w:rsidRDefault="0078792B" w:rsidP="00833446">
      <w:pPr>
        <w:ind w:firstLine="288"/>
        <w:jc w:val="both"/>
        <w:rPr>
          <w:sz w:val="20"/>
          <w:szCs w:val="20"/>
        </w:rPr>
      </w:pPr>
      <w:r w:rsidRPr="0078792B">
        <w:rPr>
          <w:sz w:val="20"/>
          <w:szCs w:val="20"/>
        </w:rPr>
        <w:t xml:space="preserve">In operational AI, a model without lineage is an unaccountable actor. When decisions affect safety, public funds, or legal exposure, the inability to reconstruct </w:t>
      </w:r>
      <w:r w:rsidRPr="0078792B">
        <w:rPr>
          <w:i/>
          <w:iCs/>
          <w:sz w:val="20"/>
          <w:szCs w:val="20"/>
        </w:rPr>
        <w:t xml:space="preserve">which model </w:t>
      </w:r>
      <w:r w:rsidR="006F6550">
        <w:rPr>
          <w:i/>
          <w:iCs/>
          <w:sz w:val="20"/>
          <w:szCs w:val="20"/>
        </w:rPr>
        <w:t>made which decisions, when, and under what</w:t>
      </w:r>
      <w:r w:rsidRPr="0078792B">
        <w:rPr>
          <w:i/>
          <w:iCs/>
          <w:sz w:val="20"/>
          <w:szCs w:val="20"/>
        </w:rPr>
        <w:t xml:space="preserve"> assumptions</w:t>
      </w:r>
      <w:r w:rsidRPr="0078792B">
        <w:rPr>
          <w:sz w:val="20"/>
          <w:szCs w:val="20"/>
        </w:rPr>
        <w:t xml:space="preserve"> constitutes a governance failure in its own right.</w:t>
      </w:r>
    </w:p>
    <w:p w14:paraId="0AC28C29" w14:textId="29B035AF" w:rsidR="0078792B" w:rsidRPr="0078792B" w:rsidRDefault="0078792B" w:rsidP="00833446">
      <w:pPr>
        <w:ind w:firstLine="288"/>
        <w:jc w:val="both"/>
        <w:rPr>
          <w:sz w:val="20"/>
          <w:szCs w:val="20"/>
        </w:rPr>
      </w:pPr>
      <w:r w:rsidRPr="0078792B">
        <w:rPr>
          <w:sz w:val="20"/>
          <w:szCs w:val="20"/>
        </w:rPr>
        <w:t>Model versioning must extend beyond artifact storage. It must capture the full decision context, including:</w:t>
      </w:r>
    </w:p>
    <w:p w14:paraId="6487BEEF" w14:textId="77777777" w:rsidR="0078792B" w:rsidRPr="0078792B" w:rsidRDefault="0078792B" w:rsidP="00B46279">
      <w:pPr>
        <w:numPr>
          <w:ilvl w:val="0"/>
          <w:numId w:val="12"/>
        </w:numPr>
        <w:jc w:val="both"/>
        <w:rPr>
          <w:sz w:val="20"/>
          <w:szCs w:val="20"/>
        </w:rPr>
      </w:pPr>
      <w:r w:rsidRPr="0078792B">
        <w:rPr>
          <w:sz w:val="20"/>
          <w:szCs w:val="20"/>
        </w:rPr>
        <w:t>Training data snapshots and sampling logic</w:t>
      </w:r>
    </w:p>
    <w:p w14:paraId="46B4BFF3" w14:textId="77777777" w:rsidR="0078792B" w:rsidRPr="0078792B" w:rsidRDefault="0078792B" w:rsidP="00B46279">
      <w:pPr>
        <w:numPr>
          <w:ilvl w:val="0"/>
          <w:numId w:val="12"/>
        </w:numPr>
        <w:jc w:val="both"/>
        <w:rPr>
          <w:sz w:val="20"/>
          <w:szCs w:val="20"/>
        </w:rPr>
      </w:pPr>
      <w:r w:rsidRPr="0078792B">
        <w:rPr>
          <w:sz w:val="20"/>
          <w:szCs w:val="20"/>
        </w:rPr>
        <w:t>Feature extraction pipelines and transformations</w:t>
      </w:r>
    </w:p>
    <w:p w14:paraId="1F34A10D" w14:textId="77777777" w:rsidR="0078792B" w:rsidRPr="0078792B" w:rsidRDefault="0078792B" w:rsidP="00B46279">
      <w:pPr>
        <w:numPr>
          <w:ilvl w:val="0"/>
          <w:numId w:val="12"/>
        </w:numPr>
        <w:jc w:val="both"/>
        <w:rPr>
          <w:sz w:val="20"/>
          <w:szCs w:val="20"/>
        </w:rPr>
      </w:pPr>
      <w:r w:rsidRPr="0078792B">
        <w:rPr>
          <w:sz w:val="20"/>
          <w:szCs w:val="20"/>
        </w:rPr>
        <w:t>Hyperparameters, thresholds, and policy constraints</w:t>
      </w:r>
    </w:p>
    <w:p w14:paraId="4113260C" w14:textId="77777777" w:rsidR="0078792B" w:rsidRPr="0078792B" w:rsidRDefault="0078792B" w:rsidP="00B46279">
      <w:pPr>
        <w:numPr>
          <w:ilvl w:val="0"/>
          <w:numId w:val="12"/>
        </w:numPr>
        <w:jc w:val="both"/>
        <w:rPr>
          <w:sz w:val="20"/>
          <w:szCs w:val="20"/>
        </w:rPr>
      </w:pPr>
      <w:r w:rsidRPr="0078792B">
        <w:rPr>
          <w:sz w:val="20"/>
          <w:szCs w:val="20"/>
        </w:rPr>
        <w:t>Deployment environment and upstream dependencies</w:t>
      </w:r>
    </w:p>
    <w:p w14:paraId="16A7684A" w14:textId="77777777" w:rsidR="0078792B" w:rsidRPr="0078792B" w:rsidRDefault="0078792B" w:rsidP="00833446">
      <w:pPr>
        <w:ind w:firstLine="288"/>
        <w:jc w:val="both"/>
        <w:rPr>
          <w:sz w:val="20"/>
          <w:szCs w:val="20"/>
        </w:rPr>
      </w:pPr>
      <w:r w:rsidRPr="0078792B">
        <w:rPr>
          <w:sz w:val="20"/>
          <w:szCs w:val="20"/>
        </w:rPr>
        <w:t xml:space="preserve">Without this, post-incident reviews collapse into speculation. Explanations may describe </w:t>
      </w:r>
      <w:r w:rsidRPr="0078792B">
        <w:rPr>
          <w:i/>
          <w:iCs/>
          <w:sz w:val="20"/>
          <w:szCs w:val="20"/>
        </w:rPr>
        <w:t>how</w:t>
      </w:r>
      <w:r w:rsidRPr="0078792B">
        <w:rPr>
          <w:sz w:val="20"/>
          <w:szCs w:val="20"/>
        </w:rPr>
        <w:t xml:space="preserve"> a model behaves in the present, but they cannot justify </w:t>
      </w:r>
      <w:r w:rsidRPr="0078792B">
        <w:rPr>
          <w:i/>
          <w:iCs/>
          <w:sz w:val="20"/>
          <w:szCs w:val="20"/>
        </w:rPr>
        <w:t>why</w:t>
      </w:r>
      <w:r w:rsidRPr="0078792B">
        <w:rPr>
          <w:sz w:val="20"/>
          <w:szCs w:val="20"/>
        </w:rPr>
        <w:t xml:space="preserve"> a past decision occurred. This gap is especially dangerous in systems that retrain continuously or adapt online, where silent drift can invalidate prior assurances without triggering alarms.</w:t>
      </w:r>
    </w:p>
    <w:p w14:paraId="2F588EC3" w14:textId="77777777" w:rsidR="0078792B" w:rsidRPr="0078792B" w:rsidRDefault="0078792B" w:rsidP="00833446">
      <w:pPr>
        <w:ind w:firstLine="288"/>
        <w:jc w:val="both"/>
        <w:rPr>
          <w:sz w:val="20"/>
          <w:szCs w:val="20"/>
        </w:rPr>
      </w:pPr>
      <w:r w:rsidRPr="0078792B">
        <w:rPr>
          <w:sz w:val="20"/>
          <w:szCs w:val="20"/>
        </w:rPr>
        <w:t xml:space="preserve">Audit trails serve two functions. First, they enable </w:t>
      </w:r>
      <w:r w:rsidRPr="0078792B">
        <w:rPr>
          <w:b/>
          <w:bCs/>
          <w:sz w:val="20"/>
          <w:szCs w:val="20"/>
        </w:rPr>
        <w:t>forensic reconstruction</w:t>
      </w:r>
      <w:r w:rsidRPr="0078792B">
        <w:rPr>
          <w:sz w:val="20"/>
          <w:szCs w:val="20"/>
        </w:rPr>
        <w:t xml:space="preserve">, allowing organizations to trace decisions back to specific model states and data regimes. Second, they impose </w:t>
      </w:r>
      <w:r w:rsidRPr="0078792B">
        <w:rPr>
          <w:b/>
          <w:bCs/>
          <w:sz w:val="20"/>
          <w:szCs w:val="20"/>
        </w:rPr>
        <w:t>ex ante discipline</w:t>
      </w:r>
      <w:r w:rsidRPr="0078792B">
        <w:rPr>
          <w:sz w:val="20"/>
          <w:szCs w:val="20"/>
        </w:rPr>
        <w:t>: when teams know decisions are traceable, design shortcuts become visible liabilities rather than invisible optimizations.</w:t>
      </w:r>
    </w:p>
    <w:p w14:paraId="7369AB4C" w14:textId="6864B82D" w:rsidR="0078792B" w:rsidRPr="0078792B" w:rsidRDefault="0078792B" w:rsidP="00833446">
      <w:pPr>
        <w:ind w:firstLine="288"/>
        <w:jc w:val="both"/>
        <w:rPr>
          <w:sz w:val="20"/>
          <w:szCs w:val="20"/>
        </w:rPr>
      </w:pPr>
      <w:r w:rsidRPr="0078792B">
        <w:rPr>
          <w:sz w:val="20"/>
          <w:szCs w:val="20"/>
        </w:rPr>
        <w:t xml:space="preserve">From an ethical standpoint, accountability is temporal. Responsibility cannot be assigned if system evolution is opaque. From an operational standpoint, auditability is </w:t>
      </w:r>
      <w:r w:rsidR="00086DEC">
        <w:rPr>
          <w:sz w:val="20"/>
          <w:szCs w:val="20"/>
        </w:rPr>
        <w:t xml:space="preserve">a </w:t>
      </w:r>
      <w:r w:rsidRPr="0078792B">
        <w:rPr>
          <w:sz w:val="20"/>
          <w:szCs w:val="20"/>
        </w:rPr>
        <w:t>defensive infrastructure</w:t>
      </w:r>
      <w:r w:rsidR="00086DEC">
        <w:rPr>
          <w:sz w:val="20"/>
          <w:szCs w:val="20"/>
        </w:rPr>
        <w:t xml:space="preserve"> that protects organizations not only from technical failure but also </w:t>
      </w:r>
      <w:r w:rsidRPr="0078792B">
        <w:rPr>
          <w:sz w:val="20"/>
          <w:szCs w:val="20"/>
        </w:rPr>
        <w:t>from regulatory, financial, and reputational fallout.</w:t>
      </w:r>
    </w:p>
    <w:p w14:paraId="37DD885B" w14:textId="5EE04872" w:rsidR="0078792B" w:rsidRDefault="0078792B" w:rsidP="00833446">
      <w:pPr>
        <w:ind w:firstLine="288"/>
        <w:jc w:val="both"/>
        <w:rPr>
          <w:sz w:val="20"/>
          <w:szCs w:val="20"/>
        </w:rPr>
      </w:pPr>
      <w:r w:rsidRPr="0078792B">
        <w:rPr>
          <w:sz w:val="20"/>
          <w:szCs w:val="20"/>
        </w:rPr>
        <w:t xml:space="preserve">In this sense, model governance is not about slowing innovation. It is about ensuring that adaptive systems remain </w:t>
      </w:r>
      <w:r w:rsidRPr="0078792B">
        <w:rPr>
          <w:i/>
          <w:iCs/>
          <w:sz w:val="20"/>
          <w:szCs w:val="20"/>
        </w:rPr>
        <w:t>legible to the institutions that depend on them</w:t>
      </w:r>
      <w:r w:rsidRPr="0078792B">
        <w:rPr>
          <w:sz w:val="20"/>
          <w:szCs w:val="20"/>
        </w:rPr>
        <w:t>. Without versioned models and durable audit trails, explainability degrades into narrative, and ethics into after-the-fact rationalization.</w:t>
      </w:r>
    </w:p>
    <w:p w14:paraId="6A26AAA2" w14:textId="5B0155AA" w:rsidR="00B008C2" w:rsidRDefault="001820EA" w:rsidP="00833446">
      <w:pPr>
        <w:ind w:firstLine="288"/>
        <w:jc w:val="both"/>
        <w:rPr>
          <w:sz w:val="20"/>
          <w:szCs w:val="20"/>
        </w:rPr>
      </w:pPr>
      <w:r>
        <w:rPr>
          <w:sz w:val="20"/>
          <w:szCs w:val="20"/>
        </w:rPr>
        <w:t xml:space="preserve">Next, </w:t>
      </w:r>
      <w:r w:rsidR="00321646">
        <w:rPr>
          <w:sz w:val="20"/>
          <w:szCs w:val="20"/>
        </w:rPr>
        <w:t xml:space="preserve">in </w:t>
      </w:r>
      <w:r w:rsidR="00321646" w:rsidRPr="00321646">
        <w:rPr>
          <w:b/>
          <w:bCs/>
          <w:sz w:val="20"/>
          <w:szCs w:val="20"/>
        </w:rPr>
        <w:t>Figure 6.2</w:t>
      </w:r>
      <w:r w:rsidR="00321646">
        <w:rPr>
          <w:sz w:val="20"/>
          <w:szCs w:val="20"/>
        </w:rPr>
        <w:t>,</w:t>
      </w:r>
      <w:r>
        <w:rPr>
          <w:sz w:val="20"/>
          <w:szCs w:val="20"/>
        </w:rPr>
        <w:t xml:space="preserve"> </w:t>
      </w:r>
      <w:r w:rsidR="00321646">
        <w:rPr>
          <w:sz w:val="20"/>
          <w:szCs w:val="20"/>
        </w:rPr>
        <w:t>we see that m</w:t>
      </w:r>
      <w:r w:rsidR="006D6410" w:rsidRPr="006D6410">
        <w:rPr>
          <w:sz w:val="20"/>
          <w:szCs w:val="20"/>
        </w:rPr>
        <w:t>odel accountability depends on the alignment of data state, model state, and policy state at the moment a decision is made. Decisions that fall outside aligned accountability windows cannot be reliably reconstructed or defended, even when model artifacts are retained.</w:t>
      </w:r>
    </w:p>
    <w:p w14:paraId="67489059" w14:textId="77777777" w:rsidR="000F0DB8" w:rsidRDefault="006D6410" w:rsidP="000F0DB8">
      <w:pPr>
        <w:keepNext/>
        <w:ind w:firstLine="288"/>
        <w:jc w:val="both"/>
      </w:pPr>
      <w:r>
        <w:rPr>
          <w:sz w:val="20"/>
          <w:szCs w:val="20"/>
        </w:rPr>
        <w:pict w14:anchorId="7DA60327">
          <v:shape id="_x0000_i1051" type="#_x0000_t75" style="width:299.5pt;height:199.7pt">
            <v:imagedata r:id="rId9" o:title="figure6.2"/>
          </v:shape>
        </w:pict>
      </w:r>
    </w:p>
    <w:p w14:paraId="6D6A653B" w14:textId="65521916" w:rsidR="006D6410" w:rsidRDefault="000F0DB8" w:rsidP="000F0DB8">
      <w:pPr>
        <w:pStyle w:val="Caption"/>
        <w:jc w:val="both"/>
      </w:pPr>
      <w:r>
        <w:t xml:space="preserve">Figure 6. </w:t>
      </w:r>
      <w:fldSimple w:instr=" SEQ Figure_6. \* ARABIC ">
        <w:r w:rsidR="003C5569">
          <w:rPr>
            <w:noProof/>
          </w:rPr>
          <w:t>2</w:t>
        </w:r>
      </w:fldSimple>
      <w:r>
        <w:t xml:space="preserve"> </w:t>
      </w:r>
      <w:r w:rsidRPr="00F05850">
        <w:t>Temporal Model Lineage and Accountability Windows.</w:t>
      </w:r>
    </w:p>
    <w:p w14:paraId="4E4C9306" w14:textId="594E5523" w:rsidR="002E59F9" w:rsidRDefault="002E59F9" w:rsidP="008D1D91">
      <w:pPr>
        <w:pStyle w:val="Body"/>
        <w:rPr>
          <w:lang w:val="en-US"/>
        </w:rPr>
      </w:pPr>
      <w:r w:rsidRPr="0078792B">
        <w:pict w14:anchorId="11287CF4">
          <v:rect id="_x0000_i1058" style="width:0;height:1.5pt" o:hralign="center" o:hrstd="t" o:hr="t" fillcolor="#a0a0a0" stroked="f"/>
        </w:pict>
      </w:r>
    </w:p>
    <w:p w14:paraId="4DDDBA9F" w14:textId="464D535F" w:rsidR="008D1D91" w:rsidRDefault="008D1D91" w:rsidP="008D1D91">
      <w:pPr>
        <w:pStyle w:val="Body"/>
      </w:pPr>
      <w:r w:rsidRPr="008D1D91">
        <w:rPr>
          <w:lang w:val="en-US"/>
        </w:rPr>
        <w:t xml:space="preserve">This figure emphasizes that versioning alone is insufficient for governance. Without temporal alignment across data, model, and policy layers, post-incident reconstruction </w:t>
      </w:r>
      <w:r w:rsidR="002E59F9">
        <w:rPr>
          <w:lang w:val="en-US"/>
        </w:rPr>
        <w:t>becomes approximate</w:t>
      </w:r>
      <w:r w:rsidRPr="008D1D91">
        <w:rPr>
          <w:lang w:val="en-US"/>
        </w:rPr>
        <w:t>. Accountability failures arise not from missing artifacts, but from broken temporal continuity between decisions and the system states that produced them.</w:t>
      </w:r>
    </w:p>
    <w:p w14:paraId="07CC833F" w14:textId="5C37CF40" w:rsidR="008D1D91" w:rsidRPr="0078792B" w:rsidRDefault="002E59F9" w:rsidP="008D1D91">
      <w:r w:rsidRPr="0078792B">
        <w:rPr>
          <w:sz w:val="20"/>
          <w:szCs w:val="20"/>
        </w:rPr>
        <w:pict w14:anchorId="35676FC6">
          <v:rect id="_x0000_i1059" style="width:0;height:1.5pt" o:hralign="center" o:hrstd="t" o:hr="t" fillcolor="#a0a0a0" stroked="f"/>
        </w:pict>
      </w:r>
    </w:p>
    <w:p w14:paraId="38094430" w14:textId="6F06C374" w:rsidR="002E0D90" w:rsidRDefault="00F265A2" w:rsidP="00EB7D83">
      <w:pPr>
        <w:pStyle w:val="citationblock"/>
      </w:pPr>
      <w:r w:rsidRPr="00F265A2">
        <w:rPr>
          <w:b/>
          <w:bCs/>
        </w:rPr>
        <w:t>Sources:</w:t>
      </w:r>
      <w:r>
        <w:rPr>
          <w:b/>
          <w:bCs/>
        </w:rPr>
        <w:t xml:space="preserve"> </w:t>
      </w:r>
      <w:r w:rsidR="00EB7D83" w:rsidRPr="00EB7D83">
        <w:t>This subsection builds on prior work in model accountability, deployment-time safety, and interpretability, notably Mitchell et al. (2019), Amodei et al. (2016), and Doshi-Velez and Kim (2017).</w:t>
      </w:r>
    </w:p>
    <w:p w14:paraId="3A96DDDF" w14:textId="6DE4B273" w:rsidR="00EA6739" w:rsidRPr="00EA6739" w:rsidRDefault="00EA6739" w:rsidP="005375C1">
      <w:pPr>
        <w:pStyle w:val="Secondaryheadings"/>
      </w:pPr>
      <w:r w:rsidRPr="00EA6739">
        <w:t xml:space="preserve">6.3 Explainability </w:t>
      </w:r>
    </w:p>
    <w:p w14:paraId="48CA8ED3" w14:textId="77777777" w:rsidR="00EA6739" w:rsidRPr="00EA6739" w:rsidRDefault="00EA6739" w:rsidP="00EA6739">
      <w:pPr>
        <w:pStyle w:val="Body"/>
        <w:rPr>
          <w:lang w:val="en-US"/>
        </w:rPr>
      </w:pPr>
      <w:r w:rsidRPr="00EA6739">
        <w:rPr>
          <w:lang w:val="en-US"/>
        </w:rPr>
        <w:t xml:space="preserve">Explainability in operational AI is frequently mischaracterized as a matter of user trust or model transparency. In high-stakes environments, this framing is insufficient. When automated decisions influence emergency response, infrastructure shutdowns, financial reallocations, or regulatory enforcement, explanations are not conveniences; they are </w:t>
      </w:r>
      <w:r w:rsidRPr="00EA6739">
        <w:rPr>
          <w:i/>
          <w:iCs/>
          <w:lang w:val="en-US"/>
        </w:rPr>
        <w:t>justifications under scrutiny</w:t>
      </w:r>
      <w:r w:rsidRPr="00EA6739">
        <w:rPr>
          <w:lang w:val="en-US"/>
        </w:rPr>
        <w:t>.</w:t>
      </w:r>
    </w:p>
    <w:p w14:paraId="1DD61430" w14:textId="468EF32E" w:rsidR="00EA6739" w:rsidRPr="00EA6739" w:rsidRDefault="00EA6739" w:rsidP="00EA6739">
      <w:pPr>
        <w:pStyle w:val="Body"/>
        <w:rPr>
          <w:lang w:val="en-US"/>
        </w:rPr>
      </w:pPr>
      <w:r w:rsidRPr="00EA6739">
        <w:rPr>
          <w:lang w:val="en-US"/>
        </w:rPr>
        <w:t xml:space="preserve">Operational explainability must therefore be evaluated against adversarial conditions. An explanation is not adequate </w:t>
      </w:r>
      <w:r w:rsidR="00071701">
        <w:rPr>
          <w:lang w:val="en-US"/>
        </w:rPr>
        <w:t>merely because it is intuitive, visual, or persuasive; it must</w:t>
      </w:r>
      <w:r w:rsidRPr="00EA6739">
        <w:rPr>
          <w:lang w:val="en-US"/>
        </w:rPr>
        <w:t xml:space="preserve"> withstand challenge from auditors, investigators, legal counsel, and domain experts. This requirement sharply distinguishes explanatory tooling from explanatory accountability. Techniques such as local surrogate models or feature attributions may illuminate model behavior, but they do not, by themselves, establish responsibility.</w:t>
      </w:r>
    </w:p>
    <w:p w14:paraId="38D13F9E" w14:textId="1E4CB706" w:rsidR="00EA6739" w:rsidRPr="00EA6739" w:rsidRDefault="00EA6739" w:rsidP="00EA6739">
      <w:pPr>
        <w:pStyle w:val="Body"/>
        <w:rPr>
          <w:lang w:val="en-US"/>
        </w:rPr>
      </w:pPr>
      <w:r w:rsidRPr="00EA6739">
        <w:rPr>
          <w:lang w:val="en-US"/>
        </w:rPr>
        <w:t xml:space="preserve">A common failure mode arises when explainability is treated as a </w:t>
      </w:r>
      <w:r w:rsidR="00071701">
        <w:rPr>
          <w:lang w:val="en-US"/>
        </w:rPr>
        <w:t>post hoc interface layered on top of</w:t>
      </w:r>
      <w:r w:rsidRPr="00EA6739">
        <w:rPr>
          <w:lang w:val="en-US"/>
        </w:rPr>
        <w:t xml:space="preserve"> an otherwise opaque system. Dashboards present importance scores or confidence intervals, yet the underlying decision path remains inseparable from undocumented preprocessing steps, policy thresholds, or retraining artifacts. In such cases, explanation becomes narrative rather than evidence. The system can describe </w:t>
      </w:r>
      <w:r w:rsidRPr="00EA6739">
        <w:rPr>
          <w:i/>
          <w:iCs/>
          <w:lang w:val="en-US"/>
        </w:rPr>
        <w:t>what</w:t>
      </w:r>
      <w:r w:rsidRPr="00EA6739">
        <w:rPr>
          <w:lang w:val="en-US"/>
        </w:rPr>
        <w:t xml:space="preserve"> it appears to value without demonstrating </w:t>
      </w:r>
      <w:r w:rsidRPr="00EA6739">
        <w:rPr>
          <w:i/>
          <w:iCs/>
          <w:lang w:val="en-US"/>
        </w:rPr>
        <w:t>why</w:t>
      </w:r>
      <w:r w:rsidRPr="00EA6739">
        <w:rPr>
          <w:lang w:val="en-US"/>
        </w:rPr>
        <w:t xml:space="preserve"> that valuation is legitimate within organizational or legal constraints.</w:t>
      </w:r>
    </w:p>
    <w:p w14:paraId="4E82637E" w14:textId="77777777" w:rsidR="00EA6739" w:rsidRPr="00EA6739" w:rsidRDefault="00EA6739" w:rsidP="00EA6739">
      <w:pPr>
        <w:pStyle w:val="Body"/>
        <w:rPr>
          <w:lang w:val="en-US"/>
        </w:rPr>
      </w:pPr>
      <w:r w:rsidRPr="00EA6739">
        <w:rPr>
          <w:lang w:val="en-US"/>
        </w:rPr>
        <w:t>In practice, meaningful explainability is inseparable from governance infrastructure. Explanations must be tied to specific model versions, data regimes, and policy contexts. A decision explanation that cannot be reproduced after a model update is operationally void. Similarly, explanations that abstract away uncertainty, dissenting signals, or suppressed alerts create a false sense of determinism, masking the probabilistic nature of automated judgment.</w:t>
      </w:r>
    </w:p>
    <w:p w14:paraId="7B2FC378" w14:textId="77777777" w:rsidR="00EA6739" w:rsidRPr="00EA6739" w:rsidRDefault="00EA6739" w:rsidP="00EA6739">
      <w:pPr>
        <w:pStyle w:val="Body"/>
        <w:rPr>
          <w:lang w:val="en-US"/>
        </w:rPr>
      </w:pPr>
      <w:r w:rsidRPr="00EA6739">
        <w:rPr>
          <w:lang w:val="en-US"/>
        </w:rPr>
        <w:t>Crucially, explainability must align with decision rights. Analysts, managers, and executives require different explanatory resolutions. Over-simplified explanations can obscure systemic risk at the executive level, while overly technical explanations can overwhelm frontline operators. Designing explanations without regard to organizational roles effectively redistributes power without oversight, shifting accountability away from those formally responsible.</w:t>
      </w:r>
    </w:p>
    <w:p w14:paraId="726AC59B" w14:textId="40395B8F" w:rsidR="00EA6739" w:rsidRDefault="00EA6739" w:rsidP="00EA6739">
      <w:pPr>
        <w:pStyle w:val="Body"/>
        <w:rPr>
          <w:lang w:val="en-US"/>
        </w:rPr>
      </w:pPr>
      <w:r w:rsidRPr="00EA6739">
        <w:rPr>
          <w:lang w:val="en-US"/>
        </w:rPr>
        <w:t xml:space="preserve">From an ethical standpoint, the core question is not whether a model can explain itself, but whether an institution can defend the decisions it delegates. Explainability, in this sense, is a property of the </w:t>
      </w:r>
      <w:r w:rsidRPr="00EA6739">
        <w:rPr>
          <w:i/>
          <w:iCs/>
          <w:lang w:val="en-US"/>
        </w:rPr>
        <w:t>socio-technical system</w:t>
      </w:r>
      <w:r w:rsidR="00071701">
        <w:rPr>
          <w:lang w:val="en-US"/>
        </w:rPr>
        <w:t xml:space="preserve"> rather than of</w:t>
      </w:r>
      <w:r w:rsidRPr="00EA6739">
        <w:rPr>
          <w:lang w:val="en-US"/>
        </w:rPr>
        <w:t xml:space="preserve"> the model alone. When lives and budgets are on the line, explanations must </w:t>
      </w:r>
      <w:r w:rsidR="00071701">
        <w:rPr>
          <w:lang w:val="en-US"/>
        </w:rPr>
        <w:t>prioritize governance over intuition</w:t>
      </w:r>
      <w:r w:rsidRPr="00EA6739">
        <w:rPr>
          <w:lang w:val="en-US"/>
        </w:rPr>
        <w:t>.</w:t>
      </w:r>
    </w:p>
    <w:p w14:paraId="5DBD6BF2" w14:textId="77777777" w:rsidR="003C5569" w:rsidRDefault="001D11C1" w:rsidP="003C5569">
      <w:pPr>
        <w:pStyle w:val="Body"/>
        <w:keepNext/>
      </w:pPr>
      <w:r>
        <w:rPr>
          <w:lang w:val="en-US"/>
        </w:rPr>
        <w:pict w14:anchorId="5C463A7C">
          <v:shape id="_x0000_i1060" type="#_x0000_t75" style="width:299.5pt;height:199.7pt">
            <v:imagedata r:id="rId10" o:title="figure6.3"/>
          </v:shape>
        </w:pict>
      </w:r>
    </w:p>
    <w:p w14:paraId="23AB6575" w14:textId="2214A616" w:rsidR="001D11C1" w:rsidRPr="00EA6739" w:rsidRDefault="003C5569" w:rsidP="003C5569">
      <w:pPr>
        <w:pStyle w:val="Caption"/>
        <w:jc w:val="both"/>
      </w:pPr>
      <w:r>
        <w:t xml:space="preserve">Figure 6. </w:t>
      </w:r>
      <w:fldSimple w:instr=" SEQ Figure_6. \* ARABIC ">
        <w:r>
          <w:rPr>
            <w:noProof/>
          </w:rPr>
          <w:t>3</w:t>
        </w:r>
      </w:fldSimple>
      <w:r>
        <w:t xml:space="preserve"> E</w:t>
      </w:r>
      <w:r w:rsidRPr="00506AC6">
        <w:t>xplainability versus defensibility in operational AI.</w:t>
      </w:r>
    </w:p>
    <w:p w14:paraId="093C59A8" w14:textId="211A44AF" w:rsidR="003C5569" w:rsidRDefault="004B5586" w:rsidP="009D5D6A">
      <w:pPr>
        <w:pStyle w:val="Body"/>
        <w:ind w:firstLine="0"/>
        <w:rPr>
          <w:b/>
          <w:bCs/>
        </w:rPr>
      </w:pPr>
      <w:r w:rsidRPr="00EA6739">
        <w:rPr>
          <w:lang w:val="en-US"/>
        </w:rPr>
        <w:pict w14:anchorId="7470A942">
          <v:rect id="_x0000_i1064" style="width:0;height:1.5pt" o:hralign="center" o:hrstd="t" o:hr="t" fillcolor="#a0a0a0" stroked="f"/>
        </w:pict>
      </w:r>
    </w:p>
    <w:p w14:paraId="2EE066E7" w14:textId="49C6CF05" w:rsidR="004B5586" w:rsidRPr="004B5586" w:rsidRDefault="004B5586" w:rsidP="004B5586">
      <w:pPr>
        <w:pStyle w:val="Body"/>
      </w:pPr>
      <w:r w:rsidRPr="004B5586">
        <w:rPr>
          <w:lang w:val="en-US"/>
        </w:rPr>
        <w:t>The figure clarifies why many explainability efforts fail under audit or legal scrutiny. While explanatory tools may clarify model behavior, they do not establish accountability unless coupled to lineage, policy context, and decision rights. Defensibility, not interpretability alone, determines whether automated decisions can be justified when challenged.</w:t>
      </w:r>
    </w:p>
    <w:p w14:paraId="78C95109" w14:textId="434CBA0C" w:rsidR="003C5569" w:rsidRDefault="003C5569" w:rsidP="009D5D6A">
      <w:pPr>
        <w:pStyle w:val="Body"/>
        <w:ind w:firstLine="0"/>
        <w:rPr>
          <w:b/>
          <w:bCs/>
        </w:rPr>
      </w:pPr>
      <w:r w:rsidRPr="0078792B">
        <w:pict w14:anchorId="1B270738">
          <v:rect id="_x0000_i1061" style="width:0;height:1.5pt" o:hralign="center" o:hrstd="t" o:hr="t" fillcolor="#a0a0a0" stroked="f"/>
        </w:pict>
      </w:r>
    </w:p>
    <w:p w14:paraId="052BC49F" w14:textId="5261460D" w:rsidR="00EA6739" w:rsidRDefault="009D5D6A" w:rsidP="009D5D6A">
      <w:pPr>
        <w:pStyle w:val="Body"/>
        <w:ind w:firstLine="0"/>
        <w:rPr>
          <w:i/>
          <w:iCs/>
          <w:lang w:val="en-US"/>
        </w:rPr>
      </w:pPr>
      <w:r w:rsidRPr="00F265A2">
        <w:rPr>
          <w:b/>
          <w:bCs/>
        </w:rPr>
        <w:t>Sources:</w:t>
      </w:r>
      <w:r>
        <w:rPr>
          <w:b/>
          <w:bCs/>
        </w:rPr>
        <w:t xml:space="preserve"> </w:t>
      </w:r>
      <w:r w:rsidR="00EA6739" w:rsidRPr="00EA6739">
        <w:rPr>
          <w:i/>
          <w:iCs/>
          <w:lang w:val="en-US"/>
        </w:rPr>
        <w:t>This block draws on prior work by Ribeiro et al. (2016), Doshi-Velez and Kim (2017), and Amodei et al. (2016).</w:t>
      </w:r>
    </w:p>
    <w:p w14:paraId="03F17283" w14:textId="77777777" w:rsidR="002B4A85" w:rsidRDefault="002B4A85" w:rsidP="009D5D6A">
      <w:pPr>
        <w:pStyle w:val="Body"/>
        <w:ind w:firstLine="0"/>
        <w:rPr>
          <w:i/>
          <w:iCs/>
          <w:lang w:val="en-US"/>
        </w:rPr>
      </w:pPr>
    </w:p>
    <w:p w14:paraId="4C97ED49" w14:textId="12FBE70F" w:rsidR="00203F69" w:rsidRPr="00203F69" w:rsidRDefault="00203F69" w:rsidP="00637B2A">
      <w:pPr>
        <w:pStyle w:val="Secondaryheadings"/>
      </w:pPr>
      <w:r w:rsidRPr="00203F69">
        <w:t>6.4 Governance Examples</w:t>
      </w:r>
    </w:p>
    <w:p w14:paraId="7B76F603" w14:textId="77777777" w:rsidR="00203F69" w:rsidRPr="00203F69" w:rsidRDefault="00203F69" w:rsidP="00203F69">
      <w:pPr>
        <w:pStyle w:val="Body"/>
        <w:rPr>
          <w:lang w:val="en-US"/>
        </w:rPr>
      </w:pPr>
      <w:r w:rsidRPr="00203F69">
        <w:rPr>
          <w:lang w:val="en-US"/>
        </w:rPr>
        <w:t>This section provides concrete examples illustrating how governance requirements discussed in this chapter can be operationalized. The intent is not to prescribe implementation details, but to demonstrate how accountability, traceability, and defensibility can be embedded into deployed AI systems. Code and mathematical formulations are used sparingly, as explanatory artifacts rather than optimization tools.</w:t>
      </w:r>
    </w:p>
    <w:p w14:paraId="1DC8D1E5" w14:textId="77777777" w:rsidR="00203F69" w:rsidRPr="00203F69" w:rsidRDefault="00203F69" w:rsidP="00203F69">
      <w:pPr>
        <w:pStyle w:val="Body"/>
        <w:rPr>
          <w:lang w:val="en-US"/>
        </w:rPr>
      </w:pPr>
      <w:r w:rsidRPr="00203F69">
        <w:rPr>
          <w:lang w:val="en-US"/>
        </w:rPr>
        <w:pict w14:anchorId="33BBF44D">
          <v:rect id="_x0000_i1065" style="width:0;height:1.5pt" o:hralign="center" o:hrstd="t" o:hr="t" fillcolor="#a0a0a0" stroked="f"/>
        </w:pict>
      </w:r>
    </w:p>
    <w:p w14:paraId="3C28FAF5" w14:textId="77777777" w:rsidR="00203F69" w:rsidRPr="00203F69" w:rsidRDefault="00203F69" w:rsidP="00203F69">
      <w:pPr>
        <w:pStyle w:val="Body"/>
        <w:rPr>
          <w:b/>
          <w:bCs/>
          <w:lang w:val="en-US"/>
        </w:rPr>
      </w:pPr>
      <w:r w:rsidRPr="00203F69">
        <w:rPr>
          <w:b/>
          <w:bCs/>
          <w:lang w:val="en-US"/>
        </w:rPr>
        <w:t>6.4.1 Decision Traceability Through Structured Logging</w:t>
      </w:r>
    </w:p>
    <w:p w14:paraId="0B306EC3" w14:textId="5C6117D3" w:rsidR="00203F69" w:rsidRPr="00203F69" w:rsidRDefault="00203F69" w:rsidP="00203F69">
      <w:pPr>
        <w:pStyle w:val="Body"/>
        <w:rPr>
          <w:lang w:val="en-US"/>
        </w:rPr>
      </w:pPr>
      <w:r w:rsidRPr="00203F69">
        <w:rPr>
          <w:lang w:val="en-US"/>
        </w:rPr>
        <w:t xml:space="preserve">A core governance requirement is the ability to reconstruct </w:t>
      </w:r>
      <w:r w:rsidR="00637B2A">
        <w:rPr>
          <w:i/>
          <w:iCs/>
          <w:lang w:val="en-US"/>
        </w:rPr>
        <w:t>the rationale for a specific decision</w:t>
      </w:r>
      <w:r w:rsidRPr="00203F69">
        <w:rPr>
          <w:lang w:val="en-US"/>
        </w:rPr>
        <w:t>, using the system state that existed at the time of execution. This requires more than storing predictions or confidence scores; it requires capturing the decision context as a first-class artifact.</w:t>
      </w:r>
    </w:p>
    <w:p w14:paraId="5C15D594" w14:textId="77777777" w:rsidR="00203F69" w:rsidRPr="00203F69" w:rsidRDefault="00203F69" w:rsidP="00203F69">
      <w:pPr>
        <w:pStyle w:val="Body"/>
        <w:rPr>
          <w:lang w:val="en-US"/>
        </w:rPr>
      </w:pPr>
      <w:r w:rsidRPr="00203F69">
        <w:rPr>
          <w:lang w:val="en-US"/>
        </w:rPr>
        <w:t>The following example illustrates a minimal decision record suitable for audit and post-incident review.</w:t>
      </w:r>
    </w:p>
    <w:p w14:paraId="2BBB2EBE" w14:textId="1F4DD472" w:rsidR="002B4A85" w:rsidRPr="005A3736" w:rsidRDefault="008377D3">
      <w:pPr>
        <w:pStyle w:val="SC-Source"/>
      </w:pPr>
      <w:r w:rsidRPr="005A3736">
        <w:t>```python</w:t>
      </w:r>
    </w:p>
    <w:p w14:paraId="661CEB0E" w14:textId="77777777" w:rsidR="008F748B" w:rsidRPr="005A3736" w:rsidRDefault="008F748B">
      <w:pPr>
        <w:pStyle w:val="SC-Source"/>
      </w:pPr>
      <w:r w:rsidRPr="005A3736">
        <w:t>decision_record = {</w:t>
      </w:r>
    </w:p>
    <w:p w14:paraId="7E72596A" w14:textId="77777777" w:rsidR="008F748B" w:rsidRPr="005A3736" w:rsidRDefault="008F748B">
      <w:pPr>
        <w:pStyle w:val="SC-Source"/>
      </w:pPr>
      <w:r w:rsidRPr="005A3736">
        <w:t xml:space="preserve">    "decision_id": "D-2025-06-1421",</w:t>
      </w:r>
    </w:p>
    <w:p w14:paraId="03DD35D7" w14:textId="77777777" w:rsidR="008F748B" w:rsidRPr="005A3736" w:rsidRDefault="008F748B">
      <w:pPr>
        <w:pStyle w:val="SC-Source"/>
      </w:pPr>
      <w:r w:rsidRPr="005A3736">
        <w:t xml:space="preserve">    "timestamp": "2025-06-18T14:32:11Z",</w:t>
      </w:r>
    </w:p>
    <w:p w14:paraId="5867362C" w14:textId="77777777" w:rsidR="008F748B" w:rsidRPr="005A3736" w:rsidRDefault="008F748B">
      <w:pPr>
        <w:pStyle w:val="SC-Source"/>
      </w:pPr>
      <w:r w:rsidRPr="005A3736">
        <w:t xml:space="preserve">    "model_id": "alert_classifier_v3.4.2",</w:t>
      </w:r>
    </w:p>
    <w:p w14:paraId="0A961140" w14:textId="77777777" w:rsidR="008F748B" w:rsidRPr="005A3736" w:rsidRDefault="008F748B">
      <w:pPr>
        <w:pStyle w:val="SC-Source"/>
      </w:pPr>
      <w:r w:rsidRPr="005A3736">
        <w:t xml:space="preserve">    "model_hash": "8f2c9a1e",</w:t>
      </w:r>
    </w:p>
    <w:p w14:paraId="3A2080DE" w14:textId="77777777" w:rsidR="008F748B" w:rsidRPr="005A3736" w:rsidRDefault="008F748B">
      <w:pPr>
        <w:pStyle w:val="SC-Source"/>
      </w:pPr>
      <w:r w:rsidRPr="005A3736">
        <w:t xml:space="preserve">    "data_snapshot": "telemetry_snapshot_2025_06_18",</w:t>
      </w:r>
    </w:p>
    <w:p w14:paraId="0BFC9C78" w14:textId="77777777" w:rsidR="008F748B" w:rsidRPr="005A3736" w:rsidRDefault="008F748B">
      <w:pPr>
        <w:pStyle w:val="SC-Source"/>
      </w:pPr>
      <w:r w:rsidRPr="005A3736">
        <w:t xml:space="preserve">    "policy_version": "policy_escalation_2.1",</w:t>
      </w:r>
    </w:p>
    <w:p w14:paraId="750B5692" w14:textId="77777777" w:rsidR="008F748B" w:rsidRPr="005A3736" w:rsidRDefault="008F748B">
      <w:pPr>
        <w:pStyle w:val="SC-Source"/>
      </w:pPr>
      <w:r w:rsidRPr="005A3736">
        <w:t xml:space="preserve">    "threshold": 0.87,</w:t>
      </w:r>
    </w:p>
    <w:p w14:paraId="4F051AF8" w14:textId="77777777" w:rsidR="008F748B" w:rsidRPr="005A3736" w:rsidRDefault="008F748B">
      <w:pPr>
        <w:pStyle w:val="SC-Source"/>
      </w:pPr>
      <w:r w:rsidRPr="005A3736">
        <w:t xml:space="preserve">    "prediction": "escalate",</w:t>
      </w:r>
    </w:p>
    <w:p w14:paraId="11E886B8" w14:textId="77777777" w:rsidR="008F748B" w:rsidRPr="005A3736" w:rsidRDefault="008F748B">
      <w:pPr>
        <w:pStyle w:val="SC-Source"/>
      </w:pPr>
      <w:r w:rsidRPr="005A3736">
        <w:t xml:space="preserve">    "confidence": 0.91,</w:t>
      </w:r>
    </w:p>
    <w:p w14:paraId="20850688" w14:textId="77777777" w:rsidR="008F748B" w:rsidRPr="005A3736" w:rsidRDefault="008F748B">
      <w:pPr>
        <w:pStyle w:val="SC-Source"/>
      </w:pPr>
      <w:r w:rsidRPr="005A3736">
        <w:t xml:space="preserve">    "executor": "automated",</w:t>
      </w:r>
    </w:p>
    <w:p w14:paraId="2A584009" w14:textId="77777777" w:rsidR="008F748B" w:rsidRPr="005A3736" w:rsidRDefault="008F748B">
      <w:pPr>
        <w:pStyle w:val="SC-Source"/>
      </w:pPr>
      <w:r w:rsidRPr="005A3736">
        <w:t xml:space="preserve">    "review_required": true</w:t>
      </w:r>
    </w:p>
    <w:p w14:paraId="169D6EB1" w14:textId="77777777" w:rsidR="008F748B" w:rsidRPr="005A3736" w:rsidRDefault="008F748B">
      <w:pPr>
        <w:pStyle w:val="SC-Source"/>
      </w:pPr>
      <w:r w:rsidRPr="005A3736">
        <w:t>}</w:t>
      </w:r>
    </w:p>
    <w:p w14:paraId="181923F1" w14:textId="30AC327A" w:rsidR="008377D3" w:rsidRDefault="008F748B">
      <w:pPr>
        <w:pStyle w:val="SC-Source"/>
      </w:pPr>
      <w:r w:rsidRPr="005A3736">
        <w:t>audit_log.append(decision_record)</w:t>
      </w:r>
    </w:p>
    <w:p w14:paraId="53BFDA0C" w14:textId="252FDF02" w:rsidR="005A3736" w:rsidRPr="005A3736" w:rsidRDefault="005A3736">
      <w:pPr>
        <w:pStyle w:val="SC-Source"/>
      </w:pPr>
      <w:r>
        <w:t>```</w:t>
      </w:r>
    </w:p>
    <w:p w14:paraId="6D9E59F4" w14:textId="160A83F9" w:rsidR="00C81C8F" w:rsidRDefault="00C81C8F" w:rsidP="00C81C8F">
      <w:pPr>
        <w:pStyle w:val="Body"/>
      </w:pPr>
      <w:r w:rsidRPr="00C81C8F">
        <w:t xml:space="preserve">This structure ensures that decisions remain reproducible even after models evolve. Crucially, it </w:t>
      </w:r>
      <w:r>
        <w:t>links predictions to policy context and execution authority, thereby preventing post hoc</w:t>
      </w:r>
      <w:r w:rsidRPr="00C81C8F">
        <w:t xml:space="preserve"> reinterpretation.</w:t>
      </w:r>
    </w:p>
    <w:p w14:paraId="606E887B" w14:textId="77777777" w:rsidR="00C81C8F" w:rsidRPr="00C81C8F" w:rsidRDefault="00C81C8F" w:rsidP="00C81C8F">
      <w:pPr>
        <w:pStyle w:val="Body"/>
      </w:pPr>
    </w:p>
    <w:p w14:paraId="6EEDDFB2" w14:textId="77777777" w:rsidR="00C81C8F" w:rsidRPr="00C81C8F" w:rsidRDefault="00C81C8F" w:rsidP="00C81C8F">
      <w:pPr>
        <w:pStyle w:val="Body"/>
      </w:pPr>
      <w:r w:rsidRPr="00C81C8F">
        <w:rPr>
          <w:b/>
          <w:bCs/>
        </w:rPr>
        <w:t>Sources.</w:t>
      </w:r>
      <w:r w:rsidRPr="00C81C8F">
        <w:t xml:space="preserve"> </w:t>
      </w:r>
      <w:r w:rsidRPr="00C81C8F">
        <w:rPr>
          <w:i/>
          <w:iCs/>
        </w:rPr>
        <w:t>This block draws on prior work by Mitchell et al. (2019) and Amodei et al. (2016).</w:t>
      </w:r>
    </w:p>
    <w:p w14:paraId="7633B3DB" w14:textId="77777777" w:rsidR="00C81C8F" w:rsidRDefault="00C81C8F" w:rsidP="002B4A85">
      <w:pPr>
        <w:pStyle w:val="Body"/>
        <w:rPr>
          <w:lang w:val="en-US"/>
        </w:rPr>
      </w:pPr>
    </w:p>
    <w:p w14:paraId="1C7BDAAD" w14:textId="77777777" w:rsidR="00132480" w:rsidRPr="00132480" w:rsidRDefault="00132480" w:rsidP="00132480">
      <w:pPr>
        <w:pStyle w:val="Body"/>
      </w:pPr>
      <w:r w:rsidRPr="00132480">
        <w:rPr>
          <w:b/>
          <w:bCs/>
        </w:rPr>
        <w:t>Sources.</w:t>
      </w:r>
      <w:r w:rsidRPr="00132480">
        <w:t xml:space="preserve"> This block draws on prior work by Mitchell et al. (2019) and Amodei et al. (2016).</w:t>
      </w:r>
    </w:p>
    <w:p w14:paraId="5680DB50" w14:textId="77777777" w:rsidR="00132480" w:rsidRPr="00132480" w:rsidRDefault="00132480" w:rsidP="00132480">
      <w:pPr>
        <w:pStyle w:val="Body"/>
      </w:pPr>
      <w:r w:rsidRPr="00132480">
        <w:pict w14:anchorId="4E74CB6F">
          <v:rect id="_x0000_i1067" style="width:0;height:1.5pt" o:hralign="center" o:hrstd="t" o:hr="t" fillcolor="#a0a0a0" stroked="f"/>
        </w:pict>
      </w:r>
    </w:p>
    <w:p w14:paraId="286A7C4F" w14:textId="77777777" w:rsidR="00132480" w:rsidRPr="00132480" w:rsidRDefault="00132480" w:rsidP="00132480">
      <w:pPr>
        <w:pStyle w:val="Body"/>
        <w:rPr>
          <w:b/>
          <w:bCs/>
        </w:rPr>
      </w:pPr>
      <w:r w:rsidRPr="00132480">
        <w:rPr>
          <w:b/>
          <w:bCs/>
        </w:rPr>
        <w:t>6.4.2 Quantifying Risk Concentration Rather Than Accuracy</w:t>
      </w:r>
    </w:p>
    <w:p w14:paraId="182F99ED" w14:textId="77777777" w:rsidR="00132480" w:rsidRPr="00132480" w:rsidRDefault="00132480" w:rsidP="00132480">
      <w:pPr>
        <w:pStyle w:val="Body"/>
      </w:pPr>
      <w:r w:rsidRPr="00132480">
        <w:t xml:space="preserve">Traditional performance metrics obscure the governance-relevant question: </w:t>
      </w:r>
      <w:r w:rsidRPr="00132480">
        <w:rPr>
          <w:i/>
          <w:iCs/>
        </w:rPr>
        <w:t>where does error concentrate, and what does it cost?</w:t>
      </w:r>
      <w:r w:rsidRPr="00132480">
        <w:t xml:space="preserve"> A simple risk formulation clarifies this distinction.</w:t>
      </w:r>
    </w:p>
    <w:p w14:paraId="0CC2C5E1" w14:textId="77777777" w:rsidR="00262CC8" w:rsidRDefault="00132480" w:rsidP="00132480">
      <w:pPr>
        <w:pStyle w:val="Body"/>
      </w:pPr>
      <w:r w:rsidRPr="00132480">
        <w:pict w14:anchorId="38B43795">
          <v:shape id="_x0000_i1069" type="#_x0000_t75" style="width:127.15pt;height:39.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1073E&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E1073E&quot; wsp:rsidRPr=&quot;00E1073E&quot; wsp:rsidRDefault=&quot;00E1073E&quot; wsp:rsidP=&quot;00E1073E&quot;&gt;&lt;m:oMathPara&gt;&lt;m:oMath&gt;&lt;m:r&gt;&lt;w:rPr&gt;&lt;w:rFonts w:ascii=&quot;Cambria Math&quot; w:h-ansi=&quot;Cambria Math&quot;/&gt;&lt;wx:font wx:val=&quot;Cambria Math&quot;/&gt;&lt;w:i/&gt;&lt;/w:rPr&gt;&lt;m:t&gt;R=&lt;/m:t&gt;&lt;/m:r&gt;&lt;m:nary&gt;&lt;m:naryPr&gt;&lt;m:chr m:val=&quot;âˆ‘&quot;/&gt;&lt;m:limLoc m:val=&quot;undOvr&quot;/&gt;&lt;m:grow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i=1&lt;/m:t&gt;&lt;/m:r&gt;&lt;/m:sub&gt;&lt;m:sup&gt;&lt;m:r&gt;&lt;w:rPr&gt;&lt;w:rFonts w:ascii=&quot;Cambria Math&quot; w:h-ansi=&quot;Cambria Math&quot;/&gt;&lt;wx:font wx:val=&quot;Cambria Math&quot;/&gt;&lt;w:i/&gt;&lt;/w:rPr&gt;&lt;m:t&gt;n&lt;/m:t&gt;&lt;/m:r&gt;&lt;/m:sup&gt;&lt;m:e&gt;&lt;m:r&gt;&lt;w:rPr&gt;&lt;w:rFonts w:ascii=&quot;Cambria Math&quot; w:h-ansi=&quot;Cambria Math&quot;/&gt;&lt;wx:font wx:val=&quot;Cambria Math&quot;/&gt;&lt;w:i/&gt;&lt;/w:rPr&gt;&lt;m:t&gt;P(&lt;/m:t&gt;&lt;/m:r&gt;&lt;/m:e&gt;&lt;/m:nary&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 wsp:rsidRPr=&quot;00E1073E&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p>
    <w:p w14:paraId="7530C78D" w14:textId="50DB6BC8" w:rsidR="00132480" w:rsidRPr="00132480" w:rsidRDefault="00132480" w:rsidP="00132480">
      <w:pPr>
        <w:pStyle w:val="Body"/>
      </w:pPr>
      <w:r w:rsidRPr="00132480">
        <w:rPr>
          <w:i/>
        </w:rPr>
        <w:br/>
      </w:r>
    </w:p>
    <w:p w14:paraId="6B645DBD" w14:textId="77777777" w:rsidR="00132480" w:rsidRPr="00132480" w:rsidRDefault="00132480" w:rsidP="00132480">
      <w:pPr>
        <w:pStyle w:val="Body"/>
      </w:pPr>
      <w:r w:rsidRPr="00132480">
        <w:t>Where:</w:t>
      </w:r>
    </w:p>
    <w:p w14:paraId="046CFCB2" w14:textId="3130995E" w:rsidR="00132480" w:rsidRPr="00132480" w:rsidRDefault="00132480" w:rsidP="00132480">
      <w:pPr>
        <w:pStyle w:val="Body"/>
        <w:numPr>
          <w:ilvl w:val="0"/>
          <w:numId w:val="14"/>
        </w:numPr>
      </w:pPr>
      <w:r w:rsidRPr="00132480">
        <w:fldChar w:fldCharType="begin"/>
      </w:r>
      <w:r w:rsidRPr="00132480">
        <w:instrText xml:space="preserve"> QUOTE </w:instrText>
      </w:r>
      <w:r w:rsidRPr="00132480">
        <w:pict w14:anchorId="277FEC46">
          <v:shape id="_x0000_i1070"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instrText xml:space="preserve"> </w:instrText>
      </w:r>
      <w:r w:rsidRPr="00132480">
        <w:fldChar w:fldCharType="separate"/>
      </w:r>
      <w:r w:rsidRPr="00132480">
        <w:pict w14:anchorId="6B016FF2">
          <v:shape id="_x0000_i1071" type="#_x0000_t75" style="width:10.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86C33&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286C33&quot; wsp:rsidRDefault=&quot;00286C33&quot; wsp:rsidP=&quot;00286C3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Pr="00132480">
        <w:fldChar w:fldCharType="end"/>
      </w:r>
      <w:r w:rsidRPr="00132480">
        <w:t>represents an alert class,</w:t>
      </w:r>
    </w:p>
    <w:p w14:paraId="6426F4D4" w14:textId="0A71CE53" w:rsidR="00132480" w:rsidRPr="00132480" w:rsidRDefault="00132480" w:rsidP="00132480">
      <w:pPr>
        <w:pStyle w:val="Body"/>
        <w:numPr>
          <w:ilvl w:val="0"/>
          <w:numId w:val="14"/>
        </w:numPr>
      </w:pPr>
      <w:r w:rsidRPr="00132480">
        <w:fldChar w:fldCharType="begin"/>
      </w:r>
      <w:r w:rsidRPr="00132480">
        <w:instrText xml:space="preserve"> QUOTE </w:instrText>
      </w:r>
      <w:r w:rsidRPr="00132480">
        <w:pict w14:anchorId="4E6B8DE5">
          <v:shape id="_x0000_i1072" type="#_x0000_t75" style="width:47.6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instrText xml:space="preserve"> </w:instrText>
      </w:r>
      <w:r w:rsidRPr="00132480">
        <w:fldChar w:fldCharType="separate"/>
      </w:r>
      <w:r w:rsidRPr="00132480">
        <w:pict w14:anchorId="6E59E9F8">
          <v:shape id="_x0000_i1073" type="#_x0000_t75" style="width:47.65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D7267&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8D7267&quot; wsp:rsidRDefault=&quot;008D7267&quot; wsp:rsidP=&quot;008D7267&quot;&gt;&lt;m:oMathPara&gt;&lt;m:oMath&gt;&lt;m:r&gt;&lt;w:rPr&gt;&lt;w:rFonts w:ascii=&quot;Cambria Math&quot; w:h-ansi=&quot;Cambria Math&quot;/&gt;&lt;wx:font wx:val=&quot;Cambria Math&quot;/&gt;&lt;w:i/&gt;&lt;/w:rPr&gt;&lt;m:t&gt;P(&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âˆ£&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a&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r w:rsidRPr="00132480">
        <w:fldChar w:fldCharType="end"/>
      </w:r>
      <w:r w:rsidRPr="00132480">
        <w:t>is the conditional probability of error for that class,</w:t>
      </w:r>
    </w:p>
    <w:p w14:paraId="458B63C0" w14:textId="03A6EEB7" w:rsidR="00132480" w:rsidRPr="00132480" w:rsidRDefault="00132480" w:rsidP="00132480">
      <w:pPr>
        <w:pStyle w:val="Body"/>
        <w:numPr>
          <w:ilvl w:val="0"/>
          <w:numId w:val="14"/>
        </w:numPr>
      </w:pPr>
      <w:r w:rsidRPr="00132480">
        <w:fldChar w:fldCharType="begin"/>
      </w:r>
      <w:r w:rsidRPr="00132480">
        <w:instrText xml:space="preserve"> QUOTE </w:instrText>
      </w:r>
      <w:r w:rsidRPr="00132480">
        <w:pict w14:anchorId="055D9564">
          <v:shape id="_x0000_i1074" type="#_x0000_t75" style="width:2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instrText xml:space="preserve"> </w:instrText>
      </w:r>
      <w:r w:rsidRPr="00132480">
        <w:fldChar w:fldCharType="separate"/>
      </w:r>
      <w:r w:rsidRPr="00132480">
        <w:pict w14:anchorId="07E8A8F8">
          <v:shape id="_x0000_i1075" type="#_x0000_t75" style="width:27pt;height:14.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stylePaneFormatFilter w:val=&quot;3F01&quot;/&gt;&lt;w:defaultTabStop w:val=&quot;720&quot;/&gt;&lt;w:evenAndOddHeaders/&gt;&lt;w:drawingGridHorizontalSpacing w:val=&quot;120&quot;/&gt;&lt;w:displayHorizontalDrawingGridEvery w:val=&quot;2&quot;/&gt;&lt;w:punctuationKerning/&gt;&lt;w:characterSpacingControl w:val=&quot;DontCompress&quot;/&gt;&lt;w:optimizeForBrowser/&gt;&lt;w:targetScreenSz w:val=&quot;800x600&quot;/&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2E0D90&quot;/&gt;&lt;wsp:rsid wsp:val=&quot;00013F7D&quot;/&gt;&lt;wsp:rsid wsp:val=&quot;00025E7D&quot;/&gt;&lt;wsp:rsid wsp:val=&quot;0002677C&quot;/&gt;&lt;wsp:rsid wsp:val=&quot;00031988&quot;/&gt;&lt;wsp:rsid wsp:val=&quot;00071701&quot;/&gt;&lt;wsp:rsid wsp:val=&quot;00071AA2&quot;/&gt;&lt;wsp:rsid wsp:val=&quot;00086DEC&quot;/&gt;&lt;wsp:rsid wsp:val=&quot;000A0C5B&quot;/&gt;&lt;wsp:rsid wsp:val=&quot;000C6FB8&quot;/&gt;&lt;wsp:rsid wsp:val=&quot;000F0DB8&quot;/&gt;&lt;wsp:rsid wsp:val=&quot;00112F3E&quot;/&gt;&lt;wsp:rsid wsp:val=&quot;00132087&quot;/&gt;&lt;wsp:rsid wsp:val=&quot;00132480&quot;/&gt;&lt;wsp:rsid wsp:val=&quot;001820EA&quot;/&gt;&lt;wsp:rsid wsp:val=&quot;00192383&quot;/&gt;&lt;wsp:rsid wsp:val=&quot;001D11C1&quot;/&gt;&lt;wsp:rsid wsp:val=&quot;001E4FD9&quot;/&gt;&lt;wsp:rsid wsp:val=&quot;00203F69&quot;/&gt;&lt;wsp:rsid wsp:val=&quot;00243D25&quot;/&gt;&lt;wsp:rsid wsp:val=&quot;00251DCE&quot;/&gt;&lt;wsp:rsid wsp:val=&quot;0029798A&quot;/&gt;&lt;wsp:rsid wsp:val=&quot;002B4A85&quot;/&gt;&lt;wsp:rsid wsp:val=&quot;002C6ED3&quot;/&gt;&lt;wsp:rsid wsp:val=&quot;002E0D50&quot;/&gt;&lt;wsp:rsid wsp:val=&quot;002E0D90&quot;/&gt;&lt;wsp:rsid wsp:val=&quot;002E59F9&quot;/&gt;&lt;wsp:rsid wsp:val=&quot;00321646&quot;/&gt;&lt;wsp:rsid wsp:val=&quot;00342E2A&quot;/&gt;&lt;wsp:rsid wsp:val=&quot;00370753&quot;/&gt;&lt;wsp:rsid wsp:val=&quot;00373806&quot;/&gt;&lt;wsp:rsid wsp:val=&quot;003864E9&quot;/&gt;&lt;wsp:rsid wsp:val=&quot;003C5569&quot;/&gt;&lt;wsp:rsid wsp:val=&quot;003C70B2&quot;/&gt;&lt;wsp:rsid wsp:val=&quot;003D4D9A&quot;/&gt;&lt;wsp:rsid wsp:val=&quot;0040066A&quot;/&gt;&lt;wsp:rsid wsp:val=&quot;004340D5&quot;/&gt;&lt;wsp:rsid wsp:val=&quot;0046370F&quot;/&gt;&lt;wsp:rsid wsp:val=&quot;00473582&quot;/&gt;&lt;wsp:rsid wsp:val=&quot;004A7CEB&quot;/&gt;&lt;wsp:rsid wsp:val=&quot;004B5586&quot;/&gt;&lt;wsp:rsid wsp:val=&quot;004D3E54&quot;/&gt;&lt;wsp:rsid wsp:val=&quot;004E5946&quot;/&gt;&lt;wsp:rsid wsp:val=&quot;005375C1&quot;/&gt;&lt;wsp:rsid wsp:val=&quot;00546952&quot;/&gt;&lt;wsp:rsid wsp:val=&quot;00557FE6&quot;/&gt;&lt;wsp:rsid wsp:val=&quot;0059063E&quot;/&gt;&lt;wsp:rsid wsp:val=&quot;0059560F&quot;/&gt;&lt;wsp:rsid wsp:val=&quot;005A3736&quot;/&gt;&lt;wsp:rsid wsp:val=&quot;005C4E85&quot;/&gt;&lt;wsp:rsid wsp:val=&quot;005D6017&quot;/&gt;&lt;wsp:rsid wsp:val=&quot;00616822&quot;/&gt;&lt;wsp:rsid wsp:val=&quot;00620C81&quot;/&gt;&lt;wsp:rsid wsp:val=&quot;00637B2A&quot;/&gt;&lt;wsp:rsid wsp:val=&quot;006550FA&quot;/&gt;&lt;wsp:rsid wsp:val=&quot;006A32F5&quot;/&gt;&lt;wsp:rsid wsp:val=&quot;006A4F69&quot;/&gt;&lt;wsp:rsid wsp:val=&quot;006B3EF2&quot;/&gt;&lt;wsp:rsid wsp:val=&quot;006D42AF&quot;/&gt;&lt;wsp:rsid wsp:val=&quot;006D6410&quot;/&gt;&lt;wsp:rsid wsp:val=&quot;006F6550&quot;/&gt;&lt;wsp:rsid wsp:val=&quot;00747EA8&quot;/&gt;&lt;wsp:rsid wsp:val=&quot;0075351D&quot;/&gt;&lt;wsp:rsid wsp:val=&quot;0078792B&quot;/&gt;&lt;wsp:rsid wsp:val=&quot;007951B3&quot;/&gt;&lt;wsp:rsid wsp:val=&quot;007963F7&quot;/&gt;&lt;wsp:rsid wsp:val=&quot;007F3FF8&quot;/&gt;&lt;wsp:rsid wsp:val=&quot;00833446&quot;/&gt;&lt;wsp:rsid wsp:val=&quot;008377D3&quot;/&gt;&lt;wsp:rsid wsp:val=&quot;00854E4B&quot;/&gt;&lt;wsp:rsid wsp:val=&quot;00867D87&quot;/&gt;&lt;wsp:rsid wsp:val=&quot;008D1D91&quot;/&gt;&lt;wsp:rsid wsp:val=&quot;008E3BE3&quot;/&gt;&lt;wsp:rsid wsp:val=&quot;008E63EA&quot;/&gt;&lt;wsp:rsid wsp:val=&quot;008F16E1&quot;/&gt;&lt;wsp:rsid wsp:val=&quot;008F748B&quot;/&gt;&lt;wsp:rsid wsp:val=&quot;0092094D&quot;/&gt;&lt;wsp:rsid wsp:val=&quot;009233AF&quot;/&gt;&lt;wsp:rsid wsp:val=&quot;00974D35&quot;/&gt;&lt;wsp:rsid wsp:val=&quot;00977B65&quot;/&gt;&lt;wsp:rsid wsp:val=&quot;009C5BC3&quot;/&gt;&lt;wsp:rsid wsp:val=&quot;009D5D6A&quot;/&gt;&lt;wsp:rsid wsp:val=&quot;009E4CEE&quot;/&gt;&lt;wsp:rsid wsp:val=&quot;009F16E4&quot;/&gt;&lt;wsp:rsid wsp:val=&quot;00A0484A&quot;/&gt;&lt;wsp:rsid wsp:val=&quot;00A249C2&quot;/&gt;&lt;wsp:rsid wsp:val=&quot;00A745BC&quot;/&gt;&lt;wsp:rsid wsp:val=&quot;00A74DA7&quot;/&gt;&lt;wsp:rsid wsp:val=&quot;00A92B86&quot;/&gt;&lt;wsp:rsid wsp:val=&quot;00A955E9&quot;/&gt;&lt;wsp:rsid wsp:val=&quot;00AB398A&quot;/&gt;&lt;wsp:rsid wsp:val=&quot;00AC0682&quot;/&gt;&lt;wsp:rsid wsp:val=&quot;00B008C2&quot;/&gt;&lt;wsp:rsid wsp:val=&quot;00B14705&quot;/&gt;&lt;wsp:rsid wsp:val=&quot;00B14B40&quot;/&gt;&lt;wsp:rsid wsp:val=&quot;00B2097D&quot;/&gt;&lt;wsp:rsid wsp:val=&quot;00B46279&quot;/&gt;&lt;wsp:rsid wsp:val=&quot;00B743A3&quot;/&gt;&lt;wsp:rsid wsp:val=&quot;00BE5170&quot;/&gt;&lt;wsp:rsid wsp:val=&quot;00C05CA8&quot;/&gt;&lt;wsp:rsid wsp:val=&quot;00C81C8F&quot;/&gt;&lt;wsp:rsid wsp:val=&quot;00CC43A4&quot;/&gt;&lt;wsp:rsid wsp:val=&quot;00CF4CCF&quot;/&gt;&lt;wsp:rsid wsp:val=&quot;00D04AE2&quot;/&gt;&lt;wsp:rsid wsp:val=&quot;00D139D6&quot;/&gt;&lt;wsp:rsid wsp:val=&quot;00D256FD&quot;/&gt;&lt;wsp:rsid wsp:val=&quot;00D7095F&quot;/&gt;&lt;wsp:rsid wsp:val=&quot;00D7740B&quot;/&gt;&lt;wsp:rsid wsp:val=&quot;00DA085B&quot;/&gt;&lt;wsp:rsid wsp:val=&quot;00DB0D40&quot;/&gt;&lt;wsp:rsid wsp:val=&quot;00DC6330&quot;/&gt;&lt;wsp:rsid wsp:val=&quot;00E06FA1&quot;/&gt;&lt;wsp:rsid wsp:val=&quot;00E828B3&quot;/&gt;&lt;wsp:rsid wsp:val=&quot;00E9673A&quot;/&gt;&lt;wsp:rsid wsp:val=&quot;00EA1B80&quot;/&gt;&lt;wsp:rsid wsp:val=&quot;00EA6739&quot;/&gt;&lt;wsp:rsid wsp:val=&quot;00EB7D83&quot;/&gt;&lt;wsp:rsid wsp:val=&quot;00EC0282&quot;/&gt;&lt;wsp:rsid wsp:val=&quot;00EF13E4&quot;/&gt;&lt;wsp:rsid wsp:val=&quot;00F076C8&quot;/&gt;&lt;wsp:rsid wsp:val=&quot;00F265A2&quot;/&gt;&lt;wsp:rsid wsp:val=&quot;00F3229D&quot;/&gt;&lt;wsp:rsid wsp:val=&quot;00F46908&quot;/&gt;&lt;wsp:rsid wsp:val=&quot;00F95DD0&quot;/&gt;&lt;wsp:rsid wsp:val=&quot;00FB0344&quot;/&gt;&lt;wsp:rsid wsp:val=&quot;00FE6BDC&quot;/&gt;&lt;/wsp:rsids&gt;&lt;/w:docPr&gt;&lt;w:body&gt;&lt;wx:sect&gt;&lt;w:p wsp:rsidR=&quot;00A955E9&quot; wsp:rsidRDefault=&quot;00A955E9&quot; wsp:rsidP=&quot;00A955E9&quot;&gt;&lt;m:oMathPara&gt;&lt;m:oMath&gt;&lt;m:r&gt;&lt;w:rPr&gt;&lt;w:rFonts w:ascii=&quot;Cambria Math&quot; w:h-ansi=&quot;Cambria Math&quot;/&gt;&lt;wx:font wx:val=&quot;Cambria Math&quot;/&gt;&lt;w:i/&gt;&lt;/w:rPr&gt;&lt;m:t&gt;C(&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Pr="00132480">
        <w:fldChar w:fldCharType="end"/>
      </w:r>
      <w:r w:rsidRPr="00132480">
        <w:t>is the operational cost associated with that error.</w:t>
      </w:r>
    </w:p>
    <w:p w14:paraId="0F7E8476" w14:textId="77777777" w:rsidR="00132480" w:rsidRPr="00132480" w:rsidRDefault="00132480" w:rsidP="00132480">
      <w:pPr>
        <w:pStyle w:val="Body"/>
      </w:pPr>
      <w:r w:rsidRPr="00132480">
        <w:t>This formulation highlights that bias becomes operationally significant when high-cost errors are systematically concentrated in specific alert categories, even if global accuracy remains high. Governance interventions should therefore prioritize bounding risk concentration rather than maximizing aggregate performance metrics.</w:t>
      </w:r>
    </w:p>
    <w:p w14:paraId="03AC4FD4" w14:textId="77777777" w:rsidR="00132480" w:rsidRPr="00132480" w:rsidRDefault="00132480" w:rsidP="00132480">
      <w:pPr>
        <w:pStyle w:val="Body"/>
      </w:pPr>
      <w:r w:rsidRPr="00132480">
        <w:rPr>
          <w:b/>
          <w:bCs/>
        </w:rPr>
        <w:t>Sources.</w:t>
      </w:r>
      <w:r w:rsidRPr="00132480">
        <w:t xml:space="preserve"> This block draws on prior work by Kearns and Roth (2019) and Binns (2018).</w:t>
      </w:r>
    </w:p>
    <w:p w14:paraId="047F2AE5" w14:textId="77777777" w:rsidR="00132480" w:rsidRPr="00132480" w:rsidRDefault="00132480" w:rsidP="00132480">
      <w:pPr>
        <w:pStyle w:val="Body"/>
      </w:pPr>
      <w:r w:rsidRPr="00132480">
        <w:pict w14:anchorId="71AD329E">
          <v:rect id="_x0000_i1068" style="width:0;height:1.5pt" o:hralign="center" o:hrstd="t" o:hr="t" fillcolor="#a0a0a0" stroked="f"/>
        </w:pict>
      </w:r>
    </w:p>
    <w:p w14:paraId="1D9D537B" w14:textId="77777777" w:rsidR="00132480" w:rsidRPr="00132480" w:rsidRDefault="00132480" w:rsidP="00132480">
      <w:pPr>
        <w:pStyle w:val="Body"/>
        <w:rPr>
          <w:b/>
          <w:bCs/>
        </w:rPr>
      </w:pPr>
      <w:r w:rsidRPr="00132480">
        <w:rPr>
          <w:b/>
          <w:bCs/>
        </w:rPr>
        <w:t>6.4.3 Explainability as Evidence, Not Narrative</w:t>
      </w:r>
    </w:p>
    <w:p w14:paraId="379869AE" w14:textId="77777777" w:rsidR="00132480" w:rsidRPr="00132480" w:rsidRDefault="00132480" w:rsidP="00132480">
      <w:pPr>
        <w:pStyle w:val="Body"/>
      </w:pPr>
      <w:r w:rsidRPr="00132480">
        <w:t xml:space="preserve">Explainability mechanisms are frequently deployed as user-facing interfaces. From a governance perspective, however, explanations must function as </w:t>
      </w:r>
      <w:r w:rsidRPr="00132480">
        <w:rPr>
          <w:i/>
          <w:iCs/>
        </w:rPr>
        <w:t>evidence</w:t>
      </w:r>
      <w:r w:rsidRPr="00132480">
        <w:t>—capable of being examined, challenged, and reproduced.</w:t>
      </w:r>
    </w:p>
    <w:p w14:paraId="6D1B0370" w14:textId="77777777" w:rsidR="00132480" w:rsidRPr="00132480" w:rsidRDefault="00132480" w:rsidP="00132480">
      <w:pPr>
        <w:pStyle w:val="Body"/>
      </w:pPr>
      <w:r w:rsidRPr="00132480">
        <w:t>The following example illustrates how an explanation artifact can be bound to a specific decision without embedding interpretability tooling directly into operational logic.</w:t>
      </w:r>
    </w:p>
    <w:p w14:paraId="238DAFE2" w14:textId="77777777" w:rsidR="00132480" w:rsidRPr="00132480" w:rsidRDefault="00132480" w:rsidP="002B4A85">
      <w:pPr>
        <w:pStyle w:val="Body"/>
      </w:pPr>
    </w:p>
    <w:p w14:paraId="319F9C0F" w14:textId="77777777" w:rsidR="00977B65" w:rsidRDefault="00977B65" w:rsidP="002B4A85">
      <w:pPr>
        <w:pStyle w:val="Body"/>
        <w:rPr>
          <w:lang w:val="en-US"/>
        </w:rPr>
      </w:pPr>
    </w:p>
    <w:p w14:paraId="59DC46B0" w14:textId="77777777" w:rsidR="00977B65" w:rsidRDefault="00977B65" w:rsidP="002B4A85">
      <w:pPr>
        <w:pStyle w:val="Body"/>
        <w:rPr>
          <w:lang w:val="en-US"/>
        </w:rPr>
      </w:pPr>
    </w:p>
    <w:p w14:paraId="35418F48" w14:textId="77777777" w:rsidR="00977B65" w:rsidRDefault="00977B65" w:rsidP="002B4A85">
      <w:pPr>
        <w:pStyle w:val="Body"/>
        <w:rPr>
          <w:lang w:val="en-US"/>
        </w:rPr>
      </w:pPr>
    </w:p>
    <w:p w14:paraId="5B249C09" w14:textId="77777777" w:rsidR="00977B65" w:rsidRDefault="00977B65" w:rsidP="002B4A85">
      <w:pPr>
        <w:pStyle w:val="Body"/>
        <w:rPr>
          <w:lang w:val="en-US"/>
        </w:rPr>
      </w:pPr>
    </w:p>
    <w:p w14:paraId="05E9C485" w14:textId="77777777" w:rsidR="00977B65" w:rsidRDefault="00977B65" w:rsidP="002B4A85">
      <w:pPr>
        <w:pStyle w:val="Body"/>
        <w:rPr>
          <w:lang w:val="en-US"/>
        </w:rPr>
      </w:pPr>
    </w:p>
    <w:p w14:paraId="7EE8DFA8" w14:textId="5E95741E" w:rsidR="00EA6739" w:rsidRPr="00EA6739" w:rsidRDefault="00EA6739" w:rsidP="00AB398A">
      <w:pPr>
        <w:pStyle w:val="Secondaryheadings"/>
      </w:pPr>
      <w:r w:rsidRPr="00EA6739">
        <w:t>C</w:t>
      </w:r>
      <w:r w:rsidR="00FE6BDC">
        <w:t>onclusion</w:t>
      </w:r>
    </w:p>
    <w:p w14:paraId="46D9248B" w14:textId="77777777" w:rsidR="00EA6739" w:rsidRPr="00EA6739" w:rsidRDefault="00EA6739" w:rsidP="00EA6739">
      <w:pPr>
        <w:pStyle w:val="Body"/>
        <w:rPr>
          <w:lang w:val="en-US"/>
        </w:rPr>
      </w:pPr>
      <w:r w:rsidRPr="00EA6739">
        <w:rPr>
          <w:lang w:val="en-US"/>
        </w:rPr>
        <w:t>Model governance and ethics in operational AI do not reside in abstract principles or aspirational guidelines. They emerge from concrete design decisions: how alerts are labeled, how models evolve, how decisions are traced, and how explanations are constructed under pressure. Ethical failures in such systems are rarely sudden; they accumulate silently through unexamined defaults and missing controls.</w:t>
      </w:r>
    </w:p>
    <w:p w14:paraId="135BD3B9" w14:textId="3009B2B4" w:rsidR="00EA6739" w:rsidRPr="00EA6739" w:rsidRDefault="00EA6739" w:rsidP="00EA6739">
      <w:pPr>
        <w:pStyle w:val="Body"/>
        <w:rPr>
          <w:lang w:val="en-US"/>
        </w:rPr>
      </w:pPr>
      <w:r w:rsidRPr="00EA6739">
        <w:rPr>
          <w:lang w:val="en-US"/>
        </w:rPr>
        <w:t xml:space="preserve">This chapter has treated bias, auditability, and explainability as </w:t>
      </w:r>
      <w:r w:rsidRPr="00EA6739">
        <w:rPr>
          <w:i/>
          <w:iCs/>
          <w:lang w:val="en-US"/>
        </w:rPr>
        <w:t>control problems</w:t>
      </w:r>
      <w:r w:rsidR="00071701">
        <w:rPr>
          <w:lang w:val="en-US"/>
        </w:rPr>
        <w:t xml:space="preserve"> rather than</w:t>
      </w:r>
      <w:r w:rsidRPr="00EA6739">
        <w:rPr>
          <w:lang w:val="en-US"/>
        </w:rPr>
        <w:t xml:space="preserve"> moral ones. The implication is direct: organizations that deploy autonomous or semi-autonomous systems without governance infrastructure are not merely taking technical risk—they are assuming ethical liability by design.</w:t>
      </w:r>
    </w:p>
    <w:p w14:paraId="44D610E9" w14:textId="77777777" w:rsidR="00EA6739" w:rsidRPr="00EA6739" w:rsidRDefault="00EA6739" w:rsidP="00EA6739">
      <w:pPr>
        <w:pStyle w:val="Body"/>
        <w:rPr>
          <w:lang w:val="en-US"/>
        </w:rPr>
      </w:pPr>
      <w:r w:rsidRPr="00EA6739">
        <w:rPr>
          <w:lang w:val="en-US"/>
        </w:rPr>
        <w:pict w14:anchorId="3995958C">
          <v:rect id="_x0000_i1039" style="width:0;height:1.5pt" o:hralign="center" o:hrstd="t" o:hr="t" fillcolor="#a0a0a0" stroked="f"/>
        </w:pict>
      </w:r>
    </w:p>
    <w:p w14:paraId="794ACE12" w14:textId="77777777" w:rsidR="00EB7D83" w:rsidRPr="00EA6739" w:rsidRDefault="00EB7D83" w:rsidP="00EB7D83">
      <w:pPr>
        <w:pStyle w:val="Body"/>
        <w:rPr>
          <w:lang w:val="en-US"/>
        </w:rPr>
      </w:pPr>
    </w:p>
    <w:p w14:paraId="0685901A" w14:textId="77777777" w:rsidR="00031988" w:rsidRDefault="00031988" w:rsidP="00B46279">
      <w:pPr>
        <w:jc w:val="both"/>
        <w:rPr>
          <w:sz w:val="20"/>
          <w:szCs w:val="20"/>
        </w:rPr>
      </w:pPr>
    </w:p>
    <w:p w14:paraId="1EEA13B6" w14:textId="77777777" w:rsidR="00031988" w:rsidRPr="00B46279" w:rsidRDefault="00031988" w:rsidP="00B46279">
      <w:pPr>
        <w:jc w:val="both"/>
        <w:rPr>
          <w:sz w:val="20"/>
          <w:szCs w:val="20"/>
        </w:rPr>
      </w:pPr>
      <w:r>
        <w:rPr>
          <w:sz w:val="20"/>
          <w:szCs w:val="20"/>
        </w:rPr>
        <w:br w:type="page"/>
      </w:r>
    </w:p>
    <w:p w14:paraId="1502E77D" w14:textId="77777777" w:rsidR="00031988" w:rsidRDefault="00031988" w:rsidP="00031988">
      <w:pPr>
        <w:pStyle w:val="Secondaryheadings"/>
      </w:pPr>
      <w:r>
        <w:t>References</w:t>
      </w:r>
    </w:p>
    <w:p w14:paraId="13138432" w14:textId="20624872" w:rsidR="00031988" w:rsidRPr="00031988" w:rsidRDefault="00031988" w:rsidP="00031988">
      <w:pPr>
        <w:pStyle w:val="Bibliography"/>
        <w:ind w:left="720" w:hanging="720"/>
        <w:rPr>
          <w:noProof/>
          <w:sz w:val="20"/>
          <w:szCs w:val="20"/>
        </w:rPr>
      </w:pPr>
      <w:r w:rsidRPr="00031988">
        <w:rPr>
          <w:noProof/>
          <w:sz w:val="20"/>
          <w:szCs w:val="20"/>
        </w:rPr>
        <w:t xml:space="preserve">Amodei, Dario, Chris Olah, J. Steinhardt, P. Christiano, John Schulman, and Dandelion Mané. 2016. "Concrete Problems in AI Safety." </w:t>
      </w:r>
      <w:r w:rsidRPr="00031988">
        <w:rPr>
          <w:i/>
          <w:iCs/>
          <w:noProof/>
          <w:sz w:val="20"/>
          <w:szCs w:val="20"/>
        </w:rPr>
        <w:t>arXiv preprint arXiv:1606.06565.</w:t>
      </w:r>
      <w:r w:rsidRPr="00031988">
        <w:rPr>
          <w:noProof/>
          <w:sz w:val="20"/>
          <w:szCs w:val="20"/>
        </w:rPr>
        <w:t xml:space="preserve"> https://arxiv.org/abs/1606.06565.</w:t>
      </w:r>
    </w:p>
    <w:p w14:paraId="6EC326D6" w14:textId="466EE134" w:rsidR="00031988" w:rsidRPr="00031988" w:rsidRDefault="00031988" w:rsidP="00031988">
      <w:pPr>
        <w:pStyle w:val="Bibliography"/>
        <w:ind w:left="720" w:hanging="720"/>
        <w:rPr>
          <w:noProof/>
          <w:sz w:val="20"/>
          <w:szCs w:val="20"/>
        </w:rPr>
      </w:pPr>
      <w:r w:rsidRPr="00031988">
        <w:rPr>
          <w:noProof/>
          <w:sz w:val="20"/>
          <w:szCs w:val="20"/>
        </w:rPr>
        <w:t xml:space="preserve">Binns, Reuben. 2018. "What Can Political Philosophy Teach Us about Algorithmic Fairness?" </w:t>
      </w:r>
      <w:r w:rsidRPr="00031988">
        <w:rPr>
          <w:i/>
          <w:iCs/>
          <w:noProof/>
          <w:sz w:val="20"/>
          <w:szCs w:val="20"/>
        </w:rPr>
        <w:t>IEEE Security &amp;amp; Privacy</w:t>
      </w:r>
      <w:r w:rsidRPr="00031988">
        <w:rPr>
          <w:noProof/>
          <w:sz w:val="20"/>
          <w:szCs w:val="20"/>
        </w:rPr>
        <w:t xml:space="preserve"> (Institute of Electrical and Electronics Engineers (IEEE)) 16: 73</w:t>
      </w:r>
      <w:r>
        <w:rPr>
          <w:noProof/>
          <w:sz w:val="20"/>
          <w:szCs w:val="20"/>
        </w:rPr>
        <w:t>–</w:t>
      </w:r>
      <w:r w:rsidRPr="00031988">
        <w:rPr>
          <w:noProof/>
          <w:sz w:val="20"/>
          <w:szCs w:val="20"/>
        </w:rPr>
        <w:t>80. doi:10.1109/msp.2018.2701147.</w:t>
      </w:r>
    </w:p>
    <w:p w14:paraId="4FB5D42E" w14:textId="77777777" w:rsidR="00031988" w:rsidRPr="00031988" w:rsidRDefault="00031988" w:rsidP="00031988">
      <w:pPr>
        <w:pStyle w:val="Bibliography"/>
        <w:ind w:left="720" w:hanging="720"/>
        <w:rPr>
          <w:noProof/>
          <w:sz w:val="20"/>
          <w:szCs w:val="20"/>
        </w:rPr>
      </w:pPr>
      <w:r w:rsidRPr="00031988">
        <w:rPr>
          <w:noProof/>
          <w:sz w:val="20"/>
          <w:szCs w:val="20"/>
        </w:rPr>
        <w:t xml:space="preserve">Doshi-Velez, Finale, and Been Kim. 2017. "Towards a Rigorous Science of Interpretable Machine Learning." </w:t>
      </w:r>
      <w:r w:rsidRPr="00031988">
        <w:rPr>
          <w:i/>
          <w:iCs/>
          <w:noProof/>
          <w:sz w:val="20"/>
          <w:szCs w:val="20"/>
        </w:rPr>
        <w:t>arXiv preprint arXiv:1702.08608.</w:t>
      </w:r>
      <w:r w:rsidRPr="00031988">
        <w:rPr>
          <w:noProof/>
          <w:sz w:val="20"/>
          <w:szCs w:val="20"/>
        </w:rPr>
        <w:t xml:space="preserve"> https://arxiv.org/abs/1702.08608.</w:t>
      </w:r>
    </w:p>
    <w:p w14:paraId="0D99CD0B" w14:textId="77777777" w:rsidR="00031988" w:rsidRPr="00031988" w:rsidRDefault="00031988" w:rsidP="00031988">
      <w:pPr>
        <w:pStyle w:val="Bibliography"/>
        <w:ind w:left="720" w:hanging="720"/>
        <w:rPr>
          <w:noProof/>
          <w:sz w:val="20"/>
          <w:szCs w:val="20"/>
        </w:rPr>
      </w:pPr>
      <w:r w:rsidRPr="00031988">
        <w:rPr>
          <w:noProof/>
          <w:sz w:val="20"/>
          <w:szCs w:val="20"/>
        </w:rPr>
        <w:t xml:space="preserve">Gebru, Timnit, Jamie Morgenstern, Briana Vecchione, Jennifer Wortman Vaughan, Hanna Wallach, I. I. I. Hal Daumé, and Kate Crawford. 2021. "Datasheets for Datasets." </w:t>
      </w:r>
      <w:r w:rsidRPr="00031988">
        <w:rPr>
          <w:i/>
          <w:iCs/>
          <w:noProof/>
          <w:sz w:val="20"/>
          <w:szCs w:val="20"/>
        </w:rPr>
        <w:t>Communications of the ACM</w:t>
      </w:r>
      <w:r w:rsidRPr="00031988">
        <w:rPr>
          <w:noProof/>
          <w:sz w:val="20"/>
          <w:szCs w:val="20"/>
        </w:rPr>
        <w:t xml:space="preserve"> (Association for Computing Machinery (ACM)) 64: 86–92. doi:10.1145/3458723.</w:t>
      </w:r>
    </w:p>
    <w:p w14:paraId="605BDACA" w14:textId="37626FDB" w:rsidR="00031988" w:rsidRPr="00031988" w:rsidRDefault="00031988" w:rsidP="00031988">
      <w:pPr>
        <w:pStyle w:val="Bibliography"/>
        <w:ind w:left="720" w:hanging="720"/>
        <w:rPr>
          <w:noProof/>
          <w:sz w:val="20"/>
          <w:szCs w:val="20"/>
        </w:rPr>
      </w:pPr>
      <w:r w:rsidRPr="00031988">
        <w:rPr>
          <w:noProof/>
          <w:sz w:val="20"/>
          <w:szCs w:val="20"/>
        </w:rPr>
        <w:t xml:space="preserve">Holstein, Kenneth, Jennifer Wortman Vaughan, Hal Daumé, Miro Dudik, and Hanna Wallach. 2019. "Improving Fairness in Machine Learning Systems: What Do Industry Practitioners Need?" </w:t>
      </w:r>
      <w:r w:rsidRPr="00031988">
        <w:rPr>
          <w:i/>
          <w:iCs/>
          <w:noProof/>
          <w:sz w:val="20"/>
          <w:szCs w:val="20"/>
        </w:rPr>
        <w:t>Proceedings of the 2019 CHI Conference on Human Factors in Computing Systems.</w:t>
      </w:r>
      <w:r w:rsidRPr="00031988">
        <w:rPr>
          <w:noProof/>
          <w:sz w:val="20"/>
          <w:szCs w:val="20"/>
        </w:rPr>
        <w:t xml:space="preserve"> ACM. 1</w:t>
      </w:r>
      <w:r>
        <w:rPr>
          <w:noProof/>
          <w:sz w:val="20"/>
          <w:szCs w:val="20"/>
        </w:rPr>
        <w:t>–</w:t>
      </w:r>
      <w:r w:rsidRPr="00031988">
        <w:rPr>
          <w:noProof/>
          <w:sz w:val="20"/>
          <w:szCs w:val="20"/>
        </w:rPr>
        <w:t>16. doi:10.1145/3290605.3300830.</w:t>
      </w:r>
    </w:p>
    <w:p w14:paraId="3EE54F46" w14:textId="2918AD95" w:rsidR="00031988" w:rsidRPr="00031988" w:rsidRDefault="00031988" w:rsidP="00031988">
      <w:pPr>
        <w:pStyle w:val="Bibliography"/>
        <w:ind w:left="720" w:hanging="720"/>
        <w:rPr>
          <w:noProof/>
          <w:sz w:val="20"/>
          <w:szCs w:val="20"/>
        </w:rPr>
      </w:pPr>
      <w:r w:rsidRPr="00031988">
        <w:rPr>
          <w:noProof/>
          <w:sz w:val="20"/>
          <w:szCs w:val="20"/>
        </w:rPr>
        <w:t xml:space="preserve">Kearns, Michael, and Aaron Roth. 2021. "The Ethical Algorithm: The Science of Socially Aware Algorithm Design." </w:t>
      </w:r>
      <w:r w:rsidRPr="00031988">
        <w:rPr>
          <w:i/>
          <w:iCs/>
          <w:noProof/>
          <w:sz w:val="20"/>
          <w:szCs w:val="20"/>
        </w:rPr>
        <w:t>Perspectives on Science and Christian Faith</w:t>
      </w:r>
      <w:r w:rsidRPr="00031988">
        <w:rPr>
          <w:noProof/>
          <w:sz w:val="20"/>
          <w:szCs w:val="20"/>
        </w:rPr>
        <w:t xml:space="preserve"> (American Scientific Affiliation, Inc.) 73: 55</w:t>
      </w:r>
      <w:r>
        <w:rPr>
          <w:noProof/>
          <w:sz w:val="20"/>
          <w:szCs w:val="20"/>
        </w:rPr>
        <w:t>–</w:t>
      </w:r>
      <w:r w:rsidRPr="00031988">
        <w:rPr>
          <w:noProof/>
          <w:sz w:val="20"/>
          <w:szCs w:val="20"/>
        </w:rPr>
        <w:t>56. doi:10.56315/pscf3-21kearns.</w:t>
      </w:r>
    </w:p>
    <w:p w14:paraId="7E1F0CBD" w14:textId="5A9335B8" w:rsidR="00031988" w:rsidRPr="00031988" w:rsidRDefault="00031988" w:rsidP="00031988">
      <w:pPr>
        <w:pStyle w:val="Bibliography"/>
        <w:ind w:left="720" w:hanging="720"/>
        <w:rPr>
          <w:noProof/>
          <w:sz w:val="20"/>
          <w:szCs w:val="20"/>
          <w:lang w:val="pt-BR"/>
        </w:rPr>
      </w:pPr>
      <w:r w:rsidRPr="00031988">
        <w:rPr>
          <w:noProof/>
          <w:sz w:val="20"/>
          <w:szCs w:val="20"/>
        </w:rPr>
        <w:t xml:space="preserve">Mitchell, Margaret, Simone Wu, Andrew Zaldivar, Parker Barnes, Lucy Vasserman, Ben Hutchinson, Elena Spitzer, Inioluwa Deborah Raji, and Timnit Gebru. 2019. "Model Cards for Model Reporting." </w:t>
      </w:r>
      <w:r w:rsidRPr="00031988">
        <w:rPr>
          <w:i/>
          <w:iCs/>
          <w:noProof/>
          <w:sz w:val="20"/>
          <w:szCs w:val="20"/>
        </w:rPr>
        <w:t>Proceedings of the Conference on Fairness, Accountability, and Transparency.</w:t>
      </w:r>
      <w:r w:rsidRPr="00031988">
        <w:rPr>
          <w:noProof/>
          <w:sz w:val="20"/>
          <w:szCs w:val="20"/>
        </w:rPr>
        <w:t xml:space="preserve"> </w:t>
      </w:r>
      <w:r w:rsidRPr="00031988">
        <w:rPr>
          <w:noProof/>
          <w:sz w:val="20"/>
          <w:szCs w:val="20"/>
          <w:lang w:val="pt-BR"/>
        </w:rPr>
        <w:t>ACM. 220</w:t>
      </w:r>
      <w:r>
        <w:rPr>
          <w:noProof/>
          <w:sz w:val="20"/>
          <w:szCs w:val="20"/>
          <w:lang w:val="pt-BR"/>
        </w:rPr>
        <w:t>–</w:t>
      </w:r>
      <w:r w:rsidRPr="00031988">
        <w:rPr>
          <w:noProof/>
          <w:sz w:val="20"/>
          <w:szCs w:val="20"/>
          <w:lang w:val="pt-BR"/>
        </w:rPr>
        <w:t>229. doi:10.1145/3287560.3287596.</w:t>
      </w:r>
    </w:p>
    <w:p w14:paraId="0838A679" w14:textId="301BA8A2" w:rsidR="00031988" w:rsidRPr="00031988" w:rsidRDefault="00031988" w:rsidP="00031988">
      <w:pPr>
        <w:pStyle w:val="Bibliography"/>
        <w:ind w:left="720" w:hanging="720"/>
        <w:rPr>
          <w:noProof/>
          <w:sz w:val="20"/>
          <w:szCs w:val="20"/>
        </w:rPr>
      </w:pPr>
      <w:r w:rsidRPr="00031988">
        <w:rPr>
          <w:noProof/>
          <w:sz w:val="20"/>
          <w:szCs w:val="20"/>
          <w:lang w:val="pt-BR"/>
        </w:rPr>
        <w:t xml:space="preserve">Ribeiro, Marco Tulio, Sameer Singh, and Carlos Guestrin. </w:t>
      </w:r>
      <w:r w:rsidRPr="00031988">
        <w:rPr>
          <w:noProof/>
          <w:sz w:val="20"/>
          <w:szCs w:val="20"/>
        </w:rPr>
        <w:t xml:space="preserve">2016. "“Why Should I Trust You?”: Explaining the Predictions of Any Classifier." </w:t>
      </w:r>
      <w:r w:rsidRPr="00031988">
        <w:rPr>
          <w:i/>
          <w:iCs/>
          <w:noProof/>
          <w:sz w:val="20"/>
          <w:szCs w:val="20"/>
        </w:rPr>
        <w:t>Proceedings of the 22nd ACM SIGKDD International Conference on Knowledge Discovery and Data Mining.</w:t>
      </w:r>
      <w:r w:rsidRPr="00031988">
        <w:rPr>
          <w:noProof/>
          <w:sz w:val="20"/>
          <w:szCs w:val="20"/>
        </w:rPr>
        <w:t xml:space="preserve"> ACM. 1135</w:t>
      </w:r>
      <w:r>
        <w:rPr>
          <w:noProof/>
          <w:sz w:val="20"/>
          <w:szCs w:val="20"/>
        </w:rPr>
        <w:t>–</w:t>
      </w:r>
      <w:r w:rsidRPr="00031988">
        <w:rPr>
          <w:noProof/>
          <w:sz w:val="20"/>
          <w:szCs w:val="20"/>
        </w:rPr>
        <w:t>1144. doi:10.1145/2939672.2939778.</w:t>
      </w:r>
    </w:p>
    <w:p w14:paraId="2B776CFF" w14:textId="6D819C9E" w:rsidR="00031988" w:rsidRDefault="00031988" w:rsidP="00031988"/>
    <w:p w14:paraId="10B91A20" w14:textId="1FB93319" w:rsidR="00031988" w:rsidRPr="00B46279" w:rsidRDefault="00031988" w:rsidP="00B46279">
      <w:pPr>
        <w:jc w:val="both"/>
        <w:rPr>
          <w:sz w:val="20"/>
          <w:szCs w:val="20"/>
        </w:rPr>
      </w:pPr>
    </w:p>
    <w:sectPr w:rsidR="00031988" w:rsidRPr="00B46279" w:rsidSect="003D4D9A">
      <w:headerReference w:type="even" r:id="rId15"/>
      <w:headerReference w:type="defaul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EA1ED" w14:textId="77777777" w:rsidR="00472FB9" w:rsidRDefault="00472FB9">
      <w:r>
        <w:separator/>
      </w:r>
    </w:p>
  </w:endnote>
  <w:endnote w:type="continuationSeparator" w:id="0">
    <w:p w14:paraId="7404C80C" w14:textId="77777777" w:rsidR="00472FB9" w:rsidRDefault="0047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C44E" w14:textId="77777777" w:rsidR="00472FB9" w:rsidRDefault="00472FB9">
      <w:r>
        <w:separator/>
      </w:r>
    </w:p>
  </w:footnote>
  <w:footnote w:type="continuationSeparator" w:id="0">
    <w:p w14:paraId="2C0A38A0" w14:textId="77777777" w:rsidR="00472FB9" w:rsidRDefault="00472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419B"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12AFC861" w14:textId="2847C38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C0282">
      <w:rPr>
        <w:rStyle w:val="PageNumber"/>
        <w:sz w:val="18"/>
      </w:rPr>
      <w:t>6</w:t>
    </w:r>
  </w:p>
  <w:p w14:paraId="7CA6E87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EA1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7064B98C" w14:textId="3761EC10" w:rsidR="003D4D9A" w:rsidRPr="003D4D9A" w:rsidRDefault="00546952" w:rsidP="00546952">
    <w:pPr>
      <w:pStyle w:val="Header"/>
      <w:jc w:val="center"/>
      <w:rPr>
        <w:sz w:val="18"/>
      </w:rPr>
    </w:pPr>
    <w:r w:rsidRPr="00546952">
      <w:rPr>
        <w:sz w:val="18"/>
      </w:rPr>
      <w:t>Model Governance and Ethics in Operational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EA"/>
    <w:multiLevelType w:val="multilevel"/>
    <w:tmpl w:val="D3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B45"/>
    <w:multiLevelType w:val="multilevel"/>
    <w:tmpl w:val="ED209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6540B"/>
    <w:multiLevelType w:val="multilevel"/>
    <w:tmpl w:val="DD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7D7"/>
    <w:multiLevelType w:val="multilevel"/>
    <w:tmpl w:val="EA8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641D"/>
    <w:multiLevelType w:val="multilevel"/>
    <w:tmpl w:val="F45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920E2"/>
    <w:multiLevelType w:val="multilevel"/>
    <w:tmpl w:val="60D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93132"/>
    <w:multiLevelType w:val="multilevel"/>
    <w:tmpl w:val="FB9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67C3A"/>
    <w:multiLevelType w:val="multilevel"/>
    <w:tmpl w:val="1F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60C1"/>
    <w:multiLevelType w:val="multilevel"/>
    <w:tmpl w:val="225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B1EA4"/>
    <w:multiLevelType w:val="multilevel"/>
    <w:tmpl w:val="4B5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6227F"/>
    <w:multiLevelType w:val="multilevel"/>
    <w:tmpl w:val="475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0EA8"/>
    <w:multiLevelType w:val="multilevel"/>
    <w:tmpl w:val="0B9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72A89"/>
    <w:multiLevelType w:val="multilevel"/>
    <w:tmpl w:val="19CC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C457B"/>
    <w:multiLevelType w:val="multilevel"/>
    <w:tmpl w:val="67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315372">
    <w:abstractNumId w:val="10"/>
  </w:num>
  <w:num w:numId="2" w16cid:durableId="929922996">
    <w:abstractNumId w:val="11"/>
  </w:num>
  <w:num w:numId="3" w16cid:durableId="1785268406">
    <w:abstractNumId w:val="12"/>
  </w:num>
  <w:num w:numId="4" w16cid:durableId="1487360252">
    <w:abstractNumId w:val="8"/>
  </w:num>
  <w:num w:numId="5" w16cid:durableId="900990288">
    <w:abstractNumId w:val="5"/>
  </w:num>
  <w:num w:numId="6" w16cid:durableId="39399173">
    <w:abstractNumId w:val="13"/>
  </w:num>
  <w:num w:numId="7" w16cid:durableId="1065296884">
    <w:abstractNumId w:val="2"/>
  </w:num>
  <w:num w:numId="8" w16cid:durableId="1368333305">
    <w:abstractNumId w:val="0"/>
  </w:num>
  <w:num w:numId="9" w16cid:durableId="1010596217">
    <w:abstractNumId w:val="4"/>
  </w:num>
  <w:num w:numId="10" w16cid:durableId="1781031326">
    <w:abstractNumId w:val="1"/>
  </w:num>
  <w:num w:numId="11" w16cid:durableId="1954364451">
    <w:abstractNumId w:val="6"/>
  </w:num>
  <w:num w:numId="12" w16cid:durableId="1902011911">
    <w:abstractNumId w:val="9"/>
  </w:num>
  <w:num w:numId="13" w16cid:durableId="1999531280">
    <w:abstractNumId w:val="3"/>
  </w:num>
  <w:num w:numId="14" w16cid:durableId="1922785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13F7D"/>
    <w:rsid w:val="00025E7D"/>
    <w:rsid w:val="0002677C"/>
    <w:rsid w:val="00031988"/>
    <w:rsid w:val="00071701"/>
    <w:rsid w:val="00071AA2"/>
    <w:rsid w:val="00086DEC"/>
    <w:rsid w:val="000A0C5B"/>
    <w:rsid w:val="000C6FB8"/>
    <w:rsid w:val="000F0DB8"/>
    <w:rsid w:val="00112F3E"/>
    <w:rsid w:val="00132087"/>
    <w:rsid w:val="00132480"/>
    <w:rsid w:val="001820EA"/>
    <w:rsid w:val="00192383"/>
    <w:rsid w:val="001D11C1"/>
    <w:rsid w:val="001E4FD9"/>
    <w:rsid w:val="00203F69"/>
    <w:rsid w:val="00243D25"/>
    <w:rsid w:val="00251DCE"/>
    <w:rsid w:val="00262CC8"/>
    <w:rsid w:val="0029798A"/>
    <w:rsid w:val="002B4A85"/>
    <w:rsid w:val="002C6ED3"/>
    <w:rsid w:val="002E0D50"/>
    <w:rsid w:val="002E0D90"/>
    <w:rsid w:val="002E59F9"/>
    <w:rsid w:val="00321646"/>
    <w:rsid w:val="00342E2A"/>
    <w:rsid w:val="00370753"/>
    <w:rsid w:val="00373806"/>
    <w:rsid w:val="003864E9"/>
    <w:rsid w:val="003C5569"/>
    <w:rsid w:val="003C70B2"/>
    <w:rsid w:val="003D4D9A"/>
    <w:rsid w:val="0040066A"/>
    <w:rsid w:val="004340D5"/>
    <w:rsid w:val="0046370F"/>
    <w:rsid w:val="00472FB9"/>
    <w:rsid w:val="00473582"/>
    <w:rsid w:val="004A7CEB"/>
    <w:rsid w:val="004B5586"/>
    <w:rsid w:val="004D3E54"/>
    <w:rsid w:val="004E5946"/>
    <w:rsid w:val="005375C1"/>
    <w:rsid w:val="00546952"/>
    <w:rsid w:val="00557FE6"/>
    <w:rsid w:val="0059063E"/>
    <w:rsid w:val="0059560F"/>
    <w:rsid w:val="005A3736"/>
    <w:rsid w:val="005C4E85"/>
    <w:rsid w:val="005D6017"/>
    <w:rsid w:val="00616822"/>
    <w:rsid w:val="00620C81"/>
    <w:rsid w:val="00637B2A"/>
    <w:rsid w:val="006550FA"/>
    <w:rsid w:val="006A32F5"/>
    <w:rsid w:val="006A4F69"/>
    <w:rsid w:val="006B3EF2"/>
    <w:rsid w:val="006D42AF"/>
    <w:rsid w:val="006D6410"/>
    <w:rsid w:val="006F6550"/>
    <w:rsid w:val="00747EA8"/>
    <w:rsid w:val="0075351D"/>
    <w:rsid w:val="0078792B"/>
    <w:rsid w:val="007951B3"/>
    <w:rsid w:val="007963F7"/>
    <w:rsid w:val="007F3FF8"/>
    <w:rsid w:val="00833446"/>
    <w:rsid w:val="008377D3"/>
    <w:rsid w:val="00854E4B"/>
    <w:rsid w:val="00867D87"/>
    <w:rsid w:val="008D1D91"/>
    <w:rsid w:val="008E3BE3"/>
    <w:rsid w:val="008E63EA"/>
    <w:rsid w:val="008F16E1"/>
    <w:rsid w:val="008F748B"/>
    <w:rsid w:val="0092094D"/>
    <w:rsid w:val="009233AF"/>
    <w:rsid w:val="00974D35"/>
    <w:rsid w:val="00977B65"/>
    <w:rsid w:val="009C5BC3"/>
    <w:rsid w:val="009D5D6A"/>
    <w:rsid w:val="009E4CEE"/>
    <w:rsid w:val="009F16E4"/>
    <w:rsid w:val="00A0484A"/>
    <w:rsid w:val="00A249C2"/>
    <w:rsid w:val="00A745BC"/>
    <w:rsid w:val="00A74DA7"/>
    <w:rsid w:val="00A92B86"/>
    <w:rsid w:val="00AB398A"/>
    <w:rsid w:val="00AC0682"/>
    <w:rsid w:val="00B008C2"/>
    <w:rsid w:val="00B14705"/>
    <w:rsid w:val="00B14B40"/>
    <w:rsid w:val="00B2097D"/>
    <w:rsid w:val="00B46279"/>
    <w:rsid w:val="00B743A3"/>
    <w:rsid w:val="00BE5170"/>
    <w:rsid w:val="00C05CA8"/>
    <w:rsid w:val="00C81C8F"/>
    <w:rsid w:val="00CC43A4"/>
    <w:rsid w:val="00CF4CCF"/>
    <w:rsid w:val="00D04AE2"/>
    <w:rsid w:val="00D139D6"/>
    <w:rsid w:val="00D256FD"/>
    <w:rsid w:val="00D7095F"/>
    <w:rsid w:val="00D7740B"/>
    <w:rsid w:val="00DA085B"/>
    <w:rsid w:val="00DB0D40"/>
    <w:rsid w:val="00DC6330"/>
    <w:rsid w:val="00E06FA1"/>
    <w:rsid w:val="00E828B3"/>
    <w:rsid w:val="00E9673A"/>
    <w:rsid w:val="00EA1B80"/>
    <w:rsid w:val="00EA6739"/>
    <w:rsid w:val="00EB7D83"/>
    <w:rsid w:val="00EC0282"/>
    <w:rsid w:val="00EF13E4"/>
    <w:rsid w:val="00F076C8"/>
    <w:rsid w:val="00F265A2"/>
    <w:rsid w:val="00F3229D"/>
    <w:rsid w:val="00F46908"/>
    <w:rsid w:val="00F95DD0"/>
    <w:rsid w:val="00FB0344"/>
    <w:rsid w:val="00FE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57B0D"/>
  <w15:chartTrackingRefBased/>
  <w15:docId w15:val="{FDEC2433-D8DC-4A13-962B-472657D3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25E7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EA6739"/>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EA6739"/>
    <w:pPr>
      <w:keepNext/>
      <w:spacing w:before="240" w:after="60"/>
      <w:outlineLvl w:val="2"/>
    </w:pPr>
    <w:rPr>
      <w:rFonts w:ascii="Aptos Display" w:hAnsi="Aptos Display"/>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747EA8"/>
  </w:style>
  <w:style w:type="character" w:customStyle="1" w:styleId="TitleChar">
    <w:name w:val="Title Char"/>
    <w:link w:val="Title"/>
    <w:rsid w:val="00747EA8"/>
    <w:rPr>
      <w:smallCaps/>
      <w:sz w:val="32"/>
      <w:szCs w:val="24"/>
      <w:lang w:val="en-GB"/>
    </w:rPr>
  </w:style>
  <w:style w:type="paragraph" w:customStyle="1" w:styleId="Quotations">
    <w:name w:val="Quotations"/>
    <w:basedOn w:val="Normal"/>
    <w:link w:val="QuotationsChar"/>
    <w:qFormat/>
    <w:rsid w:val="0059560F"/>
    <w:pPr>
      <w:ind w:left="284" w:right="284"/>
      <w:jc w:val="both"/>
    </w:pPr>
    <w:rPr>
      <w:sz w:val="18"/>
      <w:szCs w:val="18"/>
      <w:lang w:val="en-GB"/>
    </w:rPr>
  </w:style>
  <w:style w:type="character" w:customStyle="1" w:styleId="QuotationsChar">
    <w:name w:val="Quotations Char"/>
    <w:link w:val="Quotations"/>
    <w:rsid w:val="0059560F"/>
    <w:rPr>
      <w:sz w:val="18"/>
      <w:szCs w:val="18"/>
      <w:lang w:val="en-GB"/>
    </w:rPr>
  </w:style>
  <w:style w:type="paragraph" w:customStyle="1" w:styleId="Body">
    <w:name w:val="Body"/>
    <w:basedOn w:val="Normal"/>
    <w:link w:val="BodyChar"/>
    <w:qFormat/>
    <w:rsid w:val="0059560F"/>
    <w:pPr>
      <w:ind w:firstLine="284"/>
      <w:jc w:val="both"/>
    </w:pPr>
    <w:rPr>
      <w:sz w:val="20"/>
      <w:szCs w:val="20"/>
      <w:lang w:val="en-GB"/>
    </w:rPr>
  </w:style>
  <w:style w:type="character" w:customStyle="1" w:styleId="BodyChar">
    <w:name w:val="Body Char"/>
    <w:link w:val="Body"/>
    <w:rsid w:val="0059560F"/>
    <w:rPr>
      <w:lang w:val="en-GB"/>
    </w:rPr>
  </w:style>
  <w:style w:type="paragraph" w:customStyle="1" w:styleId="Introduction">
    <w:name w:val="Introduction"/>
    <w:basedOn w:val="Normal"/>
    <w:link w:val="IntroductionChar"/>
    <w:qFormat/>
    <w:rsid w:val="0059560F"/>
    <w:pPr>
      <w:jc w:val="both"/>
    </w:pPr>
    <w:rPr>
      <w:sz w:val="20"/>
      <w:szCs w:val="20"/>
      <w:lang w:val="en-GB"/>
    </w:rPr>
  </w:style>
  <w:style w:type="character" w:customStyle="1" w:styleId="IntroductionChar">
    <w:name w:val="Introduction Char"/>
    <w:link w:val="Introduction"/>
    <w:rsid w:val="0059560F"/>
    <w:rPr>
      <w:lang w:val="en-GB"/>
    </w:rPr>
  </w:style>
  <w:style w:type="paragraph" w:customStyle="1" w:styleId="Secondaryheadings">
    <w:name w:val="Secondary headings"/>
    <w:basedOn w:val="Normal"/>
    <w:link w:val="SecondaryheadingsChar"/>
    <w:qFormat/>
    <w:rsid w:val="0059560F"/>
    <w:pPr>
      <w:jc w:val="center"/>
    </w:pPr>
    <w:rPr>
      <w:b/>
      <w:lang w:val="en-GB"/>
    </w:rPr>
  </w:style>
  <w:style w:type="character" w:customStyle="1" w:styleId="SecondaryheadingsChar">
    <w:name w:val="Secondary headings Char"/>
    <w:link w:val="Secondaryheadings"/>
    <w:rsid w:val="0059560F"/>
    <w:rPr>
      <w:b/>
      <w:sz w:val="24"/>
      <w:szCs w:val="24"/>
      <w:lang w:val="en-GB"/>
    </w:rPr>
  </w:style>
  <w:style w:type="character" w:customStyle="1" w:styleId="Heading1Char">
    <w:name w:val="Heading 1 Char"/>
    <w:link w:val="Heading1"/>
    <w:uiPriority w:val="9"/>
    <w:rsid w:val="00025E7D"/>
    <w:rPr>
      <w:rFonts w:ascii="Aptos Display" w:eastAsia="Times New Roman" w:hAnsi="Aptos Display" w:cs="Times New Roman"/>
      <w:b/>
      <w:bCs/>
      <w:kern w:val="32"/>
      <w:sz w:val="32"/>
      <w:szCs w:val="32"/>
    </w:rPr>
  </w:style>
  <w:style w:type="paragraph" w:styleId="Bibliography">
    <w:name w:val="Bibliography"/>
    <w:basedOn w:val="Normal"/>
    <w:next w:val="Normal"/>
    <w:uiPriority w:val="37"/>
    <w:unhideWhenUsed/>
    <w:rsid w:val="00031988"/>
  </w:style>
  <w:style w:type="paragraph" w:customStyle="1" w:styleId="citationblock">
    <w:name w:val="citation block"/>
    <w:basedOn w:val="Normal"/>
    <w:link w:val="citationblockChar"/>
    <w:qFormat/>
    <w:rsid w:val="00112F3E"/>
    <w:pPr>
      <w:jc w:val="both"/>
    </w:pPr>
    <w:rPr>
      <w:i/>
      <w:iCs/>
      <w:sz w:val="20"/>
      <w:szCs w:val="20"/>
    </w:rPr>
  </w:style>
  <w:style w:type="character" w:customStyle="1" w:styleId="citationblockChar">
    <w:name w:val="citation block Char"/>
    <w:link w:val="citationblock"/>
    <w:rsid w:val="00112F3E"/>
    <w:rPr>
      <w:i/>
      <w:iCs/>
    </w:rPr>
  </w:style>
  <w:style w:type="character" w:customStyle="1" w:styleId="Heading2Char">
    <w:name w:val="Heading 2 Char"/>
    <w:link w:val="Heading2"/>
    <w:semiHidden/>
    <w:rsid w:val="00EA6739"/>
    <w:rPr>
      <w:rFonts w:ascii="Aptos Display" w:eastAsia="Times New Roman" w:hAnsi="Aptos Display" w:cs="Times New Roman"/>
      <w:b/>
      <w:bCs/>
      <w:i/>
      <w:iCs/>
      <w:sz w:val="28"/>
      <w:szCs w:val="28"/>
    </w:rPr>
  </w:style>
  <w:style w:type="character" w:customStyle="1" w:styleId="Heading3Char">
    <w:name w:val="Heading 3 Char"/>
    <w:link w:val="Heading3"/>
    <w:semiHidden/>
    <w:rsid w:val="00EA6739"/>
    <w:rPr>
      <w:rFonts w:ascii="Aptos Display" w:eastAsia="Times New Roman" w:hAnsi="Aptos Display" w:cs="Times New Roman"/>
      <w:b/>
      <w:bCs/>
      <w:sz w:val="26"/>
      <w:szCs w:val="26"/>
    </w:rPr>
  </w:style>
  <w:style w:type="paragraph" w:styleId="Caption">
    <w:name w:val="caption"/>
    <w:basedOn w:val="Normal"/>
    <w:next w:val="Normal"/>
    <w:unhideWhenUsed/>
    <w:qFormat/>
    <w:rsid w:val="00867D87"/>
    <w:rPr>
      <w:b/>
      <w:bCs/>
      <w:sz w:val="20"/>
      <w:szCs w:val="20"/>
    </w:rPr>
  </w:style>
  <w:style w:type="paragraph" w:styleId="NormalWeb">
    <w:name w:val="Normal (Web)"/>
    <w:basedOn w:val="Normal"/>
    <w:rsid w:val="00E828B3"/>
  </w:style>
  <w:style w:type="paragraph" w:customStyle="1" w:styleId="SC-Source">
    <w:name w:val="SC - Source"/>
    <w:basedOn w:val="Normal"/>
    <w:link w:val="SC-SourceChar"/>
    <w:qFormat/>
    <w:rsid w:val="005A3736"/>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5A3736"/>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790">
      <w:bodyDiv w:val="1"/>
      <w:marLeft w:val="0"/>
      <w:marRight w:val="0"/>
      <w:marTop w:val="0"/>
      <w:marBottom w:val="0"/>
      <w:divBdr>
        <w:top w:val="none" w:sz="0" w:space="0" w:color="auto"/>
        <w:left w:val="none" w:sz="0" w:space="0" w:color="auto"/>
        <w:bottom w:val="none" w:sz="0" w:space="0" w:color="auto"/>
        <w:right w:val="none" w:sz="0" w:space="0" w:color="auto"/>
      </w:divBdr>
    </w:div>
    <w:div w:id="55904697">
      <w:bodyDiv w:val="1"/>
      <w:marLeft w:val="0"/>
      <w:marRight w:val="0"/>
      <w:marTop w:val="0"/>
      <w:marBottom w:val="0"/>
      <w:divBdr>
        <w:top w:val="none" w:sz="0" w:space="0" w:color="auto"/>
        <w:left w:val="none" w:sz="0" w:space="0" w:color="auto"/>
        <w:bottom w:val="none" w:sz="0" w:space="0" w:color="auto"/>
        <w:right w:val="none" w:sz="0" w:space="0" w:color="auto"/>
      </w:divBdr>
    </w:div>
    <w:div w:id="160200564">
      <w:bodyDiv w:val="1"/>
      <w:marLeft w:val="0"/>
      <w:marRight w:val="0"/>
      <w:marTop w:val="0"/>
      <w:marBottom w:val="0"/>
      <w:divBdr>
        <w:top w:val="none" w:sz="0" w:space="0" w:color="auto"/>
        <w:left w:val="none" w:sz="0" w:space="0" w:color="auto"/>
        <w:bottom w:val="none" w:sz="0" w:space="0" w:color="auto"/>
        <w:right w:val="none" w:sz="0" w:space="0" w:color="auto"/>
      </w:divBdr>
    </w:div>
    <w:div w:id="544828804">
      <w:bodyDiv w:val="1"/>
      <w:marLeft w:val="0"/>
      <w:marRight w:val="0"/>
      <w:marTop w:val="0"/>
      <w:marBottom w:val="0"/>
      <w:divBdr>
        <w:top w:val="none" w:sz="0" w:space="0" w:color="auto"/>
        <w:left w:val="none" w:sz="0" w:space="0" w:color="auto"/>
        <w:bottom w:val="none" w:sz="0" w:space="0" w:color="auto"/>
        <w:right w:val="none" w:sz="0" w:space="0" w:color="auto"/>
      </w:divBdr>
    </w:div>
    <w:div w:id="564070877">
      <w:bodyDiv w:val="1"/>
      <w:marLeft w:val="0"/>
      <w:marRight w:val="0"/>
      <w:marTop w:val="0"/>
      <w:marBottom w:val="0"/>
      <w:divBdr>
        <w:top w:val="none" w:sz="0" w:space="0" w:color="auto"/>
        <w:left w:val="none" w:sz="0" w:space="0" w:color="auto"/>
        <w:bottom w:val="none" w:sz="0" w:space="0" w:color="auto"/>
        <w:right w:val="none" w:sz="0" w:space="0" w:color="auto"/>
      </w:divBdr>
    </w:div>
    <w:div w:id="566034809">
      <w:bodyDiv w:val="1"/>
      <w:marLeft w:val="0"/>
      <w:marRight w:val="0"/>
      <w:marTop w:val="0"/>
      <w:marBottom w:val="0"/>
      <w:divBdr>
        <w:top w:val="none" w:sz="0" w:space="0" w:color="auto"/>
        <w:left w:val="none" w:sz="0" w:space="0" w:color="auto"/>
        <w:bottom w:val="none" w:sz="0" w:space="0" w:color="auto"/>
        <w:right w:val="none" w:sz="0" w:space="0" w:color="auto"/>
      </w:divBdr>
    </w:div>
    <w:div w:id="637339155">
      <w:bodyDiv w:val="1"/>
      <w:marLeft w:val="0"/>
      <w:marRight w:val="0"/>
      <w:marTop w:val="0"/>
      <w:marBottom w:val="0"/>
      <w:divBdr>
        <w:top w:val="none" w:sz="0" w:space="0" w:color="auto"/>
        <w:left w:val="none" w:sz="0" w:space="0" w:color="auto"/>
        <w:bottom w:val="none" w:sz="0" w:space="0" w:color="auto"/>
        <w:right w:val="none" w:sz="0" w:space="0" w:color="auto"/>
      </w:divBdr>
    </w:div>
    <w:div w:id="651493930">
      <w:bodyDiv w:val="1"/>
      <w:marLeft w:val="0"/>
      <w:marRight w:val="0"/>
      <w:marTop w:val="0"/>
      <w:marBottom w:val="0"/>
      <w:divBdr>
        <w:top w:val="none" w:sz="0" w:space="0" w:color="auto"/>
        <w:left w:val="none" w:sz="0" w:space="0" w:color="auto"/>
        <w:bottom w:val="none" w:sz="0" w:space="0" w:color="auto"/>
        <w:right w:val="none" w:sz="0" w:space="0" w:color="auto"/>
      </w:divBdr>
    </w:div>
    <w:div w:id="766733233">
      <w:bodyDiv w:val="1"/>
      <w:marLeft w:val="0"/>
      <w:marRight w:val="0"/>
      <w:marTop w:val="0"/>
      <w:marBottom w:val="0"/>
      <w:divBdr>
        <w:top w:val="none" w:sz="0" w:space="0" w:color="auto"/>
        <w:left w:val="none" w:sz="0" w:space="0" w:color="auto"/>
        <w:bottom w:val="none" w:sz="0" w:space="0" w:color="auto"/>
        <w:right w:val="none" w:sz="0" w:space="0" w:color="auto"/>
      </w:divBdr>
    </w:div>
    <w:div w:id="848250282">
      <w:bodyDiv w:val="1"/>
      <w:marLeft w:val="0"/>
      <w:marRight w:val="0"/>
      <w:marTop w:val="0"/>
      <w:marBottom w:val="0"/>
      <w:divBdr>
        <w:top w:val="none" w:sz="0" w:space="0" w:color="auto"/>
        <w:left w:val="none" w:sz="0" w:space="0" w:color="auto"/>
        <w:bottom w:val="none" w:sz="0" w:space="0" w:color="auto"/>
        <w:right w:val="none" w:sz="0" w:space="0" w:color="auto"/>
      </w:divBdr>
    </w:div>
    <w:div w:id="885065804">
      <w:bodyDiv w:val="1"/>
      <w:marLeft w:val="0"/>
      <w:marRight w:val="0"/>
      <w:marTop w:val="0"/>
      <w:marBottom w:val="0"/>
      <w:divBdr>
        <w:top w:val="none" w:sz="0" w:space="0" w:color="auto"/>
        <w:left w:val="none" w:sz="0" w:space="0" w:color="auto"/>
        <w:bottom w:val="none" w:sz="0" w:space="0" w:color="auto"/>
        <w:right w:val="none" w:sz="0" w:space="0" w:color="auto"/>
      </w:divBdr>
    </w:div>
    <w:div w:id="1292832922">
      <w:bodyDiv w:val="1"/>
      <w:marLeft w:val="0"/>
      <w:marRight w:val="0"/>
      <w:marTop w:val="0"/>
      <w:marBottom w:val="0"/>
      <w:divBdr>
        <w:top w:val="none" w:sz="0" w:space="0" w:color="auto"/>
        <w:left w:val="none" w:sz="0" w:space="0" w:color="auto"/>
        <w:bottom w:val="none" w:sz="0" w:space="0" w:color="auto"/>
        <w:right w:val="none" w:sz="0" w:space="0" w:color="auto"/>
      </w:divBdr>
    </w:div>
    <w:div w:id="1317607767">
      <w:bodyDiv w:val="1"/>
      <w:marLeft w:val="0"/>
      <w:marRight w:val="0"/>
      <w:marTop w:val="0"/>
      <w:marBottom w:val="0"/>
      <w:divBdr>
        <w:top w:val="none" w:sz="0" w:space="0" w:color="auto"/>
        <w:left w:val="none" w:sz="0" w:space="0" w:color="auto"/>
        <w:bottom w:val="none" w:sz="0" w:space="0" w:color="auto"/>
        <w:right w:val="none" w:sz="0" w:space="0" w:color="auto"/>
      </w:divBdr>
    </w:div>
    <w:div w:id="1346983356">
      <w:bodyDiv w:val="1"/>
      <w:marLeft w:val="0"/>
      <w:marRight w:val="0"/>
      <w:marTop w:val="0"/>
      <w:marBottom w:val="0"/>
      <w:divBdr>
        <w:top w:val="none" w:sz="0" w:space="0" w:color="auto"/>
        <w:left w:val="none" w:sz="0" w:space="0" w:color="auto"/>
        <w:bottom w:val="none" w:sz="0" w:space="0" w:color="auto"/>
        <w:right w:val="none" w:sz="0" w:space="0" w:color="auto"/>
      </w:divBdr>
    </w:div>
    <w:div w:id="1415741415">
      <w:bodyDiv w:val="1"/>
      <w:marLeft w:val="0"/>
      <w:marRight w:val="0"/>
      <w:marTop w:val="0"/>
      <w:marBottom w:val="0"/>
      <w:divBdr>
        <w:top w:val="none" w:sz="0" w:space="0" w:color="auto"/>
        <w:left w:val="none" w:sz="0" w:space="0" w:color="auto"/>
        <w:bottom w:val="none" w:sz="0" w:space="0" w:color="auto"/>
        <w:right w:val="none" w:sz="0" w:space="0" w:color="auto"/>
      </w:divBdr>
    </w:div>
    <w:div w:id="1498888351">
      <w:bodyDiv w:val="1"/>
      <w:marLeft w:val="0"/>
      <w:marRight w:val="0"/>
      <w:marTop w:val="0"/>
      <w:marBottom w:val="0"/>
      <w:divBdr>
        <w:top w:val="none" w:sz="0" w:space="0" w:color="auto"/>
        <w:left w:val="none" w:sz="0" w:space="0" w:color="auto"/>
        <w:bottom w:val="none" w:sz="0" w:space="0" w:color="auto"/>
        <w:right w:val="none" w:sz="0" w:space="0" w:color="auto"/>
      </w:divBdr>
    </w:div>
    <w:div w:id="1541934816">
      <w:bodyDiv w:val="1"/>
      <w:marLeft w:val="0"/>
      <w:marRight w:val="0"/>
      <w:marTop w:val="0"/>
      <w:marBottom w:val="0"/>
      <w:divBdr>
        <w:top w:val="none" w:sz="0" w:space="0" w:color="auto"/>
        <w:left w:val="none" w:sz="0" w:space="0" w:color="auto"/>
        <w:bottom w:val="none" w:sz="0" w:space="0" w:color="auto"/>
        <w:right w:val="none" w:sz="0" w:space="0" w:color="auto"/>
      </w:divBdr>
    </w:div>
    <w:div w:id="1545167532">
      <w:bodyDiv w:val="1"/>
      <w:marLeft w:val="0"/>
      <w:marRight w:val="0"/>
      <w:marTop w:val="0"/>
      <w:marBottom w:val="0"/>
      <w:divBdr>
        <w:top w:val="none" w:sz="0" w:space="0" w:color="auto"/>
        <w:left w:val="none" w:sz="0" w:space="0" w:color="auto"/>
        <w:bottom w:val="none" w:sz="0" w:space="0" w:color="auto"/>
        <w:right w:val="none" w:sz="0" w:space="0" w:color="auto"/>
      </w:divBdr>
    </w:div>
    <w:div w:id="1741174348">
      <w:bodyDiv w:val="1"/>
      <w:marLeft w:val="0"/>
      <w:marRight w:val="0"/>
      <w:marTop w:val="0"/>
      <w:marBottom w:val="0"/>
      <w:divBdr>
        <w:top w:val="none" w:sz="0" w:space="0" w:color="auto"/>
        <w:left w:val="none" w:sz="0" w:space="0" w:color="auto"/>
        <w:bottom w:val="none" w:sz="0" w:space="0" w:color="auto"/>
        <w:right w:val="none" w:sz="0" w:space="0" w:color="auto"/>
      </w:divBdr>
    </w:div>
    <w:div w:id="1786458735">
      <w:bodyDiv w:val="1"/>
      <w:marLeft w:val="0"/>
      <w:marRight w:val="0"/>
      <w:marTop w:val="0"/>
      <w:marBottom w:val="0"/>
      <w:divBdr>
        <w:top w:val="none" w:sz="0" w:space="0" w:color="auto"/>
        <w:left w:val="none" w:sz="0" w:space="0" w:color="auto"/>
        <w:bottom w:val="none" w:sz="0" w:space="0" w:color="auto"/>
        <w:right w:val="none" w:sz="0" w:space="0" w:color="auto"/>
      </w:divBdr>
    </w:div>
    <w:div w:id="1790852184">
      <w:bodyDiv w:val="1"/>
      <w:marLeft w:val="0"/>
      <w:marRight w:val="0"/>
      <w:marTop w:val="0"/>
      <w:marBottom w:val="0"/>
      <w:divBdr>
        <w:top w:val="none" w:sz="0" w:space="0" w:color="auto"/>
        <w:left w:val="none" w:sz="0" w:space="0" w:color="auto"/>
        <w:bottom w:val="none" w:sz="0" w:space="0" w:color="auto"/>
        <w:right w:val="none" w:sz="0" w:space="0" w:color="auto"/>
      </w:divBdr>
    </w:div>
    <w:div w:id="19179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2018</b:Year>
    <b:Volume>16</b:Volume>
    <b:BIBTEX_Entry>article</b:BIBTEX_Entry>
    <b:SourceType>JournalArticle</b:SourceType>
    <b:Title>What Can Political Philosophy Teach Us about Algorithmic Fairness?</b:Title>
    <b:Publisher>Institute of Electrical and Electronics Engineers (IEEE)</b:Publisher>
    <b:Tag>binns2018_fairness</b:Tag>
    <b:BookTitle>Proceedings of the 2018 Conference on Fairness, Accountability and Transparency</b:BookTitle>
    <b:DOI>10.1109/msp.2018.2701147</b:DOI>
    <b:Author>
      <b:Author>
        <b:NameList>
          <b:Person>
            <b:Last>Binns</b:Last>
            <b:First>Reuben</b:First>
          </b:Person>
        </b:NameList>
      </b:Author>
    </b:Author>
    <b:Pages>73-80</b:Pages>
    <b:Month>May</b:Month>
    <b:JournalName>IEEE Security &amp;amp; Privacy</b:JournalName>
    <b:Number>3</b:Number>
    <b:StandardNumber> ISSN: 1558-4046</b:StandardNumber>
    <b:ConferenceName>Proceedings of the 2018 Conference on Fairness, Accountability and Transparency</b:ConferenceName>
    <b:RefOrder>1</b:RefOrder>
  </b:Source>
  <b:Source>
    <b:Year>2017</b:Year>
    <b:BIBTEX_Entry>article</b:BIBTEX_Entry>
    <b:SourceType>JournalArticle</b:SourceType>
    <b:Title>Towards a Rigorous Science of Interpretable Machine Learning</b:Title>
    <b:Tag>doshi2017_interpretability</b:Tag>
    <b:URL>https://arxiv.org/abs/1702.08608</b:URL>
    <b:Author>
      <b:Author>
        <b:NameList>
          <b:Person>
            <b:Last>Doshi-Velez</b:Last>
            <b:First>Finale</b:First>
          </b:Person>
          <b:Person>
            <b:Last>Kim</b:Last>
            <b:First>Been</b:First>
          </b:Person>
        </b:NameList>
      </b:Author>
    </b:Author>
    <b:JournalName>arXiv preprint arXiv:1702.08608</b:JournalName>
    <b:RefOrder>2</b:RefOrder>
  </b:Source>
  <b:Source>
    <b:Year>2021</b:Year>
    <b:Volume>73</b:Volume>
    <b:BIBTEX_Entry>article</b:BIBTEX_Entry>
    <b:SourceType>JournalArticle</b:SourceType>
    <b:Title>The Ethical Algorithm: The Science of Socially Aware Algorithm Design</b:Title>
    <b:Publisher>American Scientific Affiliation, Inc.</b:Publisher>
    <b:BIBTEX_Abstract>THE ETHICAL ALGORITHM: The Science of Socially Aware Algorithm Design by Michael Kearns and Aaron Roth. New York: Oxford University Press, 2019. 232 pages. Hardcover; 24.95. ISBN: 9780190948207. *Can an algorithm be ethical? That question appears to be similar to asking if a hammer can be ethical. Isn't the ethics solely related to how the hammer is used? Using it to build a house seems ethical; using it to harm another person would be immoral. *That line of thinking would be appropriate if the algorithm were something as simple as a sorting routine. If we sort the list of names in a wedding guest book so that the thank-you cards can be sent more systematically, its use would be acceptable; sorting a list of email addresses by education level in order to target people with a scam would be immoral. *The algorithms under consideration in The Ethical Algorithm are of a different nature, and the ethical issues are more complex. These algorithms are of fairly recent origin. They arise as we try to make use of vast collections of data to make more-accurate decisions: for example, using income, credit history, current debt level, and education level to approve or disapprove a loan application. A second example would be the use of high school GPA, ACT or SAT scores, and extra-curricular activities to determine college admissions. *The algorithms under consideration use machine-learning techniques (a branch of artificial intelligence) to look at the success rates of past student admissions and instruct the machine-learning algorithm to determine a set of criteria that successfully distinguish (with minimal errors) between those past students who graduated and those who didn't. That set of criteria (called a "model") can then be used to predict the success of future applicants. *The ethical component is important because such machine-learning algorithms optimize with particular goals as targets. And there tend to be unintended consequences–such as higher rates of rejection of applicants of color who would actually have succeeded. The solution to this problem requires more than just adding social equity goals as part of what is to be optimized–although that is an important step. *The authors advocate the development of precise definitions of the social goals we seek, and then the development of algorithmic techniques that help produce those goals. One important example is the social goal of privacy. What follows leaves out many important ideas found in the book, but illustrates the key points. Kearns and Roth cite the release in the mid-1990s of a dataset containing medical records for all state employees of Massachusetts. The dataset was intended for the use of medical researchers. The governor assured the employees that identifying information had been removed–names, social security numbers, and addresses. Two weeks later, Latanya Sweeney, a PhD student at MIT, sent the governor his medical records from that dataset. It cost her 20 to legally purchase the voter rolls for the city of Cambridge, MA. She then correlated that with other publicly available information to eliminate every other person from the medical dataset other than the governor himself. *Achieving data privacy is not as simple as was originally thought. To make progress, a good definition of privacy is needed. One useful definition is the notion of differential privacy: "nothing about an individual should be learnable from a dataset that cannot be learned from the same dataset but with the individual's data removed" (p. 36). This needs to also prevent identification by merging multiple datasets (for example, the medical records from several hospitals from which we might be able to identify an individual by looking for intersections on a few key attributes such as age, gender, and illness). One way to achieve this goal is to add randomness to the data. This can be done in a manner in which the probability of determining an individual changes very little by adding or removing that person's data to/from the dataset. *A very clever technique for adding this random noise can be found in a randomized response, an idea introduced in the 1960s to get accurate information in polls about sensitive topics (such as, "have you cheated on your taxes?"). The respondent is told to flip a coin. If it is a head, answer truthfully. If it is a tail, flip a second time and answer "yes" if it is a head and "no" if it is a tail. Suppose the true proportion of people who cheat on their taxes is p. Some pretty simple math shows that with a sufficiently large sample size (larger than needed for surveys that are less sensitive), the measured proportion, m, of "yes" responses will be close to m = ¼ + ½ p. We can then approximate p as 2m - ½, and still give individuals reasonable deniability. If I answer "yes" and a hacker finds my record, there is still a 25% chance that my true answer is "no." My privacy has been effectively protected. So we can achieve reasonable privacy at the cost of needing a larger dataset. *This short book discusses privacy, fairness, multiplayer games (such as using apps to direct your morning commute), pitfalls in scientific research, accountability, the singularity (a future time where machines might become "smarter" than humans), and more. Sufficient detail is given so that the reader can understand the ideas and the fundamental aspects of the algorithms without requiring a degree in mathematics or computer science. *One of the fundamental issues driving the need for ethical algorithms is the unintended consequences that result from well-intended choices. This is not a new phenomenon–Lot made a choice based on the data he had available: "Lot looked about him, and saw that the plain of the Jordan was well watered everywhere like the garden of the Lord, like the land of Egypt ..." Genesis 13:10 (NRSV). But by choosing that apparently desirable location, Lot brought harm to his family. *I have often pondered the command of Jesus in Matthew 10:16 where he instructs us to "be wise as serpents and innocent as doves." Perhaps one way to apply this command is to be wise as we are devising algorithms to make sure that they do no harm. We should be willing to give up some efficiency in order to achieve more equitable results. *Reviewed by Eric Gossett, Department of Mathematics and Computer Science, Bethel University, St. Paul, MN 55112.</b:BIBTEX_Abstract>
    <b:Tag>kearns2019_ethics</b:Tag>
    <b:URL>https://www.semanticscholar.org/paper/156510dd3d38813784f8b9cb6b380be899eec83a</b:URL>
    <b:DOI>10.56315/pscf3-21kearns</b:DOI>
    <b:Author>
      <b:Author>
        <b:NameList>
          <b:Person>
            <b:Last>Kearns</b:Last>
            <b:First>Michael</b:First>
          </b:Person>
          <b:Person>
            <b:Last>Roth</b:Last>
            <b:First>Aaron</b:First>
          </b:Person>
        </b:NameList>
      </b:Author>
    </b:Author>
    <b:Pages>55-56</b:Pages>
    <b:Month>March</b:Month>
    <b:JournalName>Perspectives on Science and Christian Faith</b:JournalName>
    <b:Number>1</b:Number>
    <b:StandardNumber> ISSN: 0892-2675</b:StandardNumber>
    <b:RefOrder>3</b:RefOrder>
  </b:Source>
  <b:Source>
    <b:Year>2019</b:Year>
    <b:BIBTEX_Series>FAT* ’19</b:BIBTEX_Series>
    <b:BIBTEX_Entry>inproceedings</b:BIBTEX_Entry>
    <b:SourceType>ConferenceProceedings</b:SourceType>
    <b:Title>Model Cards for Model Reporting</b:Title>
    <b:Publisher>ACM</b:Publisher>
    <b:Tag>mitchell2019_modelcards</b:Tag>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ConferenceName>Proceedings of the Conference on Fairness, Accountability, and Transparency</b:ConferenceName>
    <b:RefOrder>4</b:RefOrder>
  </b:Source>
  <b:Source>
    <b:Year>2019</b:Year>
    <b:BIBTEX_Series>CHI ’19</b:BIBTEX_Series>
    <b:BIBTEX_Entry>inproceedings</b:BIBTEX_Entry>
    <b:SourceType>ConferenceProceedings</b:SourceType>
    <b:Title>Improving Fairness in Machine Learning Systems: What Do Industry Practitioners Need?</b:Title>
    <b:Publisher>ACM</b:Publisher>
    <b:Tag>holstein2019_improving</b:Tag>
    <b:BookTitle>Proceedings of the 2019 CHI Conference on Human Factors in Computing Systems</b:BookTitle>
    <b:DOI>10.1145/3290605.3300830</b:DOI>
    <b:Author>
      <b:Author>
        <b:NameList>
          <b:Person>
            <b:Last>Holstein</b:Last>
            <b:First>Kenneth</b:First>
          </b:Person>
          <b:Person>
            <b:Last>Wortman Vaughan</b:Last>
            <b:First>Jennifer</b:First>
          </b:Person>
          <b:Person>
            <b:Last>Daumé</b:Last>
            <b:First>Hal</b:First>
          </b:Person>
          <b:Person>
            <b:Last>Dudik</b:Last>
            <b:First>Miro</b:First>
          </b:Person>
          <b:Person>
            <b:Last>Wallach</b:Last>
            <b:First>Hanna</b:First>
          </b:Person>
        </b:NameList>
      </b:Author>
    </b:Author>
    <b:Pages>1-16</b:Pages>
    <b:Month>May</b:Month>
    <b:JournalName>Proceedings of the 2019 CHI Conference on Human Factors in Computing Systems</b:JournalName>
    <b:ConferenceName>Proceedings of the 2019 CHI Conference on Human Factors in Computing Systems</b:ConferenceName>
    <b:RefOrder>5</b:RefOrder>
  </b:Source>
  <b:Source>
    <b:Year>2021</b:Year>
    <b:Volume>64</b:Volume>
    <b:BIBTEX_Entry>article</b:BIBTEX_Entry>
    <b:SourceType>JournalArticle</b:SourceType>
    <b:Title>Datasheets for Datasets</b:Title>
    <b:Publisher>Association for Computing Machinery (ACM)</b:Publisher>
    <b:BIBTEX_Abstract>Documentation to facilitate communication between dataset creators and consumers.</b:BIBTEX_Abstract>
    <b:Tag>gebru2018_datasheets</b:Tag>
    <b:URL>https://www.semanticscholar.org/paper/0df347f5e3118fac7c351917e3a497899b071d1e</b:URL>
    <b:DOI>10.1145/3458723</b:DOI>
    <b:Author>
      <b:Author>
        <b:NameList>
          <b:Person>
            <b:Last>Gebru</b:Last>
            <b:First>Timnit</b:First>
          </b:Person>
          <b:Person>
            <b:Last>Morgenstern</b:Last>
            <b:First>Jamie</b:First>
          </b:Person>
          <b:Person>
            <b:Last>Vecchione</b:Last>
            <b:First>Briana</b:First>
          </b:Person>
          <b:Person>
            <b:Last>Vaughan</b:Last>
            <b:Middle>Wortman</b:Middle>
            <b:First>Jennifer</b:First>
          </b:Person>
          <b:Person>
            <b:Last>Wallach</b:Last>
            <b:First>Hanna</b:First>
          </b:Person>
          <b:Person>
            <b:Last>Hal Daumé</b:Last>
            <b:Middle>I. I.</b:Middle>
            <b:First>I.</b:First>
          </b:Person>
          <b:Person>
            <b:Last>Crawford</b:Last>
            <b:First>Kate</b:First>
          </b:Person>
        </b:NameList>
      </b:Author>
    </b:Author>
    <b:Pages>86–92</b:Pages>
    <b:Month>November</b:Month>
    <b:JournalName>Communications of the ACM</b:JournalName>
    <b:Number>1</b:Number>
    <b:StandardNumber> ISSN: 1557-7317</b:StandardNumber>
    <b:RefOrder>6</b:RefOrder>
  </b:Source>
  <b:Source>
    <b:Year>2016</b:Year>
    <b:BIBTEX_Entry>article</b:BIBTEX_Entry>
    <b:SourceType>JournalArticle</b:SourceType>
    <b:Title>Concrete Problems in AI Safety</b:Title>
    <b:Tag>amodei2016_concrete</b:Tag>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URL>https://arxiv.org/abs/1606.06565</b:URL>
    <b:Author>
      <b:Author>
        <b:NameList>
          <b:Person>
            <b:Last>Amodei</b:Last>
            <b:First>Dario</b:First>
          </b:Person>
          <b:Person>
            <b:Last>Olah</b:Last>
            <b:First>Chris</b:First>
          </b:Person>
          <b:Person>
            <b:Last>Steinhardt</b:Last>
            <b:First>J.</b:First>
          </b:Person>
          <b:Person>
            <b:Last>Christiano</b:Last>
            <b:First>P.</b:First>
          </b:Person>
          <b:Person>
            <b:Last>Schulman</b:Last>
            <b:First>John</b:First>
          </b:Person>
          <b:Person>
            <b:Last>Mané</b:Last>
            <b:First>Dandelion</b:First>
          </b:Person>
        </b:NameList>
      </b:Author>
    </b:Author>
    <b:JournalName>arXiv preprint arXiv:1606.06565</b:JournalName>
    <b:RefOrder>7</b:RefOrder>
  </b:Source>
  <b:Source>
    <b:Year>2016</b:Year>
    <b:BIBTEX_Series>KDD ’16</b:BIBTEX_Series>
    <b:BIBTEX_Entry>inproceedings</b:BIBTEX_Entry>
    <b:Comments>ISBN: 9781450342322</b:Comments>
    <b:SourceType>ConferenceProceedings</b:SourceType>
    <b:Title>“Why Should I Trust You?”: Explaining the Predictions of Any Classifier</b:Title>
    <b:Publisher>ACM</b:Publisher>
    <b:BIBTEX_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 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b:BIBTEX_Abstract>
    <b:Tag>ribeiro2016_lime</b:Tag>
    <b:BookTitle>Proceedings of the 22nd ACM SIGKDD International Conference on Knowledge Discovery and Data Mining</b:BookTitle>
    <b:URL>https://dl.acm.org/doi/10.1145/2939672.2939778</b:URL>
    <b:DOI>10.1145/2939672.2939778</b:DOI>
    <b:Author>
      <b:Author>
        <b:NameList>
          <b:Person>
            <b:Last>Ribeiro</b:Last>
            <b:Middle>Tulio</b:Middle>
            <b:First>Marco</b:First>
          </b:Person>
          <b:Person>
            <b:Last>Singh</b:Last>
            <b:First>Sameer</b:First>
          </b:Person>
          <b:Person>
            <b:Last>Guestrin</b:Last>
            <b:First>Carlos</b:First>
          </b:Person>
        </b:NameList>
      </b:Author>
    </b:Author>
    <b:Pages>1135-1144</b:Pages>
    <b:Month>August</b:Month>
    <b:JournalName>Proceedings of the 22nd ACM SIGKDD International Conference on Knowledge Discovery and Data Mining</b:JournalName>
    <b:ConferenceName>Proceedings of the 22nd ACM SIGKDD International Conference on Knowledge Discovery and Data Mining</b:ConferenceName>
    <b:RefOrder>8</b:RefOrder>
  </b:Source>
</b:Sources>
</file>

<file path=customXml/itemProps1.xml><?xml version="1.0" encoding="utf-8"?>
<ds:datastoreItem xmlns:ds="http://schemas.openxmlformats.org/officeDocument/2006/customXml" ds:itemID="{23920284-F47A-4D38-AFD2-91E37FCB9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11</Pages>
  <Words>2703</Words>
  <Characters>18030</Characters>
  <Application>Microsoft Office Word</Application>
  <DocSecurity>0</DocSecurity>
  <Lines>487</Lines>
  <Paragraphs>318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108</cp:revision>
  <dcterms:created xsi:type="dcterms:W3CDTF">2026-02-02T19:33:00Z</dcterms:created>
  <dcterms:modified xsi:type="dcterms:W3CDTF">2026-02-03T02:32:00Z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ce1ce0b0-4fc9-4fe6-abb5-a9277480b436</vt:lpwstr>
  </property>
</Properties>
</file>