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55E6791A"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w:t>
      </w:r>
      <w:r w:rsidR="00741630">
        <w:t xml:space="preserve"> rather than</w:t>
      </w:r>
      <w:r w:rsidRPr="009E4CEE">
        <w:t xml:space="preserve">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1D288AC2" w14:textId="579E4B33" w:rsidR="00C41C08" w:rsidRDefault="00C41C08" w:rsidP="0059560F">
      <w:pPr>
        <w:pStyle w:val="Introduction"/>
      </w:pPr>
      <w:r w:rsidRPr="00C41C08">
        <w:rPr>
          <w:lang w:val="en-US"/>
        </w:rPr>
        <w:t xml:space="preserve">In the </w:t>
      </w:r>
      <w:r w:rsidR="00E7034C" w:rsidRPr="00E7034C">
        <w:rPr>
          <w:lang w:val="en-US"/>
        </w:rPr>
        <w:t>architectural framework</w:t>
      </w:r>
      <w:r w:rsidRPr="00C41C08">
        <w:rPr>
          <w:lang w:val="en-US"/>
        </w:rPr>
        <w:t xml:space="preserve"> proposed in this book, governance is not implemented through policy documents but through measurable control functions. Bias is bounded through calibration metrics, explainability is enforced through decision gates, and accountability is preserved through immutable audit artifacts.</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265A47">
        <w:rPr>
          <w:b/>
          <w:bCs/>
          <w:sz w:val="20"/>
          <w:szCs w:val="20"/>
        </w:rPr>
        <w:t>structural consequence of how these systems are built, trained, and embedded into decision loops</w:t>
      </w:r>
      <w:r w:rsidRPr="00B14705">
        <w:rPr>
          <w:sz w:val="20"/>
          <w:szCs w:val="20"/>
        </w:rPr>
        <w:t xml:space="preserve">.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w:t>
      </w:r>
      <w:r w:rsidRPr="00B14705">
        <w:rPr>
          <w:sz w:val="20"/>
          <w:szCs w:val="20"/>
        </w:rPr>
        <w:lastRenderedPageBreak/>
        <w:t>Bias, in this context, emerges when these compressions systematically distort risk allocation, resource deployment, or escalation pathways.</w:t>
      </w:r>
    </w:p>
    <w:p w14:paraId="5816BA1B" w14:textId="37C4D03D" w:rsidR="00FA321D" w:rsidRPr="00FA321D" w:rsidRDefault="00603FC8" w:rsidP="00FA321D">
      <w:pPr>
        <w:ind w:firstLine="288"/>
        <w:jc w:val="both"/>
        <w:rPr>
          <w:sz w:val="20"/>
          <w:szCs w:val="20"/>
        </w:rPr>
      </w:pPr>
      <w:r w:rsidRPr="00603FC8">
        <w:rPr>
          <w:sz w:val="20"/>
          <w:szCs w:val="20"/>
        </w:rPr>
        <w:t>This approach moves beyond anecdotal concerns of 'fairness' and treats bias as a measurable drift in model calibration. By monitoring the</w:t>
      </w:r>
      <w:r>
        <w:rPr>
          <w:sz w:val="20"/>
          <w:szCs w:val="20"/>
        </w:rPr>
        <w:t xml:space="preserve"> </w:t>
      </w:r>
      <w:r w:rsidR="00B62654" w:rsidRPr="00B62654">
        <w:rPr>
          <w:b/>
          <w:bCs/>
          <w:sz w:val="20"/>
          <w:szCs w:val="20"/>
        </w:rPr>
        <w:t>Operational Bias C</w:t>
      </w:r>
      <w:r w:rsidR="004958D5">
        <w:rPr>
          <w:b/>
          <w:bCs/>
          <w:sz w:val="20"/>
          <w:szCs w:val="20"/>
        </w:rPr>
        <w:t>oe</w:t>
      </w:r>
      <w:r w:rsidR="00B62654" w:rsidRPr="00B62654">
        <w:rPr>
          <w:b/>
          <w:bCs/>
          <w:sz w:val="20"/>
          <w:szCs w:val="20"/>
        </w:rPr>
        <w:t>fficie</w:t>
      </w:r>
      <w:r w:rsidR="004958D5">
        <w:rPr>
          <w:b/>
          <w:bCs/>
          <w:sz w:val="20"/>
          <w:szCs w:val="20"/>
        </w:rPr>
        <w:t>nt</w:t>
      </w:r>
      <w:r w:rsidR="006536BF">
        <w:rPr>
          <w:b/>
          <w:bCs/>
          <w:sz w:val="20"/>
          <w:szCs w:val="20"/>
        </w:rPr>
        <w:t xml:space="preserve"> </w:t>
      </w:r>
      <m:oMath>
        <m:d>
          <m:dPr>
            <m:ctrlPr>
              <w:rPr>
                <w:rFonts w:ascii="Cambria Math" w:hAnsi="Cambria Math"/>
                <w:b/>
                <w:bCs/>
                <w:i/>
                <w:sz w:val="20"/>
                <w:szCs w:val="20"/>
              </w:rPr>
            </m:ctrlPr>
          </m:dPr>
          <m:e>
            <m:sSub>
              <m:sSubPr>
                <m:ctrlPr>
                  <w:rPr>
                    <w:rFonts w:ascii="Cambria Math" w:hAnsi="Cambria Math"/>
                    <w:b/>
                    <w:bCs/>
                    <w:i/>
                    <w:sz w:val="20"/>
                    <w:szCs w:val="20"/>
                  </w:rPr>
                </m:ctrlPr>
              </m:sSubPr>
              <m:e>
                <m:r>
                  <m:rPr>
                    <m:sty m:val="bi"/>
                  </m:rPr>
                  <w:rPr>
                    <w:rFonts w:ascii="Cambria Math" w:hAnsi="Cambria Math"/>
                    <w:sz w:val="20"/>
                    <w:szCs w:val="20"/>
                  </w:rPr>
                  <m:t>B</m:t>
                </m:r>
              </m:e>
              <m:sub>
                <m:r>
                  <m:rPr>
                    <m:sty m:val="bi"/>
                  </m:rPr>
                  <w:rPr>
                    <w:rFonts w:ascii="Cambria Math" w:hAnsi="Cambria Math"/>
                    <w:sz w:val="20"/>
                    <w:szCs w:val="20"/>
                  </w:rPr>
                  <m:t>c</m:t>
                </m:r>
              </m:sub>
            </m:sSub>
          </m:e>
        </m:d>
      </m:oMath>
      <w:r w:rsidR="008F44C5">
        <w:rPr>
          <w:b/>
          <w:bCs/>
          <w:sz w:val="20"/>
          <w:szCs w:val="20"/>
        </w:rPr>
        <w:t>,</w:t>
      </w:r>
      <w:r w:rsidR="00B62654" w:rsidRPr="00B62654">
        <w:rPr>
          <w:b/>
          <w:bCs/>
          <w:sz w:val="20"/>
          <w:szCs w:val="20"/>
        </w:rPr>
        <w:t xml:space="preserve"> </w:t>
      </w:r>
      <w:r w:rsidR="008F44C5" w:rsidRPr="008F44C5">
        <w:rPr>
          <w:sz w:val="20"/>
          <w:szCs w:val="20"/>
        </w:rPr>
        <w:t xml:space="preserve">we implement the practical requirements for fairness in industry settings as outlined by </w:t>
      </w:r>
      <w:sdt>
        <w:sdtPr>
          <w:rPr>
            <w:sz w:val="20"/>
            <w:szCs w:val="20"/>
          </w:rPr>
          <w:id w:val="1803270656"/>
          <w:citation/>
        </w:sdtPr>
        <w:sdtEndPr/>
        <w:sdtContent>
          <w:r w:rsidR="00622CFF">
            <w:rPr>
              <w:sz w:val="20"/>
              <w:szCs w:val="20"/>
            </w:rPr>
            <w:fldChar w:fldCharType="begin"/>
          </w:r>
          <w:r w:rsidR="00622CFF">
            <w:rPr>
              <w:b/>
              <w:bCs/>
              <w:sz w:val="20"/>
              <w:szCs w:val="20"/>
            </w:rPr>
            <w:instrText xml:space="preserve"> CITATION holstein2019_improving \l 1033 </w:instrText>
          </w:r>
          <w:r w:rsidR="00622CFF">
            <w:rPr>
              <w:sz w:val="20"/>
              <w:szCs w:val="20"/>
            </w:rPr>
            <w:fldChar w:fldCharType="separate"/>
          </w:r>
          <w:r w:rsidR="00622CFF" w:rsidRPr="00622CFF">
            <w:rPr>
              <w:noProof/>
              <w:sz w:val="20"/>
              <w:szCs w:val="20"/>
            </w:rPr>
            <w:t>(Holstein, et al. 2019)</w:t>
          </w:r>
          <w:r w:rsidR="00622CFF">
            <w:rPr>
              <w:sz w:val="20"/>
              <w:szCs w:val="20"/>
            </w:rPr>
            <w:fldChar w:fldCharType="end"/>
          </w:r>
        </w:sdtContent>
      </w:sdt>
      <w:r w:rsidR="00FA321D">
        <w:rPr>
          <w:sz w:val="20"/>
          <w:szCs w:val="20"/>
        </w:rPr>
        <w:t xml:space="preserve">. </w:t>
      </w:r>
      <w:r w:rsidR="00FA321D" w:rsidRPr="00FA321D">
        <w:rPr>
          <w:sz w:val="20"/>
          <w:szCs w:val="20"/>
        </w:rPr>
        <w:t xml:space="preserve">Furthermore, by programmatically forcing the loop into a 'Degraded Trust' state when </w:t>
      </w: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oMath>
      <w:r w:rsidR="00FA321D" w:rsidRPr="00FA321D">
        <w:rPr>
          <w:sz w:val="20"/>
          <w:szCs w:val="20"/>
        </w:rPr>
        <w:t xml:space="preserve"> spikes, we are essentially codifying the </w:t>
      </w:r>
      <w:r w:rsidR="00FA321D" w:rsidRPr="00FA321D">
        <w:rPr>
          <w:b/>
          <w:bCs/>
          <w:sz w:val="20"/>
          <w:szCs w:val="20"/>
        </w:rPr>
        <w:t>'Ethical Algorithm'</w:t>
      </w:r>
      <w:r w:rsidR="00FA321D" w:rsidRPr="00FA321D">
        <w:rPr>
          <w:sz w:val="20"/>
          <w:szCs w:val="20"/>
        </w:rPr>
        <w:t xml:space="preserve"> framework proposed by </w:t>
      </w:r>
      <w:sdt>
        <w:sdtPr>
          <w:rPr>
            <w:sz w:val="20"/>
            <w:szCs w:val="20"/>
          </w:rPr>
          <w:id w:val="2144921296"/>
          <w:citation/>
        </w:sdtPr>
        <w:sdtEndPr/>
        <w:sdtContent>
          <w:r w:rsidR="001C4016">
            <w:rPr>
              <w:sz w:val="20"/>
              <w:szCs w:val="20"/>
            </w:rPr>
            <w:fldChar w:fldCharType="begin"/>
          </w:r>
          <w:r w:rsidR="001C4016">
            <w:rPr>
              <w:b/>
              <w:bCs/>
              <w:sz w:val="20"/>
              <w:szCs w:val="20"/>
            </w:rPr>
            <w:instrText xml:space="preserve"> CITATION kearns2019_ethics \l 1033 </w:instrText>
          </w:r>
          <w:r w:rsidR="001C4016">
            <w:rPr>
              <w:sz w:val="20"/>
              <w:szCs w:val="20"/>
            </w:rPr>
            <w:fldChar w:fldCharType="separate"/>
          </w:r>
          <w:r w:rsidR="001C4016" w:rsidRPr="001C4016">
            <w:rPr>
              <w:noProof/>
              <w:sz w:val="20"/>
              <w:szCs w:val="20"/>
            </w:rPr>
            <w:t>(Kearns and Roth 2021)</w:t>
          </w:r>
          <w:r w:rsidR="001C4016">
            <w:rPr>
              <w:sz w:val="20"/>
              <w:szCs w:val="20"/>
            </w:rPr>
            <w:fldChar w:fldCharType="end"/>
          </w:r>
        </w:sdtContent>
      </w:sdt>
      <w:r w:rsidR="00FA321D" w:rsidRPr="00FA321D">
        <w:rPr>
          <w:sz w:val="20"/>
          <w:szCs w:val="20"/>
        </w:rPr>
        <w:t>, ensuring that social awareness is an algorithmic constraint rather than a post-hoc manual review."</w:t>
      </w:r>
    </w:p>
    <w:p w14:paraId="390583AE" w14:textId="683A46FB" w:rsidR="008025EB" w:rsidRDefault="00612C35" w:rsidP="00B62654">
      <w:pPr>
        <w:ind w:firstLine="288"/>
        <w:jc w:val="both"/>
        <w:rPr>
          <w:sz w:val="20"/>
          <w:szCs w:val="20"/>
        </w:rPr>
      </w:pPr>
      <w:r>
        <w:rPr>
          <w:b/>
          <w:bCs/>
          <w:sz w:val="20"/>
          <w:szCs w:val="20"/>
        </w:rPr>
        <w:t xml:space="preserve"> </w:t>
      </w:r>
      <w:r w:rsidR="00B62654" w:rsidRPr="00B62654">
        <w:rPr>
          <w:sz w:val="20"/>
          <w:szCs w:val="20"/>
        </w:rPr>
        <w:t xml:space="preserve">metric measures the divergence between the </w:t>
      </w:r>
      <w:r w:rsidR="00BF6320">
        <w:rPr>
          <w:sz w:val="20"/>
          <w:szCs w:val="20"/>
        </w:rPr>
        <w:t>model's</w:t>
      </w:r>
      <w:r w:rsidR="00B62654" w:rsidRPr="00B62654">
        <w:rPr>
          <w:sz w:val="20"/>
          <w:szCs w:val="20"/>
        </w:rPr>
        <w:t xml:space="preserve"> predicted risk distribution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m</m:t>
                </m:r>
              </m:sub>
            </m:sSub>
          </m:e>
        </m:d>
      </m:oMath>
      <w:r w:rsidR="00B62654" w:rsidRPr="00B62654">
        <w:rPr>
          <w:sz w:val="20"/>
          <w:szCs w:val="20"/>
        </w:rPr>
        <w:t xml:space="preserve"> and the historically validated ground truth</w:t>
      </w:r>
      <w:r w:rsidR="001F1452">
        <w:rPr>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a</m:t>
                </m:r>
              </m:sub>
            </m:sSub>
          </m:e>
        </m:d>
      </m:oMath>
      <w:r w:rsidR="00B62654" w:rsidRPr="00B62654">
        <w:rPr>
          <w:sz w:val="20"/>
          <w:szCs w:val="20"/>
        </w:rPr>
        <w:t xml:space="preserve">  across network segments</w:t>
      </w:r>
      <w:r w:rsidR="00A72214">
        <w:rPr>
          <w:sz w:val="20"/>
          <w:szCs w:val="20"/>
        </w:rPr>
        <w:t>:</w:t>
      </w:r>
    </w:p>
    <w:p w14:paraId="06699316" w14:textId="6B1F0618" w:rsidR="008025EB" w:rsidRDefault="0088709B" w:rsidP="00B62654">
      <w:pPr>
        <w:ind w:firstLine="28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r>
            <w:rPr>
              <w:rFonts w:ascii="Cambria Math" w:hAnsi="Cambria Math"/>
              <w:sz w:val="20"/>
              <w:szCs w:val="20"/>
            </w:rPr>
            <m:t>=</m:t>
          </m:r>
          <m:nary>
            <m:naryPr>
              <m:chr m:val="∑"/>
              <m:ctrlPr>
                <w:rPr>
                  <w:rFonts w:ascii="Cambria Math" w:hAnsi="Cambria Math"/>
                  <w:i/>
                  <w:sz w:val="20"/>
                  <w:szCs w:val="20"/>
                </w:rPr>
              </m:ctrlPr>
            </m:naryPr>
            <m:sub>
              <m:r>
                <w:rPr>
                  <w:rFonts w:ascii="Cambria Math" w:hAnsi="Cambria Math"/>
                  <w:sz w:val="20"/>
                  <w:szCs w:val="20"/>
                </w:rPr>
                <m:t>i</m:t>
              </m:r>
              <m:r>
                <w:rPr>
                  <w:rFonts w:ascii="Cambria Math" w:hAnsi="Cambria Math"/>
                  <w:sz w:val="20"/>
                  <w:szCs w:val="20"/>
                </w:rPr>
                <m:t>=1</m:t>
              </m:r>
            </m:sub>
            <m:sup>
              <m:r>
                <w:rPr>
                  <w:rFonts w:ascii="Cambria Math" w:hAnsi="Cambria Math"/>
                  <w:sz w:val="20"/>
                  <w:szCs w:val="20"/>
                </w:rPr>
                <m:t>n</m:t>
              </m:r>
            </m:sup>
            <m:e>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m</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a</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d>
                </m:e>
              </m:d>
            </m:e>
          </m:nary>
        </m:oMath>
      </m:oMathPara>
    </w:p>
    <w:p w14:paraId="300D3D83" w14:textId="77777777" w:rsidR="008025EB" w:rsidRPr="00B62654" w:rsidRDefault="008025EB" w:rsidP="00B62654">
      <w:pPr>
        <w:ind w:firstLine="288"/>
        <w:jc w:val="both"/>
        <w:rPr>
          <w:sz w:val="20"/>
          <w:szCs w:val="20"/>
        </w:rPr>
      </w:pPr>
    </w:p>
    <w:p w14:paraId="1DFCC2A5" w14:textId="1B513800" w:rsidR="00A72214" w:rsidRPr="00A72214" w:rsidRDefault="00A72214" w:rsidP="00A72214">
      <w:pPr>
        <w:jc w:val="both"/>
        <w:rPr>
          <w:sz w:val="20"/>
          <w:szCs w:val="20"/>
        </w:rPr>
      </w:pPr>
      <w:r w:rsidRPr="00A72214">
        <w:rPr>
          <w:sz w:val="20"/>
          <w:szCs w:val="20"/>
        </w:rPr>
        <w:t xml:space="preserve">where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m:t>
            </m:r>
          </m:sub>
        </m:sSub>
      </m:oMath>
      <w:r w:rsidRPr="00A72214">
        <w:rPr>
          <w:sz w:val="20"/>
          <w:szCs w:val="20"/>
        </w:rPr>
        <w:t xml:space="preserve"> represents the model-estimated risk distribution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oMath>
      <w:r w:rsidRPr="00A72214">
        <w:rPr>
          <w:sz w:val="20"/>
          <w:szCs w:val="20"/>
        </w:rPr>
        <w:t xml:space="preserve"> represents the empirically validated alert distribution across monitored segments.</w:t>
      </w:r>
    </w:p>
    <w:p w14:paraId="5A62A616" w14:textId="13E8D52A" w:rsidR="00B62654" w:rsidRPr="00B62654" w:rsidRDefault="00800EFF" w:rsidP="00A55D47">
      <w:pPr>
        <w:jc w:val="both"/>
        <w:rPr>
          <w:sz w:val="20"/>
          <w:szCs w:val="20"/>
        </w:rPr>
      </w:pPr>
      <w:r>
        <w:rPr>
          <w:sz w:val="20"/>
          <w:szCs w:val="20"/>
        </w:rPr>
        <w:t>In</w:t>
      </w:r>
      <w:r w:rsidR="00B62654" w:rsidRPr="00B62654">
        <w:rPr>
          <w:sz w:val="20"/>
          <w:szCs w:val="20"/>
        </w:rPr>
        <w:t xml:space="preserve"> the proposed </w:t>
      </w:r>
      <w:r w:rsidR="001E05DF">
        <w:rPr>
          <w:sz w:val="20"/>
          <w:szCs w:val="20"/>
        </w:rPr>
        <w:t>system</w:t>
      </w:r>
      <w:r w:rsidR="00B62654" w:rsidRPr="00B62654">
        <w:rPr>
          <w:sz w:val="20"/>
          <w:szCs w:val="20"/>
        </w:rPr>
        <w:t xml:space="preserve">, if </w:t>
      </w:r>
      <m:oMath>
        <m:sSub>
          <m:sSubPr>
            <m:ctrlPr>
              <w:rPr>
                <w:rFonts w:ascii="Cambria Math" w:hAnsi="Cambria Math"/>
                <w:i/>
                <w:sz w:val="20"/>
                <w:szCs w:val="20"/>
              </w:rPr>
            </m:ctrlPr>
          </m:sSubPr>
          <m:e>
            <m:r>
              <w:rPr>
                <w:rFonts w:ascii="Cambria Math" w:hAnsi="Cambria Math"/>
                <w:sz w:val="20"/>
                <w:szCs w:val="20"/>
              </w:rPr>
              <m:t>B</m:t>
            </m:r>
          </m:e>
          <m:sub>
            <m:r>
              <m:rPr>
                <m:sty m:val="p"/>
              </m:rPr>
              <w:rPr>
                <w:rFonts w:ascii="Cambria Math" w:hAnsi="Cambria Math"/>
                <w:sz w:val="20"/>
                <w:szCs w:val="20"/>
              </w:rPr>
              <m:t>c</m:t>
            </m:r>
          </m:sub>
        </m:sSub>
      </m:oMath>
      <w:r w:rsidR="00235B76">
        <w:rPr>
          <w:sz w:val="20"/>
          <w:szCs w:val="20"/>
        </w:rPr>
        <w:t xml:space="preserve"> </w:t>
      </w:r>
      <w:r w:rsidR="00B62654" w:rsidRPr="00B62654">
        <w:rPr>
          <w:sz w:val="20"/>
          <w:szCs w:val="20"/>
        </w:rPr>
        <w:t>exceeds a pre-defined threshold (e.g., 0.15), the autonomous loop is programmatically forced into a 'Degraded Trust' state. In this state, the system is stripped of its authority to perform irreversible actions</w:t>
      </w:r>
      <w:r w:rsidR="007835A1">
        <w:rPr>
          <w:sz w:val="20"/>
          <w:szCs w:val="20"/>
        </w:rPr>
        <w:t xml:space="preserve"> (e.g., </w:t>
      </w:r>
      <w:r w:rsidR="00B62654" w:rsidRPr="00B62654">
        <w:rPr>
          <w:sz w:val="20"/>
          <w:szCs w:val="20"/>
        </w:rPr>
        <w:t>such as account deletions</w:t>
      </w:r>
      <w:r w:rsidR="007835A1">
        <w:rPr>
          <w:sz w:val="20"/>
          <w:szCs w:val="20"/>
        </w:rPr>
        <w:t xml:space="preserve">) </w:t>
      </w:r>
      <w:r w:rsidR="00B62654" w:rsidRPr="00B62654">
        <w:rPr>
          <w:sz w:val="20"/>
          <w:szCs w:val="20"/>
        </w:rPr>
        <w:t>and is restricted to reversible 'Throttling' maneuvers until a human auditor recalibrates the model's priors.</w:t>
      </w:r>
    </w:p>
    <w:p w14:paraId="5D45BB01" w14:textId="7C9B750D"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w:t>
      </w:r>
      <w:r w:rsidR="00170BB3">
        <w:rPr>
          <w:sz w:val="20"/>
          <w:szCs w:val="20"/>
        </w:rPr>
        <w:t xml:space="preserve">compared with benign events, and labels are often assigned post hoc by analysts </w:t>
      </w:r>
      <w:r w:rsidRPr="00B14705">
        <w:rPr>
          <w:sz w:val="20"/>
          <w:szCs w:val="20"/>
        </w:rPr>
        <w:t xml:space="preserve">under time pressure. This creates a feedback 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w:t>
      </w:r>
      <w:r w:rsidR="00A26560">
        <w:rPr>
          <w:sz w:val="20"/>
          <w:szCs w:val="20"/>
        </w:rPr>
        <w:t xml:space="preserve">more likely to be </w:t>
      </w:r>
      <w:r w:rsidRPr="00B14705">
        <w:rPr>
          <w:sz w:val="20"/>
          <w:szCs w:val="20"/>
        </w:rPr>
        <w:t xml:space="preserve">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9F7735">
        <w:rPr>
          <w:b/>
          <w:bCs/>
          <w:sz w:val="20"/>
          <w:szCs w:val="20"/>
        </w:rPr>
        <w:t>what the organization has historically chosen to see</w:t>
      </w:r>
      <w:r w:rsidRPr="00B14705">
        <w:rPr>
          <w:sz w:val="20"/>
          <w:szCs w:val="20"/>
        </w:rPr>
        <w:t>. Bias is therefore encoded not only in data distributions but in institutional behavior.</w:t>
      </w:r>
    </w:p>
    <w:p w14:paraId="5723F6B2" w14:textId="508E52D9" w:rsidR="00B14705" w:rsidRPr="00B14705" w:rsidRDefault="007A3873" w:rsidP="006D42AF">
      <w:pPr>
        <w:ind w:firstLine="288"/>
        <w:jc w:val="both"/>
        <w:rPr>
          <w:sz w:val="20"/>
          <w:szCs w:val="20"/>
        </w:rPr>
      </w:pPr>
      <w:r>
        <w:rPr>
          <w:sz w:val="20"/>
          <w:szCs w:val="20"/>
        </w:rPr>
        <w:t>Proxy variables further amplify operational bias</w:t>
      </w:r>
      <w:r w:rsidR="00B14705" w:rsidRPr="00B14705">
        <w:rPr>
          <w:sz w:val="20"/>
          <w:szCs w:val="20"/>
        </w:rPr>
        <w:t xml:space="preserve">.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overprioritize environments with richer telemetry while underdetection of</w:t>
      </w:r>
      <w:r w:rsidR="00B14705" w:rsidRPr="00B14705">
        <w:rPr>
          <w:sz w:val="20"/>
          <w:szCs w:val="20"/>
        </w:rPr>
        <w:t xml:space="preserve"> risks in legacy or resource-constrained systems. The resulting bias is not discriminatory in a demographic sense</w:t>
      </w:r>
      <w:r w:rsidR="002F5552">
        <w:rPr>
          <w:sz w:val="20"/>
          <w:szCs w:val="20"/>
        </w:rPr>
        <w:t>. However, it</w:t>
      </w:r>
      <w:r w:rsidR="00B14705" w:rsidRPr="00B14705">
        <w:rPr>
          <w:sz w:val="20"/>
          <w:szCs w:val="20"/>
        </w:rPr>
        <w:t xml:space="preserve">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D162F4">
        <w:rPr>
          <w:b/>
          <w:b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resource allocation. Rather than entering at a single point, bias manifests as a distortion field that selectively amplifies some alerts while suppressing others over time.</w:t>
      </w:r>
    </w:p>
    <w:p w14:paraId="057FCC2C" w14:textId="737851C9" w:rsidR="006550FA" w:rsidRDefault="00CF2569" w:rsidP="00B743A3">
      <w:pPr>
        <w:keepNext/>
        <w:ind w:firstLine="288"/>
        <w:jc w:val="center"/>
      </w:pPr>
      <w:r>
        <w:rPr>
          <w:noProof/>
          <w:sz w:val="20"/>
          <w:szCs w:val="20"/>
        </w:rPr>
        <w:drawing>
          <wp:anchor distT="0" distB="0" distL="114300" distR="114300" simplePos="0" relativeHeight="251658240" behindDoc="0" locked="0" layoutInCell="1" allowOverlap="1" wp14:anchorId="2BC65DBA" wp14:editId="3E8D338B">
            <wp:simplePos x="940003" y="1192378"/>
            <wp:positionH relativeFrom="page">
              <wp:align>center</wp:align>
            </wp:positionH>
            <wp:positionV relativeFrom="paragraph">
              <wp:posOffset>0</wp:posOffset>
            </wp:positionV>
            <wp:extent cx="3803904" cy="2532888"/>
            <wp:effectExtent l="0" t="0" r="6350" b="1270"/>
            <wp:wrapTopAndBottom/>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7A480" w14:textId="4942B6AE" w:rsidR="00EF13E4" w:rsidRDefault="006550FA" w:rsidP="006550FA">
      <w:pPr>
        <w:pStyle w:val="Caption"/>
        <w:jc w:val="both"/>
      </w:pPr>
      <w:r>
        <w:t>Figure 6.</w:t>
      </w:r>
      <w:fldSimple w:instr=" SEQ Figure_6. \* ARABIC ">
        <w:r w:rsidR="00A91D2C">
          <w:rPr>
            <w:noProof/>
          </w:rPr>
          <w:t>1</w:t>
        </w:r>
      </w:fldSimple>
      <w:r>
        <w:t xml:space="preserve"> </w:t>
      </w:r>
      <w:r w:rsidRPr="009B4FEB">
        <w:rPr>
          <w:b w:val="0"/>
          <w:bCs w:val="0"/>
        </w:rPr>
        <w:t xml:space="preserve">Bias as a </w:t>
      </w:r>
      <w:r w:rsidR="000A6482" w:rsidRPr="009B4FEB">
        <w:rPr>
          <w:b w:val="0"/>
          <w:bCs w:val="0"/>
        </w:rPr>
        <w:t>feedback field in alerting syste</w:t>
      </w:r>
      <w:r w:rsidRPr="009B4FEB">
        <w:rPr>
          <w:b w:val="0"/>
          <w:bCs w:val="0"/>
        </w:rPr>
        <w:t>ms</w:t>
      </w:r>
      <w:r w:rsidRPr="00182185">
        <w:t>.</w:t>
      </w:r>
    </w:p>
    <w:p w14:paraId="391ACA4D" w14:textId="60D493C4" w:rsidR="006550FA" w:rsidRDefault="00620C81" w:rsidP="009B4FEB">
      <w:pPr>
        <w:ind w:firstLine="288"/>
        <w:jc w:val="both"/>
        <w:rPr>
          <w:sz w:val="20"/>
          <w:szCs w:val="20"/>
        </w:rPr>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1EC25A3D" w14:textId="77777777" w:rsidR="00D162F4" w:rsidRPr="006550FA" w:rsidRDefault="00D162F4" w:rsidP="009B4FEB">
      <w:pPr>
        <w:ind w:firstLine="288"/>
        <w:jc w:val="both"/>
      </w:pPr>
    </w:p>
    <w:p w14:paraId="2A3EB490" w14:textId="12FD7EE4" w:rsidR="0040066A"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7A7EB312" w14:textId="77777777" w:rsidR="00D162F4" w:rsidRPr="00B14705" w:rsidRDefault="00D162F4" w:rsidP="00F265A2">
      <w:pPr>
        <w:jc w:val="both"/>
        <w:rPr>
          <w:i/>
          <w:iCs/>
          <w:sz w:val="20"/>
          <w:szCs w:val="20"/>
        </w:rPr>
      </w:pP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AC69C6">
        <w:rPr>
          <w:b/>
          <w:bCs/>
          <w:sz w:val="20"/>
          <w:szCs w:val="20"/>
        </w:rPr>
        <w:t>trained not to see it</w:t>
      </w:r>
      <w:r w:rsidR="00B14B40" w:rsidRPr="00AC69C6">
        <w:rPr>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7272FFB3" w14:textId="77777777" w:rsidR="00AC69C6" w:rsidRDefault="00AC69C6" w:rsidP="00B14B40">
      <w:pPr>
        <w:ind w:firstLine="288"/>
        <w:jc w:val="both"/>
        <w:rPr>
          <w:sz w:val="20"/>
          <w:szCs w:val="20"/>
        </w:rPr>
      </w:pPr>
    </w:p>
    <w:p w14:paraId="508A0290" w14:textId="53F25482" w:rsidR="0078792B" w:rsidRDefault="00F265A2" w:rsidP="009B4FEB">
      <w:pPr>
        <w:jc w:val="both"/>
        <w:rPr>
          <w:i/>
          <w:iCs/>
          <w:sz w:val="20"/>
          <w:szCs w:val="20"/>
        </w:rPr>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63C8DA0F" w14:textId="77777777" w:rsidR="00AC69C6" w:rsidRPr="0078792B" w:rsidRDefault="00AC69C6" w:rsidP="009B4FEB">
      <w:pPr>
        <w:jc w:val="both"/>
      </w:pPr>
    </w:p>
    <w:p w14:paraId="599140CD" w14:textId="62E942E7"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alerting systems</w:t>
      </w:r>
      <w:r w:rsidR="002F5552">
        <w:t>.</w:t>
      </w:r>
      <w:r w:rsidR="000F0DB8" w:rsidRPr="0078792B">
        <w:t xml:space="preserve">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69D55658" w:rsidR="0078792B" w:rsidRDefault="0078792B" w:rsidP="00833446">
      <w:pPr>
        <w:ind w:firstLine="288"/>
        <w:jc w:val="both"/>
        <w:rPr>
          <w:sz w:val="20"/>
          <w:szCs w:val="20"/>
        </w:rPr>
      </w:pPr>
      <w:r w:rsidRPr="0078792B">
        <w:rPr>
          <w:sz w:val="20"/>
          <w:szCs w:val="20"/>
        </w:rPr>
        <w:t xml:space="preserve">Critically, these controls must be </w:t>
      </w:r>
      <w:r w:rsidRPr="00AC69C6">
        <w:rPr>
          <w:b/>
          <w:b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00161226">
        <w:rPr>
          <w:sz w:val="20"/>
          <w:szCs w:val="20"/>
        </w:rPr>
        <w:t xml:space="preserve"> for this</w:t>
      </w:r>
      <w:r w:rsidR="00F25DE2">
        <w:rPr>
          <w:sz w:val="20"/>
          <w:szCs w:val="20"/>
        </w:rPr>
        <w:t xml:space="preserve"> suppression, ignoring, or non-generation</w:t>
      </w:r>
      <w:r w:rsidRPr="0078792B">
        <w:rPr>
          <w:sz w:val="20"/>
          <w:szCs w:val="20"/>
        </w:rPr>
        <w:t>.</w:t>
      </w:r>
    </w:p>
    <w:p w14:paraId="1B09F2DC" w14:textId="77777777" w:rsidR="00D162F4" w:rsidRPr="00D162F4" w:rsidRDefault="00D162F4" w:rsidP="00D162F4">
      <w:pPr>
        <w:ind w:firstLine="288"/>
        <w:jc w:val="both"/>
        <w:rPr>
          <w:sz w:val="20"/>
          <w:szCs w:val="20"/>
          <w:lang w:val="en-GB"/>
        </w:rPr>
      </w:pPr>
      <w:r w:rsidRPr="00D162F4">
        <w:rPr>
          <w:sz w:val="20"/>
          <w:szCs w:val="20"/>
          <w:lang w:val="en-GB"/>
        </w:rPr>
        <w:t xml:space="preserve">While bias determines where errors emerge, governance determines whether those errors remain detectable. The mechanism that enables such detection is lineage. Without the ability to reconstruct the model state, policy context, and data regime under which a decision was made, organizations cannot meaningfully investigate failures. Systems that learn continuously or retrain automatically may appear stable while silently drifting away from the assumptions under which they were approved. In this environment, governance depends not on static documentation but on the ability to recover the system's exact configuration </w:t>
      </w:r>
      <w:proofErr w:type="gramStart"/>
      <w:r w:rsidRPr="00D162F4">
        <w:rPr>
          <w:sz w:val="20"/>
          <w:szCs w:val="20"/>
          <w:lang w:val="en-GB"/>
        </w:rPr>
        <w:t>at the moment</w:t>
      </w:r>
      <w:proofErr w:type="gramEnd"/>
      <w:r w:rsidRPr="00D162F4">
        <w:rPr>
          <w:sz w:val="20"/>
          <w:szCs w:val="20"/>
          <w:lang w:val="en-GB"/>
        </w:rPr>
        <w:t xml:space="preserve"> a decision was made.</w:t>
      </w:r>
    </w:p>
    <w:p w14:paraId="2229074E" w14:textId="77777777" w:rsidR="00D162F4" w:rsidRPr="00D162F4" w:rsidRDefault="00D162F4" w:rsidP="00833446">
      <w:pPr>
        <w:ind w:firstLine="288"/>
        <w:jc w:val="both"/>
        <w:rPr>
          <w:sz w:val="20"/>
          <w:szCs w:val="20"/>
          <w:lang w:val="en-GB"/>
        </w:rPr>
      </w:pPr>
    </w:p>
    <w:p w14:paraId="3DC98562" w14:textId="1583801B" w:rsid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626C3A3C" w14:textId="77777777" w:rsidR="00D162F4" w:rsidRDefault="00D162F4" w:rsidP="00112F3E">
      <w:pPr>
        <w:pStyle w:val="citationblock"/>
      </w:pP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AC69C6">
        <w:rPr>
          <w:b/>
          <w:bCs/>
          <w:sz w:val="20"/>
          <w:szCs w:val="20"/>
        </w:rPr>
        <w:t xml:space="preserve">which model </w:t>
      </w:r>
      <w:r w:rsidR="006F6550" w:rsidRPr="00AC69C6">
        <w:rPr>
          <w:b/>
          <w:bCs/>
          <w:sz w:val="20"/>
          <w:szCs w:val="20"/>
        </w:rPr>
        <w:t>made which decisions, when, and under what</w:t>
      </w:r>
      <w:r w:rsidRPr="00AC69C6">
        <w:rPr>
          <w:b/>
          <w:bCs/>
          <w:sz w:val="20"/>
          <w:szCs w:val="20"/>
        </w:rPr>
        <w:t xml:space="preserve"> assumptions </w:t>
      </w:r>
      <w:r w:rsidRPr="0078792B">
        <w:rPr>
          <w:sz w:val="20"/>
          <w:szCs w:val="20"/>
        </w:rPr>
        <w:t>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AC69C6">
        <w:rPr>
          <w:b/>
          <w:bCs/>
          <w:sz w:val="20"/>
          <w:szCs w:val="20"/>
        </w:rPr>
        <w:t>how</w:t>
      </w:r>
      <w:r w:rsidRPr="0078792B">
        <w:rPr>
          <w:sz w:val="20"/>
          <w:szCs w:val="20"/>
        </w:rPr>
        <w:t xml:space="preserve"> a model behaves in the present, but they cannot justify </w:t>
      </w:r>
      <w:r w:rsidRPr="00AC69C6">
        <w:rPr>
          <w:b/>
          <w:b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t xml:space="preserve">In this sense, model governance is not about slowing innovation. It is about ensuring that adaptive systems remain </w:t>
      </w:r>
      <w:r w:rsidRPr="00AC69C6">
        <w:rPr>
          <w:b/>
          <w:b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0F2885A8" w14:textId="77777777" w:rsidR="00E024F5" w:rsidRDefault="00E024F5" w:rsidP="00833446">
      <w:pPr>
        <w:ind w:firstLine="288"/>
        <w:jc w:val="both"/>
        <w:rPr>
          <w:sz w:val="20"/>
          <w:szCs w:val="20"/>
        </w:rPr>
      </w:pP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29A18323" w:rsidR="000F0DB8" w:rsidRDefault="00CF2569" w:rsidP="000F0DB8">
      <w:pPr>
        <w:keepNext/>
        <w:ind w:firstLine="288"/>
        <w:jc w:val="both"/>
      </w:pPr>
      <w:r>
        <w:rPr>
          <w:noProof/>
          <w:sz w:val="20"/>
          <w:szCs w:val="20"/>
        </w:rPr>
        <w:drawing>
          <wp:anchor distT="0" distB="0" distL="114300" distR="114300" simplePos="0" relativeHeight="251659264" behindDoc="0" locked="0" layoutInCell="1" allowOverlap="1" wp14:anchorId="7DA60327" wp14:editId="0425F0A2">
            <wp:simplePos x="940003" y="3822192"/>
            <wp:positionH relativeFrom="page">
              <wp:align>center</wp:align>
            </wp:positionH>
            <wp:positionV relativeFrom="paragraph">
              <wp:posOffset>0</wp:posOffset>
            </wp:positionV>
            <wp:extent cx="3803904" cy="2532888"/>
            <wp:effectExtent l="0" t="0" r="6350" b="1270"/>
            <wp:wrapTopAndBottom/>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6A653B" w14:textId="30E1CB72" w:rsidR="006D6410" w:rsidRDefault="000F0DB8" w:rsidP="000F0DB8">
      <w:pPr>
        <w:pStyle w:val="Caption"/>
        <w:jc w:val="both"/>
      </w:pPr>
      <w:r>
        <w:t>Figure 6.</w:t>
      </w:r>
      <w:fldSimple w:instr=" SEQ Figure_6. \* ARABIC ">
        <w:r w:rsidR="00A91D2C">
          <w:rPr>
            <w:noProof/>
          </w:rPr>
          <w:t>2</w:t>
        </w:r>
      </w:fldSimple>
      <w:r>
        <w:t xml:space="preserve"> </w:t>
      </w:r>
      <w:r w:rsidRPr="00CC2DCF">
        <w:rPr>
          <w:b w:val="0"/>
          <w:bCs w:val="0"/>
        </w:rPr>
        <w:t xml:space="preserve">Temporal </w:t>
      </w:r>
      <w:r w:rsidR="000A6482" w:rsidRPr="00CC2DCF">
        <w:rPr>
          <w:b w:val="0"/>
          <w:bCs w:val="0"/>
        </w:rPr>
        <w:t>model lineage and accountability window</w:t>
      </w:r>
      <w:r w:rsidRPr="00CC2DCF">
        <w:rPr>
          <w:b w:val="0"/>
          <w:bCs w:val="0"/>
        </w:rPr>
        <w:t>s.</w:t>
      </w:r>
    </w:p>
    <w:p w14:paraId="4DDDBA9F" w14:textId="76F13739" w:rsidR="008D1D91" w:rsidRDefault="008D1D91" w:rsidP="008D1D91">
      <w:pPr>
        <w:pStyle w:val="Body"/>
        <w:rPr>
          <w:lang w:val="en-US"/>
        </w:rPr>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7C5E1622" w14:textId="531F409E" w:rsidR="00496B67" w:rsidRDefault="00496B67" w:rsidP="008D1D91">
      <w:pPr>
        <w:pStyle w:val="Body"/>
        <w:rPr>
          <w:lang w:val="en-US"/>
        </w:rPr>
      </w:pPr>
      <w:r w:rsidRPr="00496B67">
        <w:rPr>
          <w:lang w:val="en-US"/>
        </w:rPr>
        <w:t xml:space="preserve">The use of 'Cyber-Model Cards' transitions model reporting from a passive documentation task to an active governance gate. This implementation is a direct operationalization of the </w:t>
      </w:r>
      <w:r w:rsidRPr="00496B67">
        <w:rPr>
          <w:b/>
          <w:bCs/>
          <w:lang w:val="en-US"/>
        </w:rPr>
        <w:t>Model Cards for Model Reporting</w:t>
      </w:r>
      <w:r w:rsidRPr="00496B67">
        <w:rPr>
          <w:lang w:val="en-US"/>
        </w:rPr>
        <w:t xml:space="preserve"> framework </w:t>
      </w:r>
      <w:sdt>
        <w:sdtPr>
          <w:rPr>
            <w:lang w:val="en-US"/>
          </w:rPr>
          <w:id w:val="-979758736"/>
          <w:citation/>
        </w:sdtPr>
        <w:sdtEndPr/>
        <w:sdtContent>
          <w:r w:rsidR="00781A75">
            <w:rPr>
              <w:lang w:val="en-US"/>
            </w:rPr>
            <w:fldChar w:fldCharType="begin"/>
          </w:r>
          <w:r w:rsidR="00781A75">
            <w:rPr>
              <w:lang w:val="en-US"/>
            </w:rPr>
            <w:instrText xml:space="preserve"> CITATION mitchell2019_modelcards \l 1033 </w:instrText>
          </w:r>
          <w:r w:rsidR="00781A75">
            <w:rPr>
              <w:lang w:val="en-US"/>
            </w:rPr>
            <w:fldChar w:fldCharType="separate"/>
          </w:r>
          <w:r w:rsidR="00781A75" w:rsidRPr="00781A75">
            <w:rPr>
              <w:noProof/>
              <w:lang w:val="en-US"/>
            </w:rPr>
            <w:t>(Mitchell, et al. 2019)</w:t>
          </w:r>
          <w:r w:rsidR="00781A75">
            <w:rPr>
              <w:lang w:val="en-US"/>
            </w:rPr>
            <w:fldChar w:fldCharType="end"/>
          </w:r>
        </w:sdtContent>
      </w:sdt>
      <w:r w:rsidRPr="00496B67">
        <w:rPr>
          <w:lang w:val="en-US"/>
        </w:rPr>
        <w:t xml:space="preserve">. By embedding max_blast_radius and allowed_actions into the model's metadata, the system ensures that the </w:t>
      </w:r>
      <w:r w:rsidRPr="00496B67">
        <w:rPr>
          <w:b/>
          <w:bCs/>
          <w:lang w:val="en-US"/>
        </w:rPr>
        <w:t>'Datasheets for Datasets'</w:t>
      </w:r>
      <w:r w:rsidRPr="00496B67">
        <w:rPr>
          <w:lang w:val="en-US"/>
        </w:rPr>
        <w:t xml:space="preserve"> logic </w:t>
      </w:r>
      <w:sdt>
        <w:sdtPr>
          <w:rPr>
            <w:lang w:val="en-US"/>
          </w:rPr>
          <w:id w:val="-1731073899"/>
          <w:citation/>
        </w:sdtPr>
        <w:sdtEndPr/>
        <w:sdtContent>
          <w:r w:rsidR="00F077EF">
            <w:rPr>
              <w:lang w:val="en-US"/>
            </w:rPr>
            <w:fldChar w:fldCharType="begin"/>
          </w:r>
          <w:r w:rsidR="00F077EF">
            <w:rPr>
              <w:lang w:val="en-US"/>
            </w:rPr>
            <w:instrText xml:space="preserve"> CITATION gebru2018_datasheets \l 1033 </w:instrText>
          </w:r>
          <w:r w:rsidR="00F077EF">
            <w:rPr>
              <w:lang w:val="en-US"/>
            </w:rPr>
            <w:fldChar w:fldCharType="separate"/>
          </w:r>
          <w:r w:rsidR="00F077EF" w:rsidRPr="00F077EF">
            <w:rPr>
              <w:noProof/>
              <w:lang w:val="en-US"/>
            </w:rPr>
            <w:t>(Gebru, et al. 2021)</w:t>
          </w:r>
          <w:r w:rsidR="00F077EF">
            <w:rPr>
              <w:lang w:val="en-US"/>
            </w:rPr>
            <w:fldChar w:fldCharType="end"/>
          </w:r>
        </w:sdtContent>
      </w:sdt>
      <w:r w:rsidR="00F077EF">
        <w:rPr>
          <w:lang w:val="en-US"/>
        </w:rPr>
        <w:t xml:space="preserve"> </w:t>
      </w:r>
      <w:r w:rsidRPr="00496B67">
        <w:rPr>
          <w:lang w:val="en-US"/>
        </w:rPr>
        <w:t xml:space="preserve">extends into the </w:t>
      </w:r>
      <w:r w:rsidR="006E24DA">
        <w:rPr>
          <w:lang w:val="en-US"/>
        </w:rPr>
        <w:t>model's</w:t>
      </w:r>
      <w:r w:rsidRPr="00496B67">
        <w:rPr>
          <w:lang w:val="en-US"/>
        </w:rPr>
        <w:t xml:space="preserve"> execution phase. This ensures that a model trained on low-fidelity telemetry is never 'authorized' by the control plane to perform high-fidelity actions, such as domain-level credential flushes.</w:t>
      </w:r>
    </w:p>
    <w:p w14:paraId="194AE2E3" w14:textId="3C4EE9E4" w:rsidR="00EB0ADC" w:rsidRDefault="00283084" w:rsidP="008D1D91">
      <w:pPr>
        <w:pStyle w:val="Body"/>
      </w:pPr>
      <w:r>
        <w:rPr>
          <w:lang w:val="en-US"/>
        </w:rPr>
        <w:t>A</w:t>
      </w:r>
      <w:r w:rsidRPr="00283084">
        <w:rPr>
          <w:lang w:val="en-US"/>
        </w:rPr>
        <w:t xml:space="preserve">ccountability in the autonomous </w:t>
      </w:r>
      <w:r w:rsidR="003D29D5">
        <w:rPr>
          <w:lang w:val="en-US"/>
        </w:rPr>
        <w:t>system</w:t>
      </w:r>
      <w:r w:rsidRPr="00283084">
        <w:rPr>
          <w:lang w:val="en-US"/>
        </w:rPr>
        <w:t xml:space="preserve"> is enforced through </w:t>
      </w:r>
      <w:r w:rsidRPr="00283084">
        <w:rPr>
          <w:b/>
          <w:bCs/>
          <w:lang w:val="en-US"/>
        </w:rPr>
        <w:t>Governance-as-Code</w:t>
      </w:r>
      <w:r w:rsidRPr="00283084">
        <w:rPr>
          <w:lang w:val="en-US"/>
        </w:rPr>
        <w:t>. Every model deployed within the control plane must carry a standardized 'Cyber-Model Card.' Below is the schema required for a Model 05-Alpha classifier in our SageMaker/Vertex AI pipeline</w:t>
      </w:r>
      <w:r>
        <w:rPr>
          <w:lang w:val="en-US"/>
        </w:rPr>
        <w:t>:</w:t>
      </w:r>
    </w:p>
    <w:p w14:paraId="07CC833F" w14:textId="4AE75A46" w:rsidR="008D1D91" w:rsidRDefault="005675CA" w:rsidP="005675CA">
      <w:pPr>
        <w:pStyle w:val="SC-Source"/>
      </w:pPr>
      <w:r>
        <w:t>```yaml</w:t>
      </w:r>
    </w:p>
    <w:p w14:paraId="541B45B9" w14:textId="77777777" w:rsidR="00C24688" w:rsidRDefault="00C24688" w:rsidP="005675CA">
      <w:pPr>
        <w:pStyle w:val="SC-Source"/>
      </w:pPr>
    </w:p>
    <w:p w14:paraId="581DB2B2" w14:textId="77777777" w:rsidR="005675CA" w:rsidRDefault="005675CA" w:rsidP="005675CA">
      <w:pPr>
        <w:pStyle w:val="SC-Source"/>
      </w:pPr>
      <w:r>
        <w:t>model_metadata:</w:t>
      </w:r>
    </w:p>
    <w:p w14:paraId="065D3AC6" w14:textId="77777777" w:rsidR="005675CA" w:rsidRDefault="005675CA" w:rsidP="005675CA">
      <w:pPr>
        <w:pStyle w:val="SC-Source"/>
      </w:pPr>
      <w:r>
        <w:t xml:space="preserve">  id: "kerberos-anomaly-v4"</w:t>
      </w:r>
    </w:p>
    <w:p w14:paraId="41A464D1" w14:textId="77777777" w:rsidR="005675CA" w:rsidRDefault="005675CA" w:rsidP="005675CA">
      <w:pPr>
        <w:pStyle w:val="SC-Source"/>
      </w:pPr>
      <w:r>
        <w:t xml:space="preserve">  version: "2024.10.12"</w:t>
      </w:r>
    </w:p>
    <w:p w14:paraId="5ABC8A2E" w14:textId="77777777" w:rsidR="005675CA" w:rsidRDefault="005675CA" w:rsidP="005675CA">
      <w:pPr>
        <w:pStyle w:val="SC-Source"/>
      </w:pPr>
      <w:r>
        <w:t xml:space="preserve">  intended_use: "Triage of Kerberos TGT anomalies"</w:t>
      </w:r>
    </w:p>
    <w:p w14:paraId="0E0DE1E7" w14:textId="77777777" w:rsidR="005675CA" w:rsidRDefault="005675CA" w:rsidP="005675CA">
      <w:pPr>
        <w:pStyle w:val="SC-Source"/>
      </w:pPr>
      <w:r>
        <w:t>governance_constraints:</w:t>
      </w:r>
    </w:p>
    <w:p w14:paraId="45A01091" w14:textId="77777777" w:rsidR="005675CA" w:rsidRDefault="005675CA" w:rsidP="005675CA">
      <w:pPr>
        <w:pStyle w:val="SC-Source"/>
      </w:pPr>
      <w:r>
        <w:t xml:space="preserve">  max_blast_radius: "Single Subnet"</w:t>
      </w:r>
    </w:p>
    <w:p w14:paraId="28A8669D" w14:textId="77777777" w:rsidR="005675CA" w:rsidRDefault="005675CA" w:rsidP="005675CA">
      <w:pPr>
        <w:pStyle w:val="SC-Source"/>
      </w:pPr>
      <w:r>
        <w:t xml:space="preserve">  allowed_actions: ["Flush-Ticket", "Isolate-Host"]</w:t>
      </w:r>
    </w:p>
    <w:p w14:paraId="5F756A01" w14:textId="77777777" w:rsidR="005675CA" w:rsidRDefault="005675CA" w:rsidP="005675CA">
      <w:pPr>
        <w:pStyle w:val="SC-Source"/>
      </w:pPr>
      <w:r>
        <w:t xml:space="preserve">  prohibited_actions: ["Disable-Domain-Admin", "Wipe-Drive"]</w:t>
      </w:r>
    </w:p>
    <w:p w14:paraId="36708174" w14:textId="77777777" w:rsidR="005675CA" w:rsidRDefault="005675CA" w:rsidP="005675CA">
      <w:pPr>
        <w:pStyle w:val="SC-Source"/>
      </w:pPr>
      <w:r>
        <w:t xml:space="preserve">  audit_requirement: "Full SHAP explanation per action"</w:t>
      </w:r>
    </w:p>
    <w:p w14:paraId="152317DC" w14:textId="77777777" w:rsidR="005675CA" w:rsidRDefault="005675CA" w:rsidP="005675CA">
      <w:pPr>
        <w:pStyle w:val="SC-Source"/>
      </w:pPr>
      <w:r>
        <w:t>risk_calibration:</w:t>
      </w:r>
    </w:p>
    <w:p w14:paraId="7E5708CB" w14:textId="77777777" w:rsidR="005675CA" w:rsidRDefault="005675CA" w:rsidP="005675CA">
      <w:pPr>
        <w:pStyle w:val="SC-Source"/>
      </w:pPr>
      <w:r>
        <w:t xml:space="preserve">  bias_threshold: 0.12</w:t>
      </w:r>
    </w:p>
    <w:p w14:paraId="2E28BB81" w14:textId="6BF94496" w:rsidR="005675CA" w:rsidRDefault="005675CA" w:rsidP="005675CA">
      <w:pPr>
        <w:pStyle w:val="SC-Source"/>
      </w:pPr>
      <w:r>
        <w:t xml:space="preserve">  last_validation_date: "2024-09-01"</w:t>
      </w:r>
    </w:p>
    <w:p w14:paraId="79F1B97C" w14:textId="6EFBA8C1" w:rsidR="005675CA" w:rsidRPr="0078792B" w:rsidRDefault="005675CA" w:rsidP="005675CA">
      <w:pPr>
        <w:pStyle w:val="SC-Source"/>
      </w:pPr>
      <w:r>
        <w:t>```</w:t>
      </w:r>
    </w:p>
    <w:p w14:paraId="60495C92" w14:textId="2CF56FAA" w:rsidR="0027766A" w:rsidRDefault="0027766A" w:rsidP="0027766A">
      <w:pPr>
        <w:pStyle w:val="Body"/>
      </w:pPr>
      <w:r>
        <w:t>T</w:t>
      </w:r>
      <w:r w:rsidRPr="0027766A">
        <w:t>his schema ensures that the 'Decision Loop' cannot execute an action that exceeds the model's pre-authorized mandate.</w:t>
      </w:r>
    </w:p>
    <w:p w14:paraId="092EC666" w14:textId="77777777" w:rsidR="0027766A" w:rsidRDefault="0027766A" w:rsidP="00EB7D83">
      <w:pPr>
        <w:pStyle w:val="citationblock"/>
        <w:rPr>
          <w:b/>
          <w:bCs/>
        </w:rPr>
      </w:pPr>
    </w:p>
    <w:p w14:paraId="38094430" w14:textId="79714346"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609C64AF" w14:textId="77777777" w:rsidR="002949F5" w:rsidRDefault="002949F5" w:rsidP="00EB7D83">
      <w:pPr>
        <w:pStyle w:val="citationblock"/>
      </w:pPr>
    </w:p>
    <w:p w14:paraId="3A96DDDF" w14:textId="21E4A37F" w:rsidR="00EA6739" w:rsidRPr="00EA6739" w:rsidRDefault="00EA6739" w:rsidP="005375C1">
      <w:pPr>
        <w:pStyle w:val="Secondaryheadings"/>
      </w:pPr>
      <w:r w:rsidRPr="00EA6739">
        <w:t xml:space="preserve">6.3 Explainability </w:t>
      </w:r>
      <w:r w:rsidR="00C30A4F">
        <w:t>and institutional defense</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AC69C6">
        <w:rPr>
          <w:b/>
          <w:bCs/>
          <w:lang w:val="en-US"/>
        </w:rPr>
        <w:t>what</w:t>
      </w:r>
      <w:r w:rsidRPr="00EA6739">
        <w:rPr>
          <w:lang w:val="en-US"/>
        </w:rPr>
        <w:t xml:space="preserve"> it appears to value without demonstrating </w:t>
      </w:r>
      <w:r w:rsidRPr="00AC69C6">
        <w:rPr>
          <w:b/>
          <w:b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FC13B26" w:rsidR="00EA6739" w:rsidRDefault="00EA6739" w:rsidP="00EA6739">
      <w:pPr>
        <w:pStyle w:val="Body"/>
        <w:rPr>
          <w:lang w:val="en-US"/>
        </w:rPr>
      </w:pPr>
      <w:r w:rsidRPr="00EA6739">
        <w:rPr>
          <w:lang w:val="en-US"/>
        </w:rPr>
        <w:t>From an ethical standpoint, the core question is not whether a model can explain itself, but whether an institution can defend the decisions it delegates</w:t>
      </w:r>
      <w:r w:rsidR="00A26560">
        <w:rPr>
          <w:lang w:val="en-US"/>
        </w:rPr>
        <w:t xml:space="preserve"> to it</w:t>
      </w:r>
      <w:r w:rsidRPr="00EA6739">
        <w:rPr>
          <w:lang w:val="en-US"/>
        </w:rPr>
        <w:t xml:space="preserve">. Explainability, in this sense, is a property of the </w:t>
      </w:r>
      <w:r w:rsidRPr="00AC69C6">
        <w:rPr>
          <w:b/>
          <w:bCs/>
          <w:lang w:val="en-US"/>
        </w:rPr>
        <w:t>socio-technical system</w:t>
      </w:r>
      <w:r w:rsidR="00071701" w:rsidRPr="00AC69C6">
        <w:rPr>
          <w:b/>
          <w:bCs/>
          <w:lang w:val="en-US"/>
        </w:rPr>
        <w:t xml:space="preserve"> </w:t>
      </w:r>
      <w:r w:rsidR="00071701">
        <w:rPr>
          <w:lang w:val="en-US"/>
        </w:rPr>
        <w:t>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2DB8B946" w14:textId="5AFAEB93" w:rsidR="00834EE1" w:rsidRPr="00834EE1" w:rsidRDefault="00834EE1" w:rsidP="00834EE1">
      <w:pPr>
        <w:pStyle w:val="Body"/>
      </w:pPr>
      <w:r w:rsidRPr="00834EE1">
        <w:t xml:space="preserve">Explainability is not for the machine; it is for the </w:t>
      </w:r>
      <w:r w:rsidR="00676730">
        <w:t>institution's legal defense</w:t>
      </w:r>
      <w:r w:rsidRPr="00834EE1">
        <w:t xml:space="preserve">. We utilize </w:t>
      </w:r>
      <w:r w:rsidRPr="00834EE1">
        <w:rPr>
          <w:b/>
          <w:bCs/>
        </w:rPr>
        <w:t>SHAP (SHapley Additive exPlanations)</w:t>
      </w:r>
      <w:r w:rsidRPr="00834EE1">
        <w:t xml:space="preserve"> values to decompose every autonomous decision into its contributing features.</w:t>
      </w:r>
    </w:p>
    <w:p w14:paraId="22A8824E" w14:textId="06F051AB" w:rsidR="00834EE1" w:rsidRDefault="00834EE1" w:rsidP="00834EE1">
      <w:pPr>
        <w:pStyle w:val="Body"/>
      </w:pPr>
      <w:r w:rsidRPr="00834EE1">
        <w:t>For an incident involving a 'Golden Ticket' attack, the system must generate a visual explanation (</w:t>
      </w:r>
      <w:r w:rsidRPr="006E24DA">
        <w:rPr>
          <w:b/>
          <w:bCs/>
        </w:rPr>
        <w:t>Figure 6.1</w:t>
      </w:r>
      <w:r w:rsidRPr="00834EE1">
        <w:t xml:space="preserve">) that justifies why the 'Ticket Lifetime' and 'Source RID' variables triggered the isolation. If the explanation falls below a </w:t>
      </w:r>
      <w:r w:rsidRPr="00834EE1">
        <w:rPr>
          <w:b/>
          <w:bCs/>
        </w:rPr>
        <w:t xml:space="preserve">Certainty Score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s</m:t>
                </m:r>
              </m:sub>
            </m:sSub>
          </m:e>
        </m:d>
      </m:oMath>
      <w:r w:rsidR="00C43D34">
        <w:rPr>
          <w:b/>
          <w:bCs/>
        </w:rPr>
        <w:t>,</w:t>
      </w:r>
      <w:r w:rsidRPr="00834EE1">
        <w:t xml:space="preserve"> the system's 'Explainability Logic Gate' prevents execution.</w:t>
      </w:r>
    </w:p>
    <w:p w14:paraId="03BA223C" w14:textId="77777777" w:rsidR="002949F5" w:rsidRPr="00834EE1" w:rsidRDefault="002949F5" w:rsidP="00834EE1">
      <w:pPr>
        <w:pStyle w:val="Body"/>
      </w:pPr>
    </w:p>
    <w:p w14:paraId="1BB43448" w14:textId="78258BA9" w:rsidR="004B04E2" w:rsidRPr="004B04E2" w:rsidRDefault="0088709B" w:rsidP="001E0142">
      <w:pPr>
        <w:pStyle w:val="Body"/>
      </w:pPr>
      <m:oMathPara>
        <m:oMath>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 = </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SHAP</m:t>
                      </m:r>
                    </m:e>
                    <m:sub>
                      <m:r>
                        <w:rPr>
                          <w:rFonts w:ascii="Cambria Math" w:hAnsi="Cambria Math"/>
                        </w:rPr>
                        <m:t>critical</m:t>
                      </m:r>
                    </m:sub>
                  </m:sSub>
                  <m:r>
                    <w:rPr>
                      <w:rFonts w:ascii="Cambria Math" w:hAnsi="Cambria Math"/>
                    </w:rPr>
                    <m:t xml:space="preserve"> </m:t>
                  </m:r>
                </m:e>
              </m:d>
            </m:num>
            <m:den>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SHAP</m:t>
                      </m:r>
                    </m:e>
                    <m:sub>
                      <m:r>
                        <w:rPr>
                          <w:rFonts w:ascii="Cambria Math" w:hAnsi="Cambria Math"/>
                        </w:rPr>
                        <m:t>all</m:t>
                      </m:r>
                    </m:sub>
                  </m:sSub>
                  <m:r>
                    <w:rPr>
                      <w:rFonts w:ascii="Cambria Math" w:hAnsi="Cambria Math"/>
                    </w:rPr>
                    <m:t xml:space="preserve"> </m:t>
                  </m:r>
                </m:e>
              </m:d>
            </m:den>
          </m:f>
        </m:oMath>
      </m:oMathPara>
    </w:p>
    <w:p w14:paraId="6182E255" w14:textId="77777777" w:rsidR="002949F5" w:rsidRDefault="002949F5" w:rsidP="00834EE1">
      <w:pPr>
        <w:pStyle w:val="Body"/>
      </w:pPr>
    </w:p>
    <w:p w14:paraId="319F9C98" w14:textId="16C01218" w:rsidR="00834EE1" w:rsidRDefault="00834EE1" w:rsidP="00834EE1">
      <w:pPr>
        <w:pStyle w:val="Body"/>
      </w:pPr>
      <w:r w:rsidRPr="00834EE1">
        <w:t>This ensures that 'black box' reasoning never results in a high-impact network disruption.</w:t>
      </w:r>
    </w:p>
    <w:p w14:paraId="27C51786" w14:textId="69059EA6" w:rsidR="00570784" w:rsidRPr="00570784" w:rsidRDefault="00570784" w:rsidP="00570784">
      <w:pPr>
        <w:pStyle w:val="Body"/>
        <w:rPr>
          <w:lang w:val="en-US"/>
        </w:rPr>
      </w:pPr>
      <w:r w:rsidRPr="00570784">
        <w:rPr>
          <w:lang w:val="en-US"/>
        </w:rPr>
        <w:t xml:space="preserve">While deep learning models are often criticized as 'black boxes,' the use of </w:t>
      </w:r>
      <w:r w:rsidRPr="00570784">
        <w:rPr>
          <w:b/>
          <w:bCs/>
          <w:lang w:val="en-US"/>
        </w:rPr>
        <w:t>SHapley Additive exPlanations (SHAP)</w:t>
      </w:r>
      <w:r w:rsidRPr="00570784">
        <w:rPr>
          <w:lang w:val="en-US"/>
        </w:rPr>
        <w:t xml:space="preserve"> provides a mathematically rigorous way to assign credit to specific features during an incident. This addresses the core requirement for transparency in automated systems</w:t>
      </w:r>
      <w:r w:rsidR="004C5FF4">
        <w:rPr>
          <w:lang w:val="en-US"/>
        </w:rPr>
        <w:t>,</w:t>
      </w:r>
      <w:r w:rsidRPr="00570784">
        <w:rPr>
          <w:lang w:val="en-US"/>
        </w:rPr>
        <w:t xml:space="preserve"> as argued by </w:t>
      </w:r>
      <w:sdt>
        <w:sdtPr>
          <w:rPr>
            <w:lang w:val="en-US"/>
          </w:rPr>
          <w:id w:val="1308816016"/>
          <w:citation/>
        </w:sdtPr>
        <w:sdtEndPr/>
        <w:sdtContent>
          <w:r>
            <w:rPr>
              <w:lang w:val="en-US"/>
            </w:rPr>
            <w:fldChar w:fldCharType="begin"/>
          </w:r>
          <w:r>
            <w:rPr>
              <w:b/>
              <w:bCs/>
              <w:lang w:val="en-US"/>
            </w:rPr>
            <w:instrText xml:space="preserve"> CITATION doshi2017_interpretability \l 1033 </w:instrText>
          </w:r>
          <w:r>
            <w:rPr>
              <w:lang w:val="en-US"/>
            </w:rPr>
            <w:fldChar w:fldCharType="separate"/>
          </w:r>
          <w:r w:rsidRPr="00570784">
            <w:rPr>
              <w:noProof/>
              <w:lang w:val="en-US"/>
            </w:rPr>
            <w:t>(Doshi-Velez and Kim 2017)</w:t>
          </w:r>
          <w:r>
            <w:rPr>
              <w:lang w:val="en-US"/>
            </w:rPr>
            <w:fldChar w:fldCharType="end"/>
          </w:r>
        </w:sdtContent>
      </w:sdt>
      <w:r w:rsidRPr="00570784">
        <w:rPr>
          <w:lang w:val="en-US"/>
        </w:rPr>
        <w:t xml:space="preserve">. By requiring a </w:t>
      </w:r>
      <w:r w:rsidRPr="00570784">
        <w:rPr>
          <w:b/>
          <w:bCs/>
          <w:lang w:val="en-US"/>
        </w:rPr>
        <w:t xml:space="preserve">Certainty Score </w:t>
      </w:r>
      <m:oMath>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s</m:t>
                </m:r>
              </m:sub>
            </m:sSub>
          </m:e>
        </m:d>
      </m:oMath>
      <w:r w:rsidRPr="00570784">
        <w:rPr>
          <w:lang w:val="en-US"/>
        </w:rPr>
        <w:t xml:space="preserve"> before execution, we ensure that the system's reasoning is not only accurate but 'traceable' for the legal and institutional defense requirements that govern modern cybersecurity operations.</w:t>
      </w:r>
    </w:p>
    <w:p w14:paraId="5A349F9C" w14:textId="77777777" w:rsidR="00834EE1" w:rsidRPr="00834EE1" w:rsidRDefault="00834EE1" w:rsidP="00EA6739">
      <w:pPr>
        <w:pStyle w:val="Body"/>
      </w:pPr>
    </w:p>
    <w:p w14:paraId="44555C8F" w14:textId="2A8224CA" w:rsidR="001C1F2C" w:rsidRDefault="001C1F2C" w:rsidP="00EA6739">
      <w:pPr>
        <w:pStyle w:val="Body"/>
        <w:rPr>
          <w:lang w:val="en-US"/>
        </w:rPr>
      </w:pPr>
      <w:r w:rsidRPr="00F25E9E">
        <w:rPr>
          <w:b/>
          <w:bCs/>
          <w:lang w:val="en-US"/>
        </w:rPr>
        <w:t>Figure 6.3</w:t>
      </w:r>
      <w:r>
        <w:rPr>
          <w:lang w:val="en-US"/>
        </w:rPr>
        <w:t xml:space="preserve"> shows that n</w:t>
      </w:r>
      <w:r w:rsidRPr="001C1F2C">
        <w:rPr>
          <w:lang w:val="en-US"/>
        </w:rPr>
        <w:t>ot all explanations are institutionally defensible. Operational accountability exists only where explanations are reproducible, traceable to specific system states, and aligned with formal decision authority.</w:t>
      </w:r>
    </w:p>
    <w:p w14:paraId="5DBD6BF2" w14:textId="748D0BD4" w:rsidR="003C5569" w:rsidRDefault="00CF2569" w:rsidP="003C5569">
      <w:pPr>
        <w:pStyle w:val="Body"/>
        <w:keepNext/>
      </w:pPr>
      <w:r>
        <w:rPr>
          <w:noProof/>
          <w:lang w:val="en-US"/>
        </w:rPr>
        <w:drawing>
          <wp:anchor distT="0" distB="0" distL="114300" distR="114300" simplePos="0" relativeHeight="251660288" behindDoc="0" locked="0" layoutInCell="1" allowOverlap="1" wp14:anchorId="5C463A7C" wp14:editId="213B89E6">
            <wp:simplePos x="936346" y="2944368"/>
            <wp:positionH relativeFrom="page">
              <wp:align>center</wp:align>
            </wp:positionH>
            <wp:positionV relativeFrom="paragraph">
              <wp:posOffset>0</wp:posOffset>
            </wp:positionV>
            <wp:extent cx="3803904" cy="2532888"/>
            <wp:effectExtent l="0" t="0" r="6350" b="1270"/>
            <wp:wrapTopAndBottom/>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AB6575" w14:textId="0CA5C265" w:rsidR="001D11C1" w:rsidRDefault="003C5569" w:rsidP="003C5569">
      <w:pPr>
        <w:pStyle w:val="Caption"/>
        <w:jc w:val="both"/>
      </w:pPr>
      <w:r>
        <w:t>Figure 6.</w:t>
      </w:r>
      <w:fldSimple w:instr=" SEQ Figure_6. \* ARABIC ">
        <w:r w:rsidR="00A91D2C">
          <w:rPr>
            <w:noProof/>
          </w:rPr>
          <w:t>3</w:t>
        </w:r>
      </w:fldSimple>
      <w:r>
        <w:t xml:space="preserve"> </w:t>
      </w:r>
      <w:r w:rsidRPr="00CC2DCF">
        <w:rPr>
          <w:b w:val="0"/>
          <w:bCs w:val="0"/>
        </w:rPr>
        <w:t>Explainability versus defensibility in operational AI.</w:t>
      </w:r>
    </w:p>
    <w:p w14:paraId="2EE066E7" w14:textId="5EECA42B" w:rsidR="004B5586" w:rsidRDefault="004B5586" w:rsidP="004B5586">
      <w:pPr>
        <w:pStyle w:val="Body"/>
        <w:rPr>
          <w:lang w:val="en-US"/>
        </w:rPr>
      </w:pPr>
      <w:r w:rsidRPr="004B5586">
        <w:rPr>
          <w:lang w:val="en-US"/>
        </w:rPr>
        <w:t xml:space="preserve">The </w:t>
      </w:r>
      <w:r w:rsidR="005A1D6E">
        <w:rPr>
          <w:lang w:val="en-US"/>
        </w:rPr>
        <w:t>illustration</w:t>
      </w:r>
      <w:r w:rsidRPr="004B5586">
        <w:rPr>
          <w:lang w:val="en-US"/>
        </w:rPr>
        <w:t xml:space="preserv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BAB22F" w14:textId="4CD7659F" w:rsidR="001A7AE0" w:rsidRPr="001A7AE0" w:rsidRDefault="001A7AE0" w:rsidP="001A7AE0">
      <w:pPr>
        <w:pStyle w:val="Body"/>
      </w:pPr>
      <w:r w:rsidRPr="001A7AE0">
        <w:t xml:space="preserve">Next, </w:t>
      </w:r>
      <w:r w:rsidRPr="00AD2B64">
        <w:rPr>
          <w:b/>
          <w:bCs/>
        </w:rPr>
        <w:t>Figure 6.4</w:t>
      </w:r>
      <w:r w:rsidRPr="001A7AE0">
        <w:t xml:space="preserve"> </w:t>
      </w:r>
      <w:r w:rsidR="00AD2B64">
        <w:t xml:space="preserve">reinforces a </w:t>
      </w:r>
      <w:r w:rsidR="00544C03">
        <w:t>subtle,</w:t>
      </w:r>
      <w:r w:rsidR="00AD2B64">
        <w:t xml:space="preserve"> </w:t>
      </w:r>
      <w:r w:rsidR="0069504D">
        <w:t>yet important claim made in this section: human-in-the-loop</w:t>
      </w:r>
      <w:r w:rsidR="00AD2B64">
        <w:t xml:space="preserve"> does not guarantee accountability. This figure makes that distinction visually perceptible</w:t>
      </w:r>
      <w:r w:rsidRPr="001A7AE0">
        <w:t>.</w:t>
      </w:r>
    </w:p>
    <w:p w14:paraId="43BFA840" w14:textId="2D52A1F2" w:rsidR="0053014B" w:rsidRPr="001A7AE0" w:rsidRDefault="0053014B" w:rsidP="004B5586">
      <w:pPr>
        <w:pStyle w:val="Body"/>
      </w:pPr>
    </w:p>
    <w:p w14:paraId="37381F19" w14:textId="77777777" w:rsidR="00191335" w:rsidRDefault="0053014B" w:rsidP="00191335">
      <w:pPr>
        <w:pStyle w:val="Body"/>
        <w:keepNext/>
      </w:pPr>
      <w:r>
        <w:rPr>
          <w:noProof/>
        </w:rPr>
        <w:drawing>
          <wp:anchor distT="0" distB="0" distL="114300" distR="114300" simplePos="0" relativeHeight="251661312" behindDoc="0" locked="0" layoutInCell="1" allowOverlap="1" wp14:anchorId="5D1B272A" wp14:editId="1535B8BE">
            <wp:simplePos x="936346" y="1046074"/>
            <wp:positionH relativeFrom="page">
              <wp:align>center</wp:align>
            </wp:positionH>
            <wp:positionV relativeFrom="paragraph">
              <wp:posOffset>0</wp:posOffset>
            </wp:positionV>
            <wp:extent cx="3813048" cy="2542032"/>
            <wp:effectExtent l="0" t="0" r="0" b="0"/>
            <wp:wrapTopAndBottom/>
            <wp:docPr id="875902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2906" name="Picture 875902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1B67F8D" w14:textId="1064467D" w:rsidR="0053014B" w:rsidRPr="004B5586" w:rsidRDefault="00191335" w:rsidP="00191335">
      <w:pPr>
        <w:pStyle w:val="Caption"/>
        <w:jc w:val="both"/>
      </w:pPr>
      <w:r>
        <w:t>Figure 6.</w:t>
      </w:r>
      <w:fldSimple w:instr=" SEQ Figure_6. \* ARABIC ">
        <w:r w:rsidR="00A91D2C">
          <w:rPr>
            <w:noProof/>
          </w:rPr>
          <w:t>4</w:t>
        </w:r>
      </w:fldSimple>
      <w:r>
        <w:t xml:space="preserve"> </w:t>
      </w:r>
      <w:r w:rsidRPr="00CC2DCF">
        <w:rPr>
          <w:b w:val="0"/>
          <w:bCs w:val="0"/>
        </w:rPr>
        <w:t>Human oversight is not human control</w:t>
      </w:r>
      <w:r>
        <w:t>.</w:t>
      </w: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661AE9D0" w:rsidR="00203F69" w:rsidRPr="00203F69" w:rsidRDefault="00203F69" w:rsidP="00637B2A">
      <w:pPr>
        <w:pStyle w:val="Secondaryheadings"/>
      </w:pPr>
      <w:r w:rsidRPr="00203F69">
        <w:t xml:space="preserve">6.4 Governance </w:t>
      </w:r>
      <w:r w:rsidR="0030768A">
        <w:t>e</w:t>
      </w:r>
      <w:r w:rsidRPr="00203F69">
        <w:t>xamples</w:t>
      </w:r>
    </w:p>
    <w:p w14:paraId="7B76F603" w14:textId="212E15E8" w:rsidR="00203F69" w:rsidRDefault="00F74C90" w:rsidP="00203F69">
      <w:pPr>
        <w:pStyle w:val="Body"/>
        <w:rPr>
          <w:lang w:val="en-US"/>
        </w:rPr>
      </w:pPr>
      <w:r w:rsidRPr="00F74C90">
        <w:rPr>
          <w:lang w:val="en-US"/>
        </w:rPr>
        <w:t>This section illustrates how governance constraints can be encoded directly into operational AI systems. The goal is not to prescribe implementation details but to demonstrate how accountability, traceability, and defensibility can be embedded in deployed models. Code and mathematical formulations are used only as explanatory artifacts rather than optimization mechanisms</w:t>
      </w:r>
      <w:r w:rsidR="00203F69" w:rsidRPr="00203F69">
        <w:rPr>
          <w:lang w:val="en-US"/>
        </w:rPr>
        <w:t>.</w:t>
      </w:r>
    </w:p>
    <w:p w14:paraId="2BA81E1C" w14:textId="41978FFA" w:rsidR="007B3B5E" w:rsidRDefault="007B3B5E" w:rsidP="00203F69">
      <w:pPr>
        <w:pStyle w:val="Body"/>
        <w:rPr>
          <w:lang w:val="en-US"/>
        </w:rPr>
      </w:pPr>
      <w:r w:rsidRPr="007B3B5E">
        <w:rPr>
          <w:b/>
          <w:bCs/>
          <w:lang w:val="en-US"/>
        </w:rPr>
        <w:t>Figure 6.</w:t>
      </w:r>
      <w:r w:rsidR="004C0FDC">
        <w:rPr>
          <w:b/>
          <w:bCs/>
          <w:lang w:val="en-US"/>
        </w:rPr>
        <w:t>5</w:t>
      </w:r>
      <w:r>
        <w:rPr>
          <w:lang w:val="en-US"/>
        </w:rPr>
        <w:t xml:space="preserve"> </w:t>
      </w:r>
      <w:r w:rsidRPr="007B3B5E">
        <w:rPr>
          <w:lang w:val="en-US"/>
        </w:rPr>
        <w:t>establishes that ethics</w:t>
      </w:r>
      <w:r>
        <w:rPr>
          <w:lang w:val="en-US"/>
        </w:rPr>
        <w:t>, governance, and control are equivalent</w:t>
      </w:r>
      <w:r w:rsidRPr="007B3B5E">
        <w:rPr>
          <w:lang w:val="en-US"/>
        </w:rPr>
        <w:t>.</w:t>
      </w:r>
      <w:r w:rsidR="00EA53D8">
        <w:rPr>
          <w:lang w:val="en-US"/>
        </w:rPr>
        <w:t xml:space="preserve"> </w:t>
      </w:r>
      <w:r w:rsidRPr="007B3B5E">
        <w:rPr>
          <w:lang w:val="en-US"/>
        </w:rPr>
        <w:t>Th</w:t>
      </w:r>
      <w:r w:rsidR="00EA53D8">
        <w:rPr>
          <w:lang w:val="en-US"/>
        </w:rPr>
        <w:t>e illustration</w:t>
      </w:r>
      <w:r w:rsidRPr="007B3B5E">
        <w:rPr>
          <w:lang w:val="en-US"/>
        </w:rPr>
        <w:t xml:space="preserve"> makes </w:t>
      </w:r>
      <w:r>
        <w:rPr>
          <w:lang w:val="en-US"/>
        </w:rPr>
        <w:t>this explicit by showing where governance is applied rather than</w:t>
      </w:r>
      <w:r w:rsidRPr="007B3B5E">
        <w:rPr>
          <w:lang w:val="en-US"/>
        </w:rPr>
        <w:t xml:space="preserve"> </w:t>
      </w:r>
      <w:r w:rsidRPr="00BE56C9">
        <w:rPr>
          <w:b/>
          <w:bCs/>
          <w:lang w:val="en-US"/>
        </w:rPr>
        <w:t>what the model does</w:t>
      </w:r>
      <w:r w:rsidRPr="007B3B5E">
        <w:rPr>
          <w:lang w:val="en-US"/>
        </w:rPr>
        <w:t>.</w:t>
      </w:r>
    </w:p>
    <w:p w14:paraId="1BFA3E7D" w14:textId="77777777" w:rsidR="00C77CD3" w:rsidRDefault="006B6CB9" w:rsidP="00C77CD3">
      <w:pPr>
        <w:pStyle w:val="Body"/>
        <w:keepNext/>
      </w:pPr>
      <w:r>
        <w:rPr>
          <w:noProof/>
          <w:lang w:val="en-US"/>
        </w:rPr>
        <w:drawing>
          <wp:anchor distT="0" distB="0" distL="114300" distR="114300" simplePos="0" relativeHeight="251662336" behindDoc="0" locked="0" layoutInCell="1" allowOverlap="1" wp14:anchorId="4DF0D97E" wp14:editId="465CAEF8">
            <wp:simplePos x="936346" y="899770"/>
            <wp:positionH relativeFrom="page">
              <wp:align>center</wp:align>
            </wp:positionH>
            <wp:positionV relativeFrom="paragraph">
              <wp:posOffset>0</wp:posOffset>
            </wp:positionV>
            <wp:extent cx="3813048" cy="2542032"/>
            <wp:effectExtent l="0" t="0" r="0" b="0"/>
            <wp:wrapTopAndBottom/>
            <wp:docPr id="160054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44481" name="Picture 1600544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4672FDA" w14:textId="46F02D73" w:rsidR="00320AB1" w:rsidRPr="00203F69" w:rsidRDefault="00C77CD3" w:rsidP="00C77CD3">
      <w:pPr>
        <w:pStyle w:val="Caption"/>
        <w:jc w:val="both"/>
      </w:pPr>
      <w:r>
        <w:t>Figure 6.</w:t>
      </w:r>
      <w:fldSimple w:instr=" SEQ Figure_6. \* ARABIC ">
        <w:r w:rsidR="00A91D2C">
          <w:rPr>
            <w:noProof/>
          </w:rPr>
          <w:t>5</w:t>
        </w:r>
      </w:fldSimple>
      <w:r>
        <w:t xml:space="preserve"> </w:t>
      </w:r>
      <w:r w:rsidRPr="00CC2DCF">
        <w:rPr>
          <w:b w:val="0"/>
          <w:bCs w:val="0"/>
        </w:rPr>
        <w:t xml:space="preserve">Governance </w:t>
      </w:r>
      <w:r w:rsidR="00EA53D8" w:rsidRPr="00CC2DCF">
        <w:rPr>
          <w:b w:val="0"/>
          <w:bCs w:val="0"/>
        </w:rPr>
        <w:t xml:space="preserve">control points across the </w:t>
      </w:r>
      <w:r w:rsidR="00A26560">
        <w:rPr>
          <w:b w:val="0"/>
          <w:bCs w:val="0"/>
        </w:rPr>
        <w:t>AI</w:t>
      </w:r>
      <w:r w:rsidR="00EA53D8" w:rsidRPr="00CC2DCF">
        <w:rPr>
          <w:b w:val="0"/>
          <w:bCs w:val="0"/>
        </w:rPr>
        <w:t xml:space="preserve"> lifecycle.</w:t>
      </w:r>
    </w:p>
    <w:p w14:paraId="3C28FAF5" w14:textId="7009A048" w:rsidR="00203F69" w:rsidRPr="00203F69" w:rsidRDefault="00203F69" w:rsidP="0030768A">
      <w:pPr>
        <w:pStyle w:val="Secondaryheadings"/>
      </w:pPr>
      <w:r w:rsidRPr="00203F69">
        <w:t xml:space="preserve">Decision </w:t>
      </w:r>
      <w:r w:rsidR="0030768A" w:rsidRPr="00203F69">
        <w:t>traceability through structured log</w:t>
      </w:r>
      <w:r w:rsidRPr="00203F69">
        <w:t>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sidRPr="00BE56C9">
        <w:rPr>
          <w:b/>
          <w:bCs/>
          <w:lang w:val="en-US"/>
        </w:rPr>
        <w:t>the rationale for a specific decision</w:t>
      </w:r>
      <w:r w:rsidRPr="00203F69">
        <w:rPr>
          <w:lang w:val="en-US"/>
        </w:rPr>
        <w:t>, using the system state that existed at the time of execution. This requires more than storing predictions or 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rsidP="005A3736">
      <w:pPr>
        <w:pStyle w:val="SC-Source"/>
        <w:shd w:val="pct50" w:color="C1E4F5" w:themeColor="accent1" w:themeTint="33" w:fill="auto"/>
      </w:pPr>
      <w:r w:rsidRPr="005A3736">
        <w:t>```python</w:t>
      </w:r>
    </w:p>
    <w:p w14:paraId="661CEB0E" w14:textId="77777777" w:rsidR="008F748B" w:rsidRPr="005A3736" w:rsidRDefault="008F748B" w:rsidP="005A3736">
      <w:pPr>
        <w:pStyle w:val="SC-Source"/>
        <w:shd w:val="pct50" w:color="C1E4F5" w:themeColor="accent1" w:themeTint="33" w:fill="auto"/>
      </w:pPr>
      <w:r w:rsidRPr="005A3736">
        <w:t>decision_record = {</w:t>
      </w:r>
    </w:p>
    <w:p w14:paraId="7E72596A" w14:textId="77777777" w:rsidR="008F748B" w:rsidRPr="005A3736" w:rsidRDefault="008F748B" w:rsidP="005A3736">
      <w:pPr>
        <w:pStyle w:val="SC-Source"/>
        <w:shd w:val="pct50" w:color="C1E4F5" w:themeColor="accent1" w:themeTint="33" w:fill="auto"/>
      </w:pPr>
      <w:r w:rsidRPr="005A3736">
        <w:t xml:space="preserve">    "decision_id": "D-2025-06-1421",</w:t>
      </w:r>
    </w:p>
    <w:p w14:paraId="03DD35D7" w14:textId="77777777" w:rsidR="008F748B" w:rsidRPr="005A3736" w:rsidRDefault="008F748B" w:rsidP="005A3736">
      <w:pPr>
        <w:pStyle w:val="SC-Source"/>
        <w:shd w:val="pct50" w:color="C1E4F5" w:themeColor="accent1" w:themeTint="33" w:fill="auto"/>
      </w:pPr>
      <w:r w:rsidRPr="005A3736">
        <w:t xml:space="preserve">    "timestamp": "2025-06-18T14:32:11Z",</w:t>
      </w:r>
    </w:p>
    <w:p w14:paraId="5867362C" w14:textId="77777777" w:rsidR="008F748B" w:rsidRPr="005A3736" w:rsidRDefault="008F748B" w:rsidP="005A3736">
      <w:pPr>
        <w:pStyle w:val="SC-Source"/>
        <w:shd w:val="pct50" w:color="C1E4F5" w:themeColor="accent1" w:themeTint="33" w:fill="auto"/>
      </w:pPr>
      <w:r w:rsidRPr="005A3736">
        <w:t xml:space="preserve">    "model_id": "alert_classifier_v3.4.2",</w:t>
      </w:r>
    </w:p>
    <w:p w14:paraId="0A961140" w14:textId="77777777" w:rsidR="008F748B" w:rsidRPr="005A3736" w:rsidRDefault="008F748B" w:rsidP="005A3736">
      <w:pPr>
        <w:pStyle w:val="SC-Source"/>
        <w:shd w:val="pct50" w:color="C1E4F5" w:themeColor="accent1" w:themeTint="33" w:fill="auto"/>
      </w:pPr>
      <w:r w:rsidRPr="005A3736">
        <w:t xml:space="preserve">    "model_hash": "8f2c9a1e",</w:t>
      </w:r>
    </w:p>
    <w:p w14:paraId="3A2080DE" w14:textId="77777777" w:rsidR="008F748B" w:rsidRPr="005A3736" w:rsidRDefault="008F748B" w:rsidP="005A3736">
      <w:pPr>
        <w:pStyle w:val="SC-Source"/>
        <w:shd w:val="pct50" w:color="C1E4F5" w:themeColor="accent1" w:themeTint="33" w:fill="auto"/>
      </w:pPr>
      <w:r w:rsidRPr="005A3736">
        <w:t xml:space="preserve">    "data_snapshot": "telemetry_snapshot_2025_06_18",</w:t>
      </w:r>
    </w:p>
    <w:p w14:paraId="0BFC9C78" w14:textId="77777777" w:rsidR="008F748B" w:rsidRPr="005A3736" w:rsidRDefault="008F748B" w:rsidP="005A3736">
      <w:pPr>
        <w:pStyle w:val="SC-Source"/>
        <w:shd w:val="pct50" w:color="C1E4F5" w:themeColor="accent1" w:themeTint="33" w:fill="auto"/>
      </w:pPr>
      <w:r w:rsidRPr="005A3736">
        <w:t xml:space="preserve">    "policy_version": "policy_escalation_2.1",</w:t>
      </w:r>
    </w:p>
    <w:p w14:paraId="750B5692" w14:textId="77777777" w:rsidR="008F748B" w:rsidRPr="005A3736" w:rsidRDefault="008F748B" w:rsidP="005A3736">
      <w:pPr>
        <w:pStyle w:val="SC-Source"/>
        <w:shd w:val="pct50" w:color="C1E4F5" w:themeColor="accent1" w:themeTint="33" w:fill="auto"/>
      </w:pPr>
      <w:r w:rsidRPr="005A3736">
        <w:t xml:space="preserve">    "threshold": 0.87,</w:t>
      </w:r>
    </w:p>
    <w:p w14:paraId="4F051AF8" w14:textId="77777777" w:rsidR="008F748B" w:rsidRPr="005A3736" w:rsidRDefault="008F748B" w:rsidP="005A3736">
      <w:pPr>
        <w:pStyle w:val="SC-Source"/>
        <w:shd w:val="pct50" w:color="C1E4F5" w:themeColor="accent1" w:themeTint="33" w:fill="auto"/>
      </w:pPr>
      <w:r w:rsidRPr="005A3736">
        <w:t xml:space="preserve">    "prediction": "escalate",</w:t>
      </w:r>
    </w:p>
    <w:p w14:paraId="11E886B8" w14:textId="77777777" w:rsidR="008F748B" w:rsidRPr="005A3736" w:rsidRDefault="008F748B" w:rsidP="005A3736">
      <w:pPr>
        <w:pStyle w:val="SC-Source"/>
        <w:shd w:val="pct50" w:color="C1E4F5" w:themeColor="accent1" w:themeTint="33" w:fill="auto"/>
      </w:pPr>
      <w:r w:rsidRPr="005A3736">
        <w:t xml:space="preserve">    "confidence": 0.91,</w:t>
      </w:r>
    </w:p>
    <w:p w14:paraId="20850688" w14:textId="77777777" w:rsidR="008F748B" w:rsidRPr="005A3736" w:rsidRDefault="008F748B" w:rsidP="005A3736">
      <w:pPr>
        <w:pStyle w:val="SC-Source"/>
        <w:shd w:val="pct50" w:color="C1E4F5" w:themeColor="accent1" w:themeTint="33" w:fill="auto"/>
      </w:pPr>
      <w:r w:rsidRPr="005A3736">
        <w:t xml:space="preserve">    "executor": "automated",</w:t>
      </w:r>
    </w:p>
    <w:p w14:paraId="2A584009" w14:textId="77777777" w:rsidR="008F748B" w:rsidRPr="005A3736" w:rsidRDefault="008F748B" w:rsidP="005A3736">
      <w:pPr>
        <w:pStyle w:val="SC-Source"/>
        <w:shd w:val="pct50" w:color="C1E4F5" w:themeColor="accent1" w:themeTint="33" w:fill="auto"/>
      </w:pPr>
      <w:r w:rsidRPr="005A3736">
        <w:t xml:space="preserve">    "review_required": true</w:t>
      </w:r>
    </w:p>
    <w:p w14:paraId="169D6EB1" w14:textId="77777777" w:rsidR="008F748B" w:rsidRPr="005A3736" w:rsidRDefault="008F748B" w:rsidP="005A3736">
      <w:pPr>
        <w:pStyle w:val="SC-Source"/>
        <w:shd w:val="pct50" w:color="C1E4F5" w:themeColor="accent1" w:themeTint="33" w:fill="auto"/>
      </w:pPr>
      <w:r w:rsidRPr="005A3736">
        <w:t>}</w:t>
      </w:r>
    </w:p>
    <w:p w14:paraId="181923F1" w14:textId="30AC327A" w:rsidR="008377D3" w:rsidRDefault="008F748B" w:rsidP="005A3736">
      <w:pPr>
        <w:pStyle w:val="SC-Source"/>
        <w:shd w:val="pct50" w:color="C1E4F5" w:themeColor="accent1" w:themeTint="33" w:fill="auto"/>
      </w:pPr>
      <w:r w:rsidRPr="005A3736">
        <w:t>audit_log.append(decision_record)</w:t>
      </w:r>
    </w:p>
    <w:p w14:paraId="53BFDA0C" w14:textId="252FDF02" w:rsidR="005A3736" w:rsidRPr="005A3736" w:rsidRDefault="005A3736" w:rsidP="005A3736">
      <w:pPr>
        <w:pStyle w:val="SC-Source"/>
        <w:shd w:val="pct50" w:color="C1E4F5" w:themeColor="accent1" w:themeTint="33" w:fill="auto"/>
      </w:pPr>
      <w:r>
        <w:t>```</w:t>
      </w:r>
    </w:p>
    <w:p w14:paraId="6D9E59F4" w14:textId="40D0487D" w:rsidR="00C81C8F" w:rsidRDefault="00C81C8F" w:rsidP="00C81C8F">
      <w:pPr>
        <w:pStyle w:val="Body"/>
      </w:pPr>
      <w:r w:rsidRPr="00C81C8F">
        <w:t xml:space="preserve">This structure ensures that decisions remain reproducible even after models evolve. Crucially, it </w:t>
      </w:r>
      <w:r>
        <w:t xml:space="preserve">links predictions to </w:t>
      </w:r>
      <w:r w:rsidR="001E431C">
        <w:t>the policy context and the authority for execution</w:t>
      </w:r>
      <w:r>
        <w:t>, thereby preventing post hoc</w:t>
      </w:r>
      <w:r w:rsidRPr="00C81C8F">
        <w:t xml:space="preserve"> reinterpretation.</w:t>
      </w:r>
    </w:p>
    <w:p w14:paraId="7FEAFF82" w14:textId="77777777" w:rsidR="00BE56C9" w:rsidRDefault="00BE56C9" w:rsidP="00C81C8F">
      <w:pPr>
        <w:pStyle w:val="Body"/>
      </w:pPr>
    </w:p>
    <w:p w14:paraId="7633B3DB" w14:textId="55EFA1DA" w:rsidR="00C81C8F" w:rsidRDefault="00C81C8F" w:rsidP="002B4A85">
      <w:pPr>
        <w:pStyle w:val="Body"/>
        <w:rPr>
          <w:i/>
          <w:iCs/>
        </w:rPr>
      </w:pPr>
      <w:r w:rsidRPr="00C81C8F">
        <w:rPr>
          <w:b/>
          <w:bCs/>
        </w:rPr>
        <w:t>Sources.</w:t>
      </w:r>
      <w:r w:rsidRPr="00C81C8F">
        <w:t xml:space="preserve"> </w:t>
      </w:r>
      <w:r w:rsidRPr="00C81C8F">
        <w:rPr>
          <w:i/>
          <w:iCs/>
        </w:rPr>
        <w:t>This block draws on prior work by Mitchell et al. (2019) and Amodei et al. (2016).</w:t>
      </w:r>
    </w:p>
    <w:p w14:paraId="743F52BE" w14:textId="77777777" w:rsidR="00BE56C9" w:rsidRDefault="00BE56C9" w:rsidP="002B4A85">
      <w:pPr>
        <w:pStyle w:val="Body"/>
        <w:rPr>
          <w:lang w:val="en-US"/>
        </w:rPr>
      </w:pPr>
    </w:p>
    <w:p w14:paraId="286A7C4F" w14:textId="067E1A5A" w:rsidR="00132480" w:rsidRPr="00132480" w:rsidRDefault="00132480" w:rsidP="0030768A">
      <w:pPr>
        <w:pStyle w:val="Secondaryheadings"/>
      </w:pPr>
      <w:r w:rsidRPr="00132480">
        <w:t xml:space="preserve">Quantifying </w:t>
      </w:r>
      <w:r w:rsidR="0030768A" w:rsidRPr="00132480">
        <w:t>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BE56C9">
        <w:rPr>
          <w:b/>
          <w:bCs/>
        </w:rPr>
        <w:t>where does error concentrate, and what does it cost</w:t>
      </w:r>
      <w:r w:rsidRPr="00132480">
        <w:rPr>
          <w:i/>
          <w:iCs/>
        </w:rPr>
        <w:t>?</w:t>
      </w:r>
      <w:r w:rsidRPr="00132480">
        <w:t xml:space="preserve"> A simple risk formulation clarifies this distinction.</w:t>
      </w:r>
    </w:p>
    <w:p w14:paraId="0CC2C5E1" w14:textId="6FBF0C35" w:rsidR="00262CC8" w:rsidRPr="00CF2569" w:rsidRDefault="0090034B" w:rsidP="00132480">
      <w:pPr>
        <w:pStyle w:val="Body"/>
      </w:pPr>
      <m:oMathPara>
        <m:oMath>
          <m:r>
            <w:rPr>
              <w:rFonts w:ascii="Cambria Math" w:hAnsi="Cambria Math"/>
            </w:rPr>
            <m:t>R=</m:t>
          </m:r>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sepChr m:val="∣"/>
                  <m:ctrlPr>
                    <w:rPr>
                      <w:rFonts w:ascii="Cambria Math" w:hAnsi="Cambria Math"/>
                    </w:rPr>
                  </m:ctrlPr>
                </m:dPr>
                <m:e>
                  <m:r>
                    <w:rPr>
                      <w:rFonts w:ascii="Cambria Math" w:hAnsi="Cambria Math"/>
                    </w:rPr>
                    <m:t>P</m:t>
                  </m:r>
                  <m:d>
                    <m:dPr>
                      <m:endChr m:val="〗"/>
                      <m:ctrlPr>
                        <w:rPr>
                          <w:rFonts w:ascii="Cambria Math" w:hAnsi="Cambria Math"/>
                          <w:i/>
                        </w:rPr>
                      </m:ctrlPr>
                    </m:dPr>
                    <m:e>
                      <m:ctrlPr>
                        <w:rPr>
                          <w:rFonts w:ascii="Cambria Math" w:hAnsi="Cambria Math"/>
                        </w:rPr>
                      </m:ctrlPr>
                    </m:e>
                  </m:d>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ctrlPr>
                    <w:rPr>
                      <w:rFonts w:ascii="Cambria Math" w:hAnsi="Cambria Math"/>
                      <w:i/>
                    </w:rPr>
                  </m:ctrlPr>
                </m:e>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ctrlPr>
                    <w:rPr>
                      <w:rFonts w:ascii="Cambria Math" w:hAnsi="Cambria Math"/>
                      <w:i/>
                    </w:rPr>
                  </m:ctrlPr>
                </m:e>
              </m:d>
            </m:e>
          </m:nary>
          <m: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e>
          </m:d>
        </m:oMath>
      </m:oMathPara>
    </w:p>
    <w:p w14:paraId="6B645DBD" w14:textId="77777777" w:rsidR="00132480" w:rsidRPr="00132480" w:rsidRDefault="00132480" w:rsidP="00132480">
      <w:pPr>
        <w:pStyle w:val="Body"/>
      </w:pPr>
      <w:r w:rsidRPr="00132480">
        <w:t>Where:</w:t>
      </w:r>
    </w:p>
    <w:p w14:paraId="046CFCB2" w14:textId="4C3C1399" w:rsidR="00132480" w:rsidRPr="00132480" w:rsidRDefault="0088709B" w:rsidP="00132480">
      <w:pPr>
        <w:pStyle w:val="Body"/>
        <w:numPr>
          <w:ilvl w:val="0"/>
          <w:numId w:val="14"/>
        </w:numPr>
      </w:pP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oMath>
      <w:r w:rsidR="00132480" w:rsidRPr="00132480">
        <w:t>represents an alert class,</w:t>
      </w:r>
    </w:p>
    <w:p w14:paraId="6426F4D4" w14:textId="430BD9E0" w:rsidR="00132480" w:rsidRPr="00132480" w:rsidRDefault="00081A3F" w:rsidP="00132480">
      <w:pPr>
        <w:pStyle w:val="Body"/>
        <w:numPr>
          <w:ilvl w:val="0"/>
          <w:numId w:val="14"/>
        </w:numPr>
      </w:pPr>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e>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r w:rsidR="00955FF9">
        <w:t xml:space="preserve"> </w:t>
      </w:r>
      <w:r w:rsidR="00132480" w:rsidRPr="00132480">
        <w:t>is the conditional probability of error for that class,</w:t>
      </w:r>
    </w:p>
    <w:p w14:paraId="458B63C0" w14:textId="46D388A4" w:rsidR="00132480" w:rsidRPr="00132480" w:rsidRDefault="00081A3F" w:rsidP="00132480">
      <w:pPr>
        <w:pStyle w:val="Body"/>
        <w:numPr>
          <w:ilvl w:val="0"/>
          <w:numId w:val="14"/>
        </w:numPr>
      </w:pPr>
      <m:oMath>
        <m: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e>
        </m:d>
      </m:oMath>
      <w:r w:rsidR="00955FF9">
        <w:t xml:space="preserve"> </w:t>
      </w:r>
      <w:r w:rsidR="00132480" w:rsidRPr="00132480">
        <w:t>is the operational cost associated with that error.</w:t>
      </w:r>
    </w:p>
    <w:p w14:paraId="0F7E8476" w14:textId="77777777" w:rsid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5418DCEC" w14:textId="77777777" w:rsidR="00BE56C9" w:rsidRPr="00132480" w:rsidRDefault="00BE56C9" w:rsidP="00132480">
      <w:pPr>
        <w:pStyle w:val="Body"/>
      </w:pPr>
    </w:p>
    <w:p w14:paraId="03AC4FD4" w14:textId="77777777" w:rsidR="00132480" w:rsidRDefault="00132480" w:rsidP="00132480">
      <w:pPr>
        <w:pStyle w:val="Body"/>
        <w:rPr>
          <w:i/>
          <w:iCs/>
        </w:rPr>
      </w:pPr>
      <w:r w:rsidRPr="00132480">
        <w:rPr>
          <w:b/>
          <w:bCs/>
        </w:rPr>
        <w:t>Sources.</w:t>
      </w:r>
      <w:r w:rsidRPr="00132480">
        <w:t xml:space="preserve"> </w:t>
      </w:r>
      <w:r w:rsidRPr="0030768A">
        <w:rPr>
          <w:i/>
          <w:iCs/>
        </w:rPr>
        <w:t>This block draws on prior work by Kearns and Roth (2019) and Binns (2018).</w:t>
      </w:r>
    </w:p>
    <w:p w14:paraId="284EC0C2" w14:textId="77777777" w:rsidR="00BE56C9" w:rsidRPr="00132480" w:rsidRDefault="00BE56C9" w:rsidP="00132480">
      <w:pPr>
        <w:pStyle w:val="Body"/>
      </w:pPr>
    </w:p>
    <w:p w14:paraId="1D9D537B" w14:textId="0DFDF5A2" w:rsidR="00132480" w:rsidRPr="00132480" w:rsidRDefault="00132480" w:rsidP="00F931CB">
      <w:pPr>
        <w:pStyle w:val="Secondaryheadings"/>
      </w:pPr>
      <w:r w:rsidRPr="00132480">
        <w:t xml:space="preserve">Explainability </w:t>
      </w:r>
      <w:r w:rsidR="0030768A" w:rsidRPr="00132480">
        <w:t>as evidence, not narrative</w:t>
      </w:r>
    </w:p>
    <w:p w14:paraId="379869AE" w14:textId="4536051B"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BE56C9">
        <w:rPr>
          <w:b/>
          <w:bCs/>
        </w:rPr>
        <w:t>evidence</w:t>
      </w:r>
      <w:r w:rsidR="00BE56C9">
        <w:t xml:space="preserve"> (</w:t>
      </w:r>
      <w:r w:rsidRPr="00132480">
        <w:t xml:space="preserve">capable of </w:t>
      </w:r>
      <w:r w:rsidR="0066212C">
        <w:t>examination, challenge, and reproduction</w:t>
      </w:r>
      <w:r w:rsidR="00BE56C9">
        <w:t>)</w:t>
      </w:r>
      <w:r w:rsidRPr="00132480">
        <w:t>.</w:t>
      </w:r>
    </w:p>
    <w:p w14:paraId="6D1B0370" w14:textId="77777777" w:rsidR="00132480" w:rsidRPr="00132480" w:rsidRDefault="00132480" w:rsidP="00132480">
      <w:pPr>
        <w:pStyle w:val="Body"/>
      </w:pPr>
      <w:r w:rsidRPr="00132480">
        <w:t>The following example illustrates how an explanation artifact can be bound to a specific decision without embedding interpretability tooling directly into operational logic.</w:t>
      </w:r>
    </w:p>
    <w:p w14:paraId="238DAFE2" w14:textId="2C46ED95" w:rsidR="00132480" w:rsidRDefault="00F931CB" w:rsidP="00F931CB">
      <w:pPr>
        <w:pStyle w:val="SC-Source"/>
      </w:pPr>
      <w:r>
        <w:t>```python</w:t>
      </w:r>
    </w:p>
    <w:p w14:paraId="6C58FB86" w14:textId="77777777" w:rsidR="00F931CB" w:rsidRDefault="00F931CB" w:rsidP="00F931CB">
      <w:pPr>
        <w:pStyle w:val="SC-Source"/>
      </w:pPr>
      <w:r>
        <w:t>explanation_record = {</w:t>
      </w:r>
    </w:p>
    <w:p w14:paraId="2CB645E8" w14:textId="77777777" w:rsidR="00F931CB" w:rsidRDefault="00F931CB" w:rsidP="00F931CB">
      <w:pPr>
        <w:pStyle w:val="SC-Source"/>
      </w:pPr>
      <w:r>
        <w:t xml:space="preserve">    "decision_id": "D-2025-06-1421",</w:t>
      </w:r>
    </w:p>
    <w:p w14:paraId="67A4A36E" w14:textId="77777777" w:rsidR="00F931CB" w:rsidRDefault="00F931CB" w:rsidP="00F931CB">
      <w:pPr>
        <w:pStyle w:val="SC-Source"/>
      </w:pPr>
      <w:r>
        <w:t xml:space="preserve">    "explanation_method": "local_surrogate",</w:t>
      </w:r>
    </w:p>
    <w:p w14:paraId="321E9E1C" w14:textId="77777777" w:rsidR="00F931CB" w:rsidRDefault="00F931CB" w:rsidP="00F931CB">
      <w:pPr>
        <w:pStyle w:val="SC-Source"/>
      </w:pPr>
      <w:r>
        <w:t xml:space="preserve">    "feature_contributions": {</w:t>
      </w:r>
    </w:p>
    <w:p w14:paraId="5BA46845" w14:textId="77777777" w:rsidR="00F931CB" w:rsidRDefault="00F931CB" w:rsidP="00F931CB">
      <w:pPr>
        <w:pStyle w:val="SC-Source"/>
      </w:pPr>
      <w:r>
        <w:t xml:space="preserve">        "failed_login_rate": 0.42,</w:t>
      </w:r>
    </w:p>
    <w:p w14:paraId="4D40FF93" w14:textId="77777777" w:rsidR="00F931CB" w:rsidRDefault="00F931CB" w:rsidP="00F931CB">
      <w:pPr>
        <w:pStyle w:val="SC-Source"/>
      </w:pPr>
      <w:r>
        <w:t xml:space="preserve">        "anomalous_ip_score": 0.31,</w:t>
      </w:r>
    </w:p>
    <w:p w14:paraId="51998271" w14:textId="77777777" w:rsidR="00F931CB" w:rsidRDefault="00F931CB" w:rsidP="00F931CB">
      <w:pPr>
        <w:pStyle w:val="SC-Source"/>
      </w:pPr>
      <w:r>
        <w:t xml:space="preserve">        "privilege_escalation_signal": 0.18</w:t>
      </w:r>
    </w:p>
    <w:p w14:paraId="092E134E" w14:textId="77777777" w:rsidR="00F931CB" w:rsidRDefault="00F931CB" w:rsidP="00F931CB">
      <w:pPr>
        <w:pStyle w:val="SC-Source"/>
      </w:pPr>
      <w:r>
        <w:t xml:space="preserve">    },</w:t>
      </w:r>
    </w:p>
    <w:p w14:paraId="47A73A2D" w14:textId="77777777" w:rsidR="00F931CB" w:rsidRDefault="00F931CB" w:rsidP="00F931CB">
      <w:pPr>
        <w:pStyle w:val="SC-Source"/>
      </w:pPr>
      <w:r>
        <w:t xml:space="preserve">    "model_version": "alert_classifier_v3.4.2",</w:t>
      </w:r>
    </w:p>
    <w:p w14:paraId="756FBBF1" w14:textId="77777777" w:rsidR="00F931CB" w:rsidRDefault="00F931CB" w:rsidP="00F931CB">
      <w:pPr>
        <w:pStyle w:val="SC-Source"/>
      </w:pPr>
      <w:r>
        <w:t xml:space="preserve">    "generated_at": "2025-06-18T14:32:13Z"</w:t>
      </w:r>
    </w:p>
    <w:p w14:paraId="5A8A0675" w14:textId="77777777" w:rsidR="00F931CB" w:rsidRDefault="00F931CB" w:rsidP="00F931CB">
      <w:pPr>
        <w:pStyle w:val="SC-Source"/>
      </w:pPr>
      <w:r>
        <w:t>}</w:t>
      </w:r>
    </w:p>
    <w:p w14:paraId="226D53FC" w14:textId="7C26A4B8" w:rsidR="00F931CB" w:rsidRDefault="00F931CB" w:rsidP="00F931CB">
      <w:pPr>
        <w:pStyle w:val="SC-Source"/>
      </w:pPr>
      <w:r>
        <w:t>explanation_store.write(explanation_record)</w:t>
      </w:r>
    </w:p>
    <w:p w14:paraId="449E58A9" w14:textId="698EAC43" w:rsidR="00F931CB" w:rsidRPr="00132480" w:rsidRDefault="00F931CB" w:rsidP="00F931CB">
      <w:pPr>
        <w:pStyle w:val="SC-Source"/>
      </w:pPr>
      <w:r>
        <w:t>```</w:t>
      </w:r>
    </w:p>
    <w:p w14:paraId="05153F37" w14:textId="77777777" w:rsidR="001C45EA" w:rsidRPr="001C45EA" w:rsidRDefault="001C45EA" w:rsidP="001C45EA">
      <w:pPr>
        <w:pStyle w:val="Body"/>
      </w:pPr>
      <w:r w:rsidRPr="001C45EA">
        <w:t>By storing explanations as immutable records linked to decision identifiers, organizations preserve explanatory accountability without conflating interpretability with real-time decision-making.</w:t>
      </w:r>
    </w:p>
    <w:p w14:paraId="1B26DCB3" w14:textId="77777777" w:rsidR="001C45EA" w:rsidRPr="001C45EA" w:rsidRDefault="001C45EA" w:rsidP="001C45EA">
      <w:pPr>
        <w:pStyle w:val="Body"/>
      </w:pPr>
      <w:r w:rsidRPr="001C45EA">
        <w:rPr>
          <w:b/>
          <w:bCs/>
        </w:rPr>
        <w:t>Sources.</w:t>
      </w:r>
      <w:r w:rsidRPr="001C45EA">
        <w:t xml:space="preserve"> </w:t>
      </w:r>
      <w:r w:rsidRPr="001C45EA">
        <w:rPr>
          <w:i/>
          <w:iCs/>
        </w:rPr>
        <w:t>This block draws on prior work by Ribeiro et al. (2016) and Doshi-Velez and Kim (2017).</w:t>
      </w:r>
    </w:p>
    <w:p w14:paraId="00B83DB7" w14:textId="7750FD13" w:rsidR="001C45EA" w:rsidRPr="001C45EA" w:rsidRDefault="001C45EA" w:rsidP="00BE1E01">
      <w:pPr>
        <w:pStyle w:val="Secondaryheadings"/>
      </w:pPr>
      <w:r w:rsidRPr="001C45EA">
        <w:t xml:space="preserve">Governance </w:t>
      </w:r>
      <w:r w:rsidR="00BE1E01" w:rsidRPr="001C45EA">
        <w:t>failures as detectable conditions</w:t>
      </w:r>
    </w:p>
    <w:p w14:paraId="37244031" w14:textId="77777777" w:rsidR="001C45EA" w:rsidRPr="001C45EA" w:rsidRDefault="001C45EA" w:rsidP="001C45EA">
      <w:pPr>
        <w:pStyle w:val="Body"/>
      </w:pPr>
      <w:r w:rsidRPr="001C45EA">
        <w:t>Governance breakdowns often manifest subtly: missing data snapshots, silent retraining, or policy drift. These conditions can be detected if governance expectations are formalized.</w:t>
      </w:r>
    </w:p>
    <w:p w14:paraId="04BF5FD0" w14:textId="77777777" w:rsidR="001C45EA" w:rsidRDefault="001C45EA" w:rsidP="001C45EA">
      <w:pPr>
        <w:pStyle w:val="Body"/>
      </w:pPr>
      <w:r w:rsidRPr="001C45EA">
        <w:t>One example is a simple lineage integrity check:</w:t>
      </w:r>
    </w:p>
    <w:p w14:paraId="58063F1F" w14:textId="63187B87" w:rsidR="003477B7" w:rsidRDefault="003477B7" w:rsidP="00A571A8">
      <w:pPr>
        <w:pStyle w:val="SC-Source"/>
      </w:pPr>
      <w:r>
        <w:t>```python</w:t>
      </w:r>
    </w:p>
    <w:p w14:paraId="56E9897B" w14:textId="77777777" w:rsidR="003477B7" w:rsidRDefault="003477B7" w:rsidP="00A571A8">
      <w:pPr>
        <w:pStyle w:val="SC-Source"/>
      </w:pPr>
      <w:r>
        <w:t>if not lineage.is_complete(decision_id):</w:t>
      </w:r>
    </w:p>
    <w:p w14:paraId="584C1829" w14:textId="77777777" w:rsidR="003477B7" w:rsidRDefault="003477B7" w:rsidP="00A571A8">
      <w:pPr>
        <w:pStyle w:val="SC-Source"/>
      </w:pPr>
      <w:r>
        <w:t xml:space="preserve">    raise GovernanceViolation(</w:t>
      </w:r>
    </w:p>
    <w:p w14:paraId="7A47CCFC" w14:textId="77777777" w:rsidR="003477B7" w:rsidRDefault="003477B7" w:rsidP="00A571A8">
      <w:pPr>
        <w:pStyle w:val="SC-Source"/>
      </w:pPr>
      <w:r>
        <w:t xml:space="preserve">        "Decision lacks complete data, model, or policy lineage."</w:t>
      </w:r>
    </w:p>
    <w:p w14:paraId="08DB9C9E" w14:textId="2F8FD58F" w:rsidR="003477B7" w:rsidRDefault="003477B7" w:rsidP="00A571A8">
      <w:pPr>
        <w:pStyle w:val="SC-Source"/>
      </w:pPr>
      <w:r>
        <w:t xml:space="preserve">    )</w:t>
      </w:r>
    </w:p>
    <w:p w14:paraId="19238CEE" w14:textId="5F3FFB3D" w:rsidR="003477B7" w:rsidRPr="001C45EA" w:rsidRDefault="00A571A8" w:rsidP="00A571A8">
      <w:pPr>
        <w:pStyle w:val="SC-Source"/>
      </w:pPr>
      <w:r>
        <w:t>```</w:t>
      </w:r>
    </w:p>
    <w:p w14:paraId="7461EBD8" w14:textId="3D4E852A" w:rsidR="00046558" w:rsidRDefault="00046558" w:rsidP="00046558">
      <w:pPr>
        <w:pStyle w:val="Body"/>
        <w:rPr>
          <w:lang w:val="en-US"/>
        </w:rPr>
      </w:pPr>
      <w:r w:rsidRPr="00046558">
        <w:rPr>
          <w:lang w:val="en-US"/>
        </w:rPr>
        <w:t>While simplistic, such checks enforce the principle that decisions without provenance are</w:t>
      </w:r>
      <w:r w:rsidR="001123D5">
        <w:rPr>
          <w:lang w:val="en-US"/>
        </w:rPr>
        <w:t>, by definition, invalid</w:t>
      </w:r>
      <w:r w:rsidRPr="00046558">
        <w:rPr>
          <w:lang w:val="en-US"/>
        </w:rPr>
        <w:t>. This shifts governance from reactive investigation to proactive enforcement.</w:t>
      </w:r>
    </w:p>
    <w:p w14:paraId="35D1A9FA" w14:textId="77777777" w:rsidR="001B4252" w:rsidRPr="00046558" w:rsidRDefault="001B4252" w:rsidP="00046558">
      <w:pPr>
        <w:pStyle w:val="Body"/>
        <w:rPr>
          <w:lang w:val="en-US"/>
        </w:rPr>
      </w:pPr>
    </w:p>
    <w:p w14:paraId="6BA1AA43" w14:textId="77777777" w:rsidR="00046558" w:rsidRDefault="00046558" w:rsidP="00046558">
      <w:pPr>
        <w:pStyle w:val="Body"/>
        <w:rPr>
          <w:i/>
          <w:iCs/>
          <w:lang w:val="en-US"/>
        </w:rPr>
      </w:pPr>
      <w:r w:rsidRPr="00046558">
        <w:rPr>
          <w:b/>
          <w:bCs/>
          <w:lang w:val="en-US"/>
        </w:rPr>
        <w:t>Sources.</w:t>
      </w:r>
      <w:r w:rsidRPr="00046558">
        <w:rPr>
          <w:lang w:val="en-US"/>
        </w:rPr>
        <w:t xml:space="preserve"> </w:t>
      </w:r>
      <w:r w:rsidRPr="00046558">
        <w:rPr>
          <w:i/>
          <w:iCs/>
          <w:lang w:val="en-US"/>
        </w:rPr>
        <w:t>This block draws on prior work by Amodei et al. (2016) and Mitchell et al. (2019).</w:t>
      </w:r>
    </w:p>
    <w:p w14:paraId="15EF4EBC" w14:textId="77777777" w:rsidR="001B4252" w:rsidRPr="00046558" w:rsidRDefault="001B4252" w:rsidP="00046558">
      <w:pPr>
        <w:pStyle w:val="Body"/>
        <w:rPr>
          <w:lang w:val="en-US"/>
        </w:rPr>
      </w:pPr>
    </w:p>
    <w:p w14:paraId="05E9C485" w14:textId="4FB3E7F2" w:rsidR="00977B65" w:rsidRDefault="00046558" w:rsidP="002B4A85">
      <w:pPr>
        <w:pStyle w:val="Body"/>
        <w:rPr>
          <w:lang w:val="en-US"/>
        </w:rPr>
      </w:pPr>
      <w:r w:rsidRPr="00046558">
        <w:rPr>
          <w:lang w:val="en-US"/>
        </w:rPr>
        <w:t>The examples in this section demonstrate that governance is not an abstract constraint imposed after deployment. It is an operational property that can be encoded, validated, and enforced through concrete system artifacts. Code and mathematics serve governance only when they enhance traceability, accountability, and institutional defensibility. When they do not, they add complexity without control.</w:t>
      </w:r>
    </w:p>
    <w:p w14:paraId="2E216A85" w14:textId="2E0BBEA8" w:rsidR="0019258A" w:rsidRDefault="007133FE" w:rsidP="002B4A85">
      <w:pPr>
        <w:pStyle w:val="Body"/>
        <w:rPr>
          <w:lang w:val="en-US"/>
        </w:rPr>
      </w:pPr>
      <w:r w:rsidRPr="00673E99">
        <w:rPr>
          <w:b/>
          <w:bCs/>
          <w:lang w:val="en-US"/>
        </w:rPr>
        <w:t>Figure 6.6</w:t>
      </w:r>
      <w:r>
        <w:rPr>
          <w:lang w:val="en-US"/>
        </w:rPr>
        <w:t xml:space="preserve"> </w:t>
      </w:r>
      <w:r w:rsidR="00673E99">
        <w:rPr>
          <w:lang w:val="en-US"/>
        </w:rPr>
        <w:t>illustrates how governance can fail</w:t>
      </w:r>
      <w:r w:rsidRPr="007133FE">
        <w:t xml:space="preserve"> even in </w:t>
      </w:r>
      <w:r w:rsidR="00673E99">
        <w:t>"</w:t>
      </w:r>
      <w:r w:rsidRPr="007133FE">
        <w:t>well-designed</w:t>
      </w:r>
      <w:r w:rsidR="00673E99">
        <w:t>"</w:t>
      </w:r>
      <w:r w:rsidRPr="007133FE">
        <w:t xml:space="preserve"> systems.</w:t>
      </w:r>
    </w:p>
    <w:p w14:paraId="5683D61E" w14:textId="77777777" w:rsidR="00A91D2C" w:rsidRDefault="0019258A" w:rsidP="00A91D2C">
      <w:pPr>
        <w:pStyle w:val="Body"/>
        <w:keepNext/>
      </w:pPr>
      <w:r>
        <w:rPr>
          <w:noProof/>
          <w:lang w:val="en-US"/>
        </w:rPr>
        <w:drawing>
          <wp:anchor distT="0" distB="0" distL="114300" distR="114300" simplePos="0" relativeHeight="251663360" behindDoc="0" locked="0" layoutInCell="1" allowOverlap="1" wp14:anchorId="79B387E8" wp14:editId="0F033987">
            <wp:simplePos x="936346" y="899770"/>
            <wp:positionH relativeFrom="page">
              <wp:align>center</wp:align>
            </wp:positionH>
            <wp:positionV relativeFrom="paragraph">
              <wp:posOffset>0</wp:posOffset>
            </wp:positionV>
            <wp:extent cx="3813048" cy="2542032"/>
            <wp:effectExtent l="0" t="0" r="0" b="0"/>
            <wp:wrapTopAndBottom/>
            <wp:docPr id="178215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7195" name="Picture 1782157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DC20B59" w14:textId="7C1AF62D" w:rsidR="0019258A" w:rsidRDefault="00A91D2C" w:rsidP="00A91D2C">
      <w:pPr>
        <w:pStyle w:val="Caption"/>
        <w:jc w:val="both"/>
      </w:pPr>
      <w:r>
        <w:t>Figure 6.</w:t>
      </w:r>
      <w:fldSimple w:instr=" SEQ Figure_6. \* ARABIC ">
        <w:r>
          <w:rPr>
            <w:noProof/>
          </w:rPr>
          <w:t>6</w:t>
        </w:r>
      </w:fldSimple>
      <w:r>
        <w:t xml:space="preserve"> </w:t>
      </w:r>
      <w:r w:rsidRPr="006C3BED">
        <w:rPr>
          <w:b w:val="0"/>
          <w:bCs w:val="0"/>
        </w:rPr>
        <w:t>Governance failure modes in operational AI.</w:t>
      </w: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07A469AF"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w:t>
      </w:r>
      <w:r w:rsidR="00B574F9">
        <w:rPr>
          <w:lang w:val="en-US"/>
        </w:rPr>
        <w:t xml:space="preserve">; </w:t>
      </w:r>
      <w:r w:rsidRPr="00EA6739">
        <w:rPr>
          <w:lang w:val="en-US"/>
        </w:rPr>
        <w:t>they are assuming ethical liability by design.</w:t>
      </w:r>
    </w:p>
    <w:p w14:paraId="0685901A" w14:textId="41993EF3" w:rsidR="00031988" w:rsidRDefault="00B574F9" w:rsidP="001B4252">
      <w:pPr>
        <w:pStyle w:val="Body"/>
      </w:pPr>
      <w:r w:rsidRPr="00B574F9">
        <w:rPr>
          <w:lang w:val="en-US"/>
        </w:rPr>
        <w:t xml:space="preserve">As governance structures solidify, the limiting factor in operational AI shifts from </w:t>
      </w:r>
      <w:r w:rsidRPr="001B4252">
        <w:rPr>
          <w:b/>
          <w:bCs/>
          <w:lang w:val="en-US"/>
        </w:rPr>
        <w:t>whether</w:t>
      </w:r>
      <w:r w:rsidRPr="00B574F9">
        <w:rPr>
          <w:lang w:val="en-US"/>
        </w:rPr>
        <w:t xml:space="preserve"> systems can be trusted to </w:t>
      </w:r>
      <w:r w:rsidRPr="001B4252">
        <w:rPr>
          <w:b/>
          <w:bCs/>
          <w:lang w:val="en-US"/>
        </w:rPr>
        <w:t>how far</w:t>
      </w:r>
      <w:r w:rsidRPr="00B574F9">
        <w:rPr>
          <w:lang w:val="en-US"/>
        </w:rPr>
        <w:t xml:space="preserve"> they can be allowed to act. Once bias is bounded, lineage is enforced, and decisions are defensible, autonomy becomes a design question rather than a philosophical risk. The next chapter examines this transition point: how organizations progressively extend machine agency through controlled escalation, bounded execution, and human override, transforming governed models into operational actors without surrendering accountability.</w:t>
      </w: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0992ACB2"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w:t>
      </w:r>
      <w:r w:rsidR="00955FF9">
        <w:rPr>
          <w:noProof/>
          <w:sz w:val="20"/>
          <w:szCs w:val="20"/>
        </w:rPr>
        <w:t xml:space="preserve">msp. </w:t>
      </w:r>
      <w:r w:rsidRPr="00031988">
        <w:rPr>
          <w:noProof/>
          <w:sz w:val="20"/>
          <w:szCs w:val="20"/>
        </w:rPr>
        <w:t>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EB3383" w:rsidRDefault="00031988" w:rsidP="00031988">
      <w:pPr>
        <w:pStyle w:val="Bibliography"/>
        <w:ind w:left="720" w:hanging="720"/>
        <w:rPr>
          <w:noProof/>
          <w:sz w:val="20"/>
          <w:szCs w:val="20"/>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EB3383">
        <w:rPr>
          <w:noProof/>
          <w:sz w:val="20"/>
          <w:szCs w:val="20"/>
        </w:rPr>
        <w:t>ACM. 220–229. doi:10.1145/3287560.3287596.</w:t>
      </w:r>
    </w:p>
    <w:p w14:paraId="0838A679" w14:textId="36C9B7C8"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t>
      </w:r>
      <w:r w:rsidR="00955FF9">
        <w:rPr>
          <w:noProof/>
          <w:sz w:val="20"/>
          <w:szCs w:val="20"/>
        </w:rPr>
        <w:t>"</w:t>
      </w:r>
      <w:r w:rsidRPr="00031988">
        <w:rPr>
          <w:noProof/>
          <w:sz w:val="20"/>
          <w:szCs w:val="20"/>
        </w:rPr>
        <w:t>Why Should I Trust You?</w:t>
      </w:r>
      <w:r w:rsidR="00955FF9">
        <w:rPr>
          <w:noProof/>
          <w:sz w:val="20"/>
          <w:szCs w:val="20"/>
        </w:rPr>
        <w:t>"</w:t>
      </w:r>
      <w:r w:rsidRPr="00031988">
        <w:rPr>
          <w:noProof/>
          <w:sz w:val="20"/>
          <w:szCs w:val="20"/>
        </w:rPr>
        <w:t xml:space="preserve">: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B3ED8" w14:textId="77777777" w:rsidR="0088709B" w:rsidRDefault="0088709B">
      <w:r>
        <w:separator/>
      </w:r>
    </w:p>
  </w:endnote>
  <w:endnote w:type="continuationSeparator" w:id="0">
    <w:p w14:paraId="1E5E4E0B" w14:textId="77777777" w:rsidR="0088709B" w:rsidRDefault="00887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EFEB8" w14:textId="77777777" w:rsidR="0088709B" w:rsidRDefault="0088709B">
      <w:r>
        <w:separator/>
      </w:r>
    </w:p>
  </w:footnote>
  <w:footnote w:type="continuationSeparator" w:id="0">
    <w:p w14:paraId="01F35806" w14:textId="77777777" w:rsidR="0088709B" w:rsidRDefault="00887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B90A" w14:textId="4F755EFC" w:rsidR="00695DA6" w:rsidRDefault="00695DA6" w:rsidP="00695DA6">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7104"/>
    <w:rsid w:val="00013F7D"/>
    <w:rsid w:val="00025E7D"/>
    <w:rsid w:val="0002677C"/>
    <w:rsid w:val="00031988"/>
    <w:rsid w:val="00046558"/>
    <w:rsid w:val="000467EF"/>
    <w:rsid w:val="00071701"/>
    <w:rsid w:val="00071AA2"/>
    <w:rsid w:val="00081A3F"/>
    <w:rsid w:val="00086DEC"/>
    <w:rsid w:val="000A0C5B"/>
    <w:rsid w:val="000A6482"/>
    <w:rsid w:val="000C283E"/>
    <w:rsid w:val="000C5D09"/>
    <w:rsid w:val="000C6FB8"/>
    <w:rsid w:val="000E1030"/>
    <w:rsid w:val="000E3B66"/>
    <w:rsid w:val="000F0DB8"/>
    <w:rsid w:val="00107E82"/>
    <w:rsid w:val="001123D5"/>
    <w:rsid w:val="00112F3E"/>
    <w:rsid w:val="00132087"/>
    <w:rsid w:val="00132480"/>
    <w:rsid w:val="00161226"/>
    <w:rsid w:val="00166FD4"/>
    <w:rsid w:val="00170BB3"/>
    <w:rsid w:val="001820EA"/>
    <w:rsid w:val="00191335"/>
    <w:rsid w:val="00192383"/>
    <w:rsid w:val="0019258A"/>
    <w:rsid w:val="001A7AE0"/>
    <w:rsid w:val="001B4149"/>
    <w:rsid w:val="001B4252"/>
    <w:rsid w:val="001C1F2C"/>
    <w:rsid w:val="001C4016"/>
    <w:rsid w:val="001C45EA"/>
    <w:rsid w:val="001D0AFA"/>
    <w:rsid w:val="001D11C1"/>
    <w:rsid w:val="001D2F95"/>
    <w:rsid w:val="001E0142"/>
    <w:rsid w:val="001E05DF"/>
    <w:rsid w:val="001E431C"/>
    <w:rsid w:val="001E4FD9"/>
    <w:rsid w:val="001E5523"/>
    <w:rsid w:val="001F1452"/>
    <w:rsid w:val="00203F69"/>
    <w:rsid w:val="00235B76"/>
    <w:rsid w:val="0024377A"/>
    <w:rsid w:val="00243D25"/>
    <w:rsid w:val="00251DCE"/>
    <w:rsid w:val="00252382"/>
    <w:rsid w:val="00262CC8"/>
    <w:rsid w:val="00265A47"/>
    <w:rsid w:val="002713FD"/>
    <w:rsid w:val="0027766A"/>
    <w:rsid w:val="0028208C"/>
    <w:rsid w:val="00283084"/>
    <w:rsid w:val="00292411"/>
    <w:rsid w:val="002930AB"/>
    <w:rsid w:val="002949F5"/>
    <w:rsid w:val="0029798A"/>
    <w:rsid w:val="002B204C"/>
    <w:rsid w:val="002B2BFA"/>
    <w:rsid w:val="002B4A85"/>
    <w:rsid w:val="002C4D33"/>
    <w:rsid w:val="002C6ED3"/>
    <w:rsid w:val="002E02E4"/>
    <w:rsid w:val="002E0D50"/>
    <w:rsid w:val="002E0D90"/>
    <w:rsid w:val="002E59F9"/>
    <w:rsid w:val="002F5552"/>
    <w:rsid w:val="0030768A"/>
    <w:rsid w:val="00320AB1"/>
    <w:rsid w:val="00321646"/>
    <w:rsid w:val="00342E2A"/>
    <w:rsid w:val="00344812"/>
    <w:rsid w:val="003477B7"/>
    <w:rsid w:val="00351E09"/>
    <w:rsid w:val="003656ED"/>
    <w:rsid w:val="00370753"/>
    <w:rsid w:val="00373806"/>
    <w:rsid w:val="003864E9"/>
    <w:rsid w:val="003964CA"/>
    <w:rsid w:val="003B186D"/>
    <w:rsid w:val="003C170E"/>
    <w:rsid w:val="003C5569"/>
    <w:rsid w:val="003C70B2"/>
    <w:rsid w:val="003D29D5"/>
    <w:rsid w:val="003D4D9A"/>
    <w:rsid w:val="0040066A"/>
    <w:rsid w:val="00426DC2"/>
    <w:rsid w:val="004340D5"/>
    <w:rsid w:val="00434E8C"/>
    <w:rsid w:val="00455203"/>
    <w:rsid w:val="0046370F"/>
    <w:rsid w:val="00473582"/>
    <w:rsid w:val="004958D5"/>
    <w:rsid w:val="00496B67"/>
    <w:rsid w:val="004A13A5"/>
    <w:rsid w:val="004A7CEB"/>
    <w:rsid w:val="004B04E2"/>
    <w:rsid w:val="004B5586"/>
    <w:rsid w:val="004C0FDC"/>
    <w:rsid w:val="004C5FF4"/>
    <w:rsid w:val="004D3E54"/>
    <w:rsid w:val="004E5946"/>
    <w:rsid w:val="004F0D45"/>
    <w:rsid w:val="00517345"/>
    <w:rsid w:val="00520565"/>
    <w:rsid w:val="0053014B"/>
    <w:rsid w:val="005375C1"/>
    <w:rsid w:val="0054427D"/>
    <w:rsid w:val="00544C03"/>
    <w:rsid w:val="00546952"/>
    <w:rsid w:val="00557FE6"/>
    <w:rsid w:val="005675CA"/>
    <w:rsid w:val="00570784"/>
    <w:rsid w:val="0059063E"/>
    <w:rsid w:val="0059560F"/>
    <w:rsid w:val="005A1D6E"/>
    <w:rsid w:val="005A3736"/>
    <w:rsid w:val="005A6F20"/>
    <w:rsid w:val="005C3F89"/>
    <w:rsid w:val="005C4E85"/>
    <w:rsid w:val="005C673B"/>
    <w:rsid w:val="005D6017"/>
    <w:rsid w:val="005E23BE"/>
    <w:rsid w:val="005E502A"/>
    <w:rsid w:val="005E7794"/>
    <w:rsid w:val="00603FC8"/>
    <w:rsid w:val="00612C35"/>
    <w:rsid w:val="00616822"/>
    <w:rsid w:val="00620C81"/>
    <w:rsid w:val="00622CFF"/>
    <w:rsid w:val="00637B2A"/>
    <w:rsid w:val="006449B1"/>
    <w:rsid w:val="006536BF"/>
    <w:rsid w:val="006550FA"/>
    <w:rsid w:val="0066212C"/>
    <w:rsid w:val="00673E99"/>
    <w:rsid w:val="00676730"/>
    <w:rsid w:val="006769B7"/>
    <w:rsid w:val="00686B69"/>
    <w:rsid w:val="0069504D"/>
    <w:rsid w:val="00695DA6"/>
    <w:rsid w:val="006A32F5"/>
    <w:rsid w:val="006A4F69"/>
    <w:rsid w:val="006A7E37"/>
    <w:rsid w:val="006B3EF2"/>
    <w:rsid w:val="006B6CB9"/>
    <w:rsid w:val="006C3BED"/>
    <w:rsid w:val="006D37F1"/>
    <w:rsid w:val="006D42AF"/>
    <w:rsid w:val="006D6410"/>
    <w:rsid w:val="006D70BC"/>
    <w:rsid w:val="006E24DA"/>
    <w:rsid w:val="006E7FA6"/>
    <w:rsid w:val="006F1794"/>
    <w:rsid w:val="006F5876"/>
    <w:rsid w:val="006F6550"/>
    <w:rsid w:val="007133FE"/>
    <w:rsid w:val="00741630"/>
    <w:rsid w:val="00746E23"/>
    <w:rsid w:val="00747EA8"/>
    <w:rsid w:val="0075351D"/>
    <w:rsid w:val="007650C2"/>
    <w:rsid w:val="00772C7B"/>
    <w:rsid w:val="00781A75"/>
    <w:rsid w:val="007835A1"/>
    <w:rsid w:val="0078792B"/>
    <w:rsid w:val="00791BAD"/>
    <w:rsid w:val="007951B3"/>
    <w:rsid w:val="007963F7"/>
    <w:rsid w:val="007A3873"/>
    <w:rsid w:val="007B3B5E"/>
    <w:rsid w:val="007C30D9"/>
    <w:rsid w:val="007F3FF8"/>
    <w:rsid w:val="00800EFF"/>
    <w:rsid w:val="008025EB"/>
    <w:rsid w:val="00802F6F"/>
    <w:rsid w:val="00807CF8"/>
    <w:rsid w:val="00824FF5"/>
    <w:rsid w:val="00833446"/>
    <w:rsid w:val="00834EE1"/>
    <w:rsid w:val="008377D3"/>
    <w:rsid w:val="00854E4B"/>
    <w:rsid w:val="00867D87"/>
    <w:rsid w:val="00874498"/>
    <w:rsid w:val="008752E3"/>
    <w:rsid w:val="008823F1"/>
    <w:rsid w:val="0088709B"/>
    <w:rsid w:val="008D1D91"/>
    <w:rsid w:val="008D5F96"/>
    <w:rsid w:val="008E3BE3"/>
    <w:rsid w:val="008E63EA"/>
    <w:rsid w:val="008F16E1"/>
    <w:rsid w:val="008F21BC"/>
    <w:rsid w:val="008F44C5"/>
    <w:rsid w:val="008F748B"/>
    <w:rsid w:val="0090034B"/>
    <w:rsid w:val="0092094D"/>
    <w:rsid w:val="009233AF"/>
    <w:rsid w:val="00955FF9"/>
    <w:rsid w:val="00965AFC"/>
    <w:rsid w:val="00967E88"/>
    <w:rsid w:val="00974D35"/>
    <w:rsid w:val="00977B65"/>
    <w:rsid w:val="009A52A3"/>
    <w:rsid w:val="009A6B47"/>
    <w:rsid w:val="009B4FEB"/>
    <w:rsid w:val="009B7894"/>
    <w:rsid w:val="009C5BC3"/>
    <w:rsid w:val="009D004D"/>
    <w:rsid w:val="009D5D6A"/>
    <w:rsid w:val="009E4CEE"/>
    <w:rsid w:val="009F16E4"/>
    <w:rsid w:val="009F7735"/>
    <w:rsid w:val="00A0484A"/>
    <w:rsid w:val="00A079C4"/>
    <w:rsid w:val="00A16E45"/>
    <w:rsid w:val="00A249C2"/>
    <w:rsid w:val="00A25C95"/>
    <w:rsid w:val="00A26560"/>
    <w:rsid w:val="00A55D47"/>
    <w:rsid w:val="00A571A8"/>
    <w:rsid w:val="00A67404"/>
    <w:rsid w:val="00A72214"/>
    <w:rsid w:val="00A745BC"/>
    <w:rsid w:val="00A74DA7"/>
    <w:rsid w:val="00A91D2C"/>
    <w:rsid w:val="00A92B86"/>
    <w:rsid w:val="00AB398A"/>
    <w:rsid w:val="00AC0682"/>
    <w:rsid w:val="00AC69C6"/>
    <w:rsid w:val="00AD2B64"/>
    <w:rsid w:val="00AD2DA8"/>
    <w:rsid w:val="00B008C2"/>
    <w:rsid w:val="00B14705"/>
    <w:rsid w:val="00B14B40"/>
    <w:rsid w:val="00B2097D"/>
    <w:rsid w:val="00B43109"/>
    <w:rsid w:val="00B43A71"/>
    <w:rsid w:val="00B46279"/>
    <w:rsid w:val="00B574F9"/>
    <w:rsid w:val="00B62654"/>
    <w:rsid w:val="00B72402"/>
    <w:rsid w:val="00B743A3"/>
    <w:rsid w:val="00BC2B1A"/>
    <w:rsid w:val="00BD390C"/>
    <w:rsid w:val="00BE1E01"/>
    <w:rsid w:val="00BE5170"/>
    <w:rsid w:val="00BE56C9"/>
    <w:rsid w:val="00BE7250"/>
    <w:rsid w:val="00BF35CB"/>
    <w:rsid w:val="00BF6320"/>
    <w:rsid w:val="00C05CA8"/>
    <w:rsid w:val="00C17C33"/>
    <w:rsid w:val="00C24688"/>
    <w:rsid w:val="00C30A4F"/>
    <w:rsid w:val="00C374B5"/>
    <w:rsid w:val="00C41C08"/>
    <w:rsid w:val="00C43D34"/>
    <w:rsid w:val="00C66938"/>
    <w:rsid w:val="00C77CD3"/>
    <w:rsid w:val="00C81C8F"/>
    <w:rsid w:val="00C91A60"/>
    <w:rsid w:val="00CB249F"/>
    <w:rsid w:val="00CB72FE"/>
    <w:rsid w:val="00CC2DCF"/>
    <w:rsid w:val="00CC43A4"/>
    <w:rsid w:val="00CD528A"/>
    <w:rsid w:val="00CF24FB"/>
    <w:rsid w:val="00CF2569"/>
    <w:rsid w:val="00CF4CCF"/>
    <w:rsid w:val="00D04AE2"/>
    <w:rsid w:val="00D139D6"/>
    <w:rsid w:val="00D162F4"/>
    <w:rsid w:val="00D22E55"/>
    <w:rsid w:val="00D256FD"/>
    <w:rsid w:val="00D7095F"/>
    <w:rsid w:val="00D7740B"/>
    <w:rsid w:val="00DA085B"/>
    <w:rsid w:val="00DB0D40"/>
    <w:rsid w:val="00DB19F9"/>
    <w:rsid w:val="00DC6330"/>
    <w:rsid w:val="00DD3582"/>
    <w:rsid w:val="00E024F5"/>
    <w:rsid w:val="00E06FA1"/>
    <w:rsid w:val="00E444CD"/>
    <w:rsid w:val="00E7034C"/>
    <w:rsid w:val="00E828B3"/>
    <w:rsid w:val="00E9673A"/>
    <w:rsid w:val="00E974C0"/>
    <w:rsid w:val="00EA0C80"/>
    <w:rsid w:val="00EA1B80"/>
    <w:rsid w:val="00EA42DD"/>
    <w:rsid w:val="00EA53D8"/>
    <w:rsid w:val="00EA6739"/>
    <w:rsid w:val="00EB0ADC"/>
    <w:rsid w:val="00EB3383"/>
    <w:rsid w:val="00EB7D83"/>
    <w:rsid w:val="00EC0282"/>
    <w:rsid w:val="00EF13E4"/>
    <w:rsid w:val="00EF3E65"/>
    <w:rsid w:val="00F076C8"/>
    <w:rsid w:val="00F077EF"/>
    <w:rsid w:val="00F25DE2"/>
    <w:rsid w:val="00F25E9E"/>
    <w:rsid w:val="00F265A2"/>
    <w:rsid w:val="00F3229D"/>
    <w:rsid w:val="00F46908"/>
    <w:rsid w:val="00F73A45"/>
    <w:rsid w:val="00F74C90"/>
    <w:rsid w:val="00F931CB"/>
    <w:rsid w:val="00F95DD0"/>
    <w:rsid w:val="00FA321D"/>
    <w:rsid w:val="00FB0344"/>
    <w:rsid w:val="00FB7A33"/>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CC2DCF"/>
    <w:pPr>
      <w:spacing w:after="200"/>
    </w:pPr>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6C3BED"/>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6C3BED"/>
    <w:rPr>
      <w:rFonts w:ascii="Consolas" w:eastAsia="Arial" w:hAnsi="Consolas" w:cs="Consolas"/>
      <w:sz w:val="18"/>
      <w:shd w:val="pct50" w:color="C1E4F5" w:fill="auto"/>
      <w:lang w:val="en"/>
    </w:rPr>
  </w:style>
  <w:style w:type="character" w:styleId="PlaceholderText">
    <w:name w:val="Placeholder Text"/>
    <w:basedOn w:val="DefaultParagraphFont"/>
    <w:uiPriority w:val="99"/>
    <w:semiHidden/>
    <w:rsid w:val="005E77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434054832">
      <w:bodyDiv w:val="1"/>
      <w:marLeft w:val="0"/>
      <w:marRight w:val="0"/>
      <w:marTop w:val="0"/>
      <w:marBottom w:val="0"/>
      <w:divBdr>
        <w:top w:val="none" w:sz="0" w:space="0" w:color="auto"/>
        <w:left w:val="none" w:sz="0" w:space="0" w:color="auto"/>
        <w:bottom w:val="none" w:sz="0" w:space="0" w:color="auto"/>
        <w:right w:val="none" w:sz="0" w:space="0" w:color="auto"/>
      </w:divBdr>
    </w:div>
    <w:div w:id="486357798">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910428150">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603342547">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 w:id="2139912898">
      <w:bodyDiv w:val="1"/>
      <w:marLeft w:val="0"/>
      <w:marRight w:val="0"/>
      <w:marTop w:val="0"/>
      <w:marBottom w:val="0"/>
      <w:divBdr>
        <w:top w:val="none" w:sz="0" w:space="0" w:color="auto"/>
        <w:left w:val="none" w:sz="0" w:space="0" w:color="auto"/>
        <w:bottom w:val="none" w:sz="0" w:space="0" w:color="auto"/>
        <w:right w:val="none" w:sz="0" w:space="0" w:color="auto"/>
      </w:divBdr>
    </w:div>
    <w:div w:id="214233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6</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5</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2</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3</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1</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4</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50AB2462-75EC-492C-ACD6-4C60BDA34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17</Pages>
  <Words>4375</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123</cp:revision>
  <dcterms:created xsi:type="dcterms:W3CDTF">2026-03-07T03:23:00Z</dcterms:created>
  <dcterms:modified xsi:type="dcterms:W3CDTF">2026-03-07T16:47:00Z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