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FD22F" w14:textId="7508DA45" w:rsidR="006A4F69" w:rsidRDefault="002E0D90" w:rsidP="002E0D90">
      <w:pPr>
        <w:pStyle w:val="h1"/>
      </w:pPr>
      <w:r>
        <w:t xml:space="preserve">Chapter </w:t>
      </w:r>
      <w:r w:rsidR="0096358B">
        <w:t>7</w:t>
      </w:r>
    </w:p>
    <w:p w14:paraId="517F1C41" w14:textId="390555E9" w:rsidR="002E0D90" w:rsidRPr="00CF4CCF" w:rsidRDefault="0096358B" w:rsidP="002E0D90">
      <w:pPr>
        <w:pStyle w:val="h1"/>
        <w:rPr>
          <w:sz w:val="24"/>
        </w:rPr>
      </w:pPr>
      <w:r w:rsidRPr="0096358B">
        <w:t>Agent Architectures in Secure Environments</w:t>
      </w:r>
    </w:p>
    <w:p w14:paraId="146BD8E3" w14:textId="1A4EE55D" w:rsidR="002E0D90" w:rsidRDefault="0096358B" w:rsidP="002E0D90">
      <w:pPr>
        <w:pStyle w:val="h1"/>
      </w:pPr>
      <w:r>
        <w:t>Paulo H Leocadio</w:t>
      </w:r>
    </w:p>
    <w:p w14:paraId="086C25D4" w14:textId="77777777" w:rsidR="002E0D90" w:rsidRPr="002E0D90" w:rsidRDefault="002E0D90">
      <w:pPr>
        <w:rPr>
          <w:sz w:val="20"/>
          <w:szCs w:val="20"/>
          <w:lang w:val="en-GB"/>
        </w:rPr>
      </w:pPr>
    </w:p>
    <w:p w14:paraId="37F3F3AF" w14:textId="77777777" w:rsidR="002E0D90" w:rsidRPr="002E0D90" w:rsidRDefault="002E0D90">
      <w:pPr>
        <w:rPr>
          <w:sz w:val="20"/>
          <w:szCs w:val="20"/>
          <w:lang w:val="en-GB"/>
        </w:rPr>
      </w:pPr>
    </w:p>
    <w:p w14:paraId="24D846DC" w14:textId="77777777" w:rsidR="002E0D90" w:rsidRPr="002E0D90" w:rsidRDefault="002E0D90">
      <w:pPr>
        <w:rPr>
          <w:sz w:val="20"/>
          <w:szCs w:val="20"/>
          <w:lang w:val="en-GB"/>
        </w:rPr>
      </w:pPr>
    </w:p>
    <w:p w14:paraId="182327F0" w14:textId="5D607598" w:rsidR="002E0D90" w:rsidRPr="002E0D90" w:rsidRDefault="00FD3E1A" w:rsidP="0096358B">
      <w:pPr>
        <w:pStyle w:val="Secondaryheadings"/>
      </w:pPr>
      <w:r>
        <w:t>Introduction</w:t>
      </w:r>
    </w:p>
    <w:p w14:paraId="17BFD6A4" w14:textId="77777777" w:rsidR="002E0D90" w:rsidRPr="002E0D90" w:rsidRDefault="002E0D90">
      <w:pPr>
        <w:rPr>
          <w:sz w:val="18"/>
          <w:szCs w:val="18"/>
          <w:lang w:val="en-GB"/>
        </w:rPr>
      </w:pPr>
    </w:p>
    <w:p w14:paraId="359A0AC0" w14:textId="77777777" w:rsidR="002E0D90" w:rsidRDefault="002E0D90" w:rsidP="0096358B">
      <w:pPr>
        <w:pStyle w:val="intro"/>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136246DB" w14:textId="5FFD0883" w:rsidR="00955AA0" w:rsidRDefault="00955AA0" w:rsidP="0096358B">
      <w:pPr>
        <w:pStyle w:val="intro"/>
      </w:pPr>
      <w:r w:rsidRPr="00955AA0">
        <w:rPr>
          <w:lang w:val="en-US"/>
        </w:rPr>
        <w:t>Recent discourse on agentic AI increasingly emphasizes mechanisms such as prompt chaining, shared context protocols, and multi-agent coordination layers. While terminology and implementations vary</w:t>
      </w:r>
      <w:r w:rsidR="00B15298">
        <w:rPr>
          <w:lang w:val="en-US"/>
        </w:rPr>
        <w:t xml:space="preserve">, </w:t>
      </w:r>
      <w:r w:rsidRPr="00955AA0">
        <w:rPr>
          <w:lang w:val="en-US"/>
        </w:rPr>
        <w:t>often framed through emerging market patterns (e.g., model context mediation protocols and related orchestration frameworks)</w:t>
      </w:r>
      <w:r w:rsidR="00B15298">
        <w:rPr>
          <w:lang w:val="en-US"/>
        </w:rPr>
        <w:t>, t</w:t>
      </w:r>
      <w:r w:rsidR="00484850">
        <w:rPr>
          <w:lang w:val="en-US"/>
        </w:rPr>
        <w:t>hese discussions converge on a common architectural challenge: enabling AI systems to exchange, consolidate, and act on</w:t>
      </w:r>
      <w:r w:rsidRPr="00955AA0">
        <w:rPr>
          <w:lang w:val="en-US"/>
        </w:rPr>
        <w:t xml:space="preserve"> information across distributed environments without eroding governance, security, or accountability. This chapter treats such mechanisms not as trends or products, but as structural responses to that challenge, examining how agent architectures are composed, constrained, and deployed in secure operational settings.</w:t>
      </w:r>
    </w:p>
    <w:p w14:paraId="719B31ED" w14:textId="77777777" w:rsidR="002E0D90" w:rsidRPr="002E0D90" w:rsidRDefault="002E0D90" w:rsidP="002E0D90">
      <w:pPr>
        <w:ind w:left="284" w:right="284"/>
        <w:jc w:val="both"/>
        <w:rPr>
          <w:sz w:val="18"/>
          <w:szCs w:val="18"/>
          <w:lang w:val="en-GB"/>
        </w:rPr>
      </w:pPr>
    </w:p>
    <w:p w14:paraId="69D74A8E" w14:textId="77777777" w:rsidR="002E0D90" w:rsidRPr="002E0D90" w:rsidRDefault="002E0D90" w:rsidP="0096358B">
      <w:pPr>
        <w:pStyle w:val="Quotations"/>
      </w:pPr>
      <w:r w:rsidRPr="002E0D90">
        <w:t>Quotations (9 point, indented .5cm left and right). Quotations (9 point, indented .5cm left and right). Quotations (9 point, indented .5cm left and right). Quotations (9 point, indented .5cm left and right). Quotations (9 point, indented .5cm left and right).</w:t>
      </w:r>
    </w:p>
    <w:p w14:paraId="0354145D" w14:textId="77777777" w:rsidR="002E0D90" w:rsidRPr="002E0D90" w:rsidRDefault="002E0D90" w:rsidP="002E0D90">
      <w:pPr>
        <w:rPr>
          <w:lang w:val="en-GB"/>
        </w:rPr>
      </w:pPr>
    </w:p>
    <w:p w14:paraId="73C5A446" w14:textId="02DBBD48" w:rsidR="00A36E21" w:rsidRPr="00A36E21" w:rsidRDefault="00A36E21" w:rsidP="00A36E21">
      <w:pPr>
        <w:pStyle w:val="Secondaryheadings"/>
      </w:pPr>
      <w:r w:rsidRPr="00A36E21">
        <w:t xml:space="preserve">7.1 From </w:t>
      </w:r>
      <w:r w:rsidR="007148DC" w:rsidRPr="00A36E21">
        <w:t>diffusers to autonomous threat agents</w:t>
      </w:r>
    </w:p>
    <w:p w14:paraId="003C08B8" w14:textId="77777777" w:rsidR="00A36E21" w:rsidRPr="00A36E21" w:rsidRDefault="00A36E21" w:rsidP="00A36E21">
      <w:pPr>
        <w:pStyle w:val="maintext"/>
        <w:rPr>
          <w:lang w:val="en-US"/>
        </w:rPr>
      </w:pPr>
      <w:r w:rsidRPr="00A36E21">
        <w:rPr>
          <w:lang w:val="en-US"/>
        </w:rPr>
        <w:t xml:space="preserve">Diffusion models, by themselves, are not agents. They do not pursue objectives, maintain state, or act upon an environment. Yet in secure operational settings, diffusion-based models increasingly function as </w:t>
      </w:r>
      <w:r w:rsidRPr="00A36E21">
        <w:rPr>
          <w:i/>
          <w:iCs/>
          <w:lang w:val="en-US"/>
        </w:rPr>
        <w:t>perceptual and generative components</w:t>
      </w:r>
      <w:r w:rsidRPr="00A36E21">
        <w:rPr>
          <w:lang w:val="en-US"/>
        </w:rPr>
        <w:t xml:space="preserve"> inside larger agentic systems. </w:t>
      </w:r>
      <w:r w:rsidRPr="00A36E21">
        <w:rPr>
          <w:lang w:val="en-US"/>
        </w:rPr>
        <w:lastRenderedPageBreak/>
        <w:t>Understanding this transition—from model to agent—requires separating generative capability from decision authority.</w:t>
      </w:r>
    </w:p>
    <w:p w14:paraId="1A2734EA" w14:textId="09072C0C" w:rsidR="00A36E21" w:rsidRPr="00A36E21" w:rsidRDefault="00A36E21" w:rsidP="00A36E21">
      <w:pPr>
        <w:pStyle w:val="maintext"/>
        <w:rPr>
          <w:lang w:val="en-US"/>
        </w:rPr>
      </w:pPr>
      <w:r w:rsidRPr="00A36E21">
        <w:rPr>
          <w:lang w:val="en-US"/>
        </w:rPr>
        <w:t xml:space="preserve">At the model level, diffusion architectures excel at structured generation: reconstructing signals, simulating counterfactuals, synthesizing plausible futures, or denoising incomplete observations. In security contexts, these capabilities are valuable precisely because they do not commit to action. Diffusers can generate threat hypotheses, simulate attack progressions, or propose remediation paths without executing them. This makes them </w:t>
      </w:r>
      <w:r w:rsidR="00606363">
        <w:rPr>
          <w:lang w:val="en-US"/>
        </w:rPr>
        <w:t>well-suited to serve</w:t>
      </w:r>
      <w:r w:rsidRPr="00A36E21">
        <w:rPr>
          <w:lang w:val="en-US"/>
        </w:rPr>
        <w:t xml:space="preserve"> as exploratory or analytical subsystems within a broader control loop.</w:t>
      </w:r>
    </w:p>
    <w:p w14:paraId="6D25C614" w14:textId="77777777" w:rsidR="00A36E21" w:rsidRPr="00A36E21" w:rsidRDefault="00A36E21" w:rsidP="00A36E21">
      <w:pPr>
        <w:pStyle w:val="maintext"/>
        <w:rPr>
          <w:lang w:val="en-US"/>
        </w:rPr>
      </w:pPr>
      <w:r w:rsidRPr="00A36E21">
        <w:rPr>
          <w:lang w:val="en-US"/>
        </w:rPr>
        <w:t>Agency emerges only when these generative outputs are embedded within a perception–decision–action pipeline governed by explicit policy. An autonomous threat agent is not defined by its use of a large or sophisticated model, but by its ability to (1) observe an environment, (2) interpret observations in context, (3) select actions aligned with objectives and constraints, and (4) execute or recommend those actions under bounded authority. Diffusion models contribute to steps (1) and (2), but they do not, on their own, satisfy the requirements of agency.</w:t>
      </w:r>
    </w:p>
    <w:p w14:paraId="5D2CEA00" w14:textId="3A625685" w:rsidR="00A36E21" w:rsidRPr="00A36E21" w:rsidRDefault="00A36E21" w:rsidP="00A36E21">
      <w:pPr>
        <w:pStyle w:val="maintext"/>
        <w:rPr>
          <w:lang w:val="en-US"/>
        </w:rPr>
      </w:pPr>
      <w:r w:rsidRPr="00A36E21">
        <w:rPr>
          <w:lang w:val="en-US"/>
        </w:rPr>
        <w:t>This distinction is critical in secure environments, where unbounded generative behavior is a liability rather than an asset. Autonomous agents operating in security operations centers, incident response systems, or critical infrastructure must be deterministic at the point of action, even if they rely on probabilistic reasoning upstream. Diffusion-based components</w:t>
      </w:r>
      <w:r w:rsidR="00583FC5">
        <w:rPr>
          <w:lang w:val="en-US"/>
        </w:rPr>
        <w:t>, therefore,</w:t>
      </w:r>
      <w:r w:rsidRPr="00A36E21">
        <w:rPr>
          <w:lang w:val="en-US"/>
        </w:rPr>
        <w:t xml:space="preserve"> operate most safely in </w:t>
      </w:r>
      <w:r w:rsidRPr="00A36E21">
        <w:rPr>
          <w:i/>
          <w:iCs/>
          <w:lang w:val="en-US"/>
        </w:rPr>
        <w:t>proposal space</w:t>
      </w:r>
      <w:r w:rsidRPr="00A36E21">
        <w:rPr>
          <w:lang w:val="en-US"/>
        </w:rPr>
        <w:t>: generating candidate interpretations or response options that are subsequently filtered, ranked, or vetoed by policy-driven decision modules.</w:t>
      </w:r>
    </w:p>
    <w:p w14:paraId="1F19F445" w14:textId="0CDB0A4A" w:rsidR="00A36E21" w:rsidRPr="00A36E21" w:rsidRDefault="00A36E21" w:rsidP="00A36E21">
      <w:pPr>
        <w:pStyle w:val="maintext"/>
        <w:rPr>
          <w:lang w:val="en-US"/>
        </w:rPr>
      </w:pPr>
      <w:r w:rsidRPr="00A36E21">
        <w:rPr>
          <w:lang w:val="en-US"/>
        </w:rPr>
        <w:t xml:space="preserve">As systems evolve toward autonomy, the architectural question shifts from </w:t>
      </w:r>
      <w:r w:rsidR="000017AA">
        <w:rPr>
          <w:lang w:val="en-US"/>
        </w:rPr>
        <w:t>"</w:t>
      </w:r>
      <w:r w:rsidRPr="00A36E21">
        <w:rPr>
          <w:lang w:val="en-US"/>
        </w:rPr>
        <w:t>Which model is used?</w:t>
      </w:r>
      <w:r w:rsidR="00583FC5">
        <w:rPr>
          <w:lang w:val="en-US"/>
        </w:rPr>
        <w:t>"</w:t>
      </w:r>
      <w:r w:rsidRPr="00A36E21">
        <w:rPr>
          <w:lang w:val="en-US"/>
        </w:rPr>
        <w:t xml:space="preserve"> to </w:t>
      </w:r>
      <w:r w:rsidR="00583FC5">
        <w:rPr>
          <w:lang w:val="en-US"/>
        </w:rPr>
        <w:t>"</w:t>
      </w:r>
      <w:r w:rsidRPr="00A36E21">
        <w:rPr>
          <w:lang w:val="en-US"/>
        </w:rPr>
        <w:t>Where is authority assigned?</w:t>
      </w:r>
      <w:r w:rsidR="000017AA">
        <w:rPr>
          <w:lang w:val="en-US"/>
        </w:rPr>
        <w:t>"</w:t>
      </w:r>
      <w:r w:rsidRPr="00A36E21">
        <w:rPr>
          <w:lang w:val="en-US"/>
        </w:rPr>
        <w:t xml:space="preserve"> In mature agent architectures, diffusion models are deliberately isolated from execution paths. They may inform decision-making, but they do not </w:t>
      </w:r>
      <w:r w:rsidR="000017AA">
        <w:rPr>
          <w:lang w:val="en-US"/>
        </w:rPr>
        <w:t>directly trigger containment actions, network reconfigurations, or enforcement measures</w:t>
      </w:r>
      <w:r w:rsidRPr="00A36E21">
        <w:rPr>
          <w:lang w:val="en-US"/>
        </w:rPr>
        <w:t>. This separation preserves the benefits of generative flexibility while preventing stochastic outputs from translating into irreversible operational consequences.</w:t>
      </w:r>
    </w:p>
    <w:p w14:paraId="41BCAE9E" w14:textId="1E0773B5" w:rsidR="00A36E21" w:rsidRPr="00A36E21" w:rsidRDefault="00A36E21" w:rsidP="00A36E21">
      <w:pPr>
        <w:pStyle w:val="maintext"/>
        <w:rPr>
          <w:lang w:val="en-US"/>
        </w:rPr>
      </w:pPr>
      <w:r w:rsidRPr="00A36E21">
        <w:rPr>
          <w:lang w:val="en-US"/>
        </w:rPr>
        <w:t>Another defining characteristic of autonomous threat agents is persistence. Unlike stateless inference services, agents maintain internal representations of prior observations, decisions, and outcomes. Diffusion models can assist in updating these representations</w:t>
      </w:r>
      <w:r w:rsidR="000017AA">
        <w:rPr>
          <w:lang w:val="en-US"/>
        </w:rPr>
        <w:t xml:space="preserve"> </w:t>
      </w:r>
      <w:r w:rsidRPr="00A36E21">
        <w:rPr>
          <w:lang w:val="en-US"/>
        </w:rPr>
        <w:t>by reconstructing degraded signals or extrapolating likely trajectories</w:t>
      </w:r>
      <w:r w:rsidR="000017AA">
        <w:rPr>
          <w:lang w:val="en-US"/>
        </w:rPr>
        <w:t xml:space="preserve">, </w:t>
      </w:r>
      <w:r w:rsidRPr="00A36E21">
        <w:rPr>
          <w:lang w:val="en-US"/>
        </w:rPr>
        <w:t>but memory, not generation, anchors agency. Without explicit state management, a system may appear intelligent while remaining fundamentally reactive.</w:t>
      </w:r>
    </w:p>
    <w:p w14:paraId="7E83BC09" w14:textId="2BA5D0A3" w:rsidR="00A36E21" w:rsidRPr="00A36E21" w:rsidRDefault="00A36E21" w:rsidP="00A36E21">
      <w:pPr>
        <w:pStyle w:val="maintext"/>
        <w:rPr>
          <w:lang w:val="en-US"/>
        </w:rPr>
      </w:pPr>
      <w:r w:rsidRPr="00A36E21">
        <w:rPr>
          <w:lang w:val="en-US"/>
        </w:rPr>
        <w:t>The transition from diffusers to autonomous agents</w:t>
      </w:r>
      <w:r w:rsidR="006772E1">
        <w:rPr>
          <w:lang w:val="en-US"/>
        </w:rPr>
        <w:t>, therefore,</w:t>
      </w:r>
      <w:r w:rsidRPr="00A36E21">
        <w:rPr>
          <w:lang w:val="en-US"/>
        </w:rPr>
        <w:t xml:space="preserve"> does not occur through scaling models or chaining prompts alone. It occurs through the introduction of architectural boundaries: memory substrates that persist across interactions, policy layers that constrain action, and control planes that determine when automation yields to human authority. In secure environments, autonomy is not granted wholesale; it is incrementally assembled through constrained delegation.</w:t>
      </w:r>
    </w:p>
    <w:p w14:paraId="1ED1A0E7" w14:textId="198580FE" w:rsidR="00A36E21" w:rsidRPr="00A36E21" w:rsidRDefault="00A36E21" w:rsidP="00A36E21">
      <w:pPr>
        <w:pStyle w:val="maintext"/>
        <w:rPr>
          <w:lang w:val="en-US"/>
        </w:rPr>
      </w:pPr>
      <w:r w:rsidRPr="00A36E21">
        <w:rPr>
          <w:lang w:val="en-US"/>
        </w:rPr>
        <w:t xml:space="preserve">Seen in this light, diffusion models are best understood as </w:t>
      </w:r>
      <w:r w:rsidRPr="00A36E21">
        <w:rPr>
          <w:i/>
          <w:iCs/>
          <w:lang w:val="en-US"/>
        </w:rPr>
        <w:t>capability amplifiers</w:t>
      </w:r>
      <w:r w:rsidR="006772E1">
        <w:rPr>
          <w:lang w:val="en-US"/>
        </w:rPr>
        <w:t xml:space="preserve"> rather than</w:t>
      </w:r>
      <w:r w:rsidRPr="00A36E21">
        <w:rPr>
          <w:lang w:val="en-US"/>
        </w:rPr>
        <w:t xml:space="preserve"> decision-makers. They expand the space of what an agent can consider without expanding the space of what it is allowed to do. This distinction underpins the design philosophy of secure agent architectures: maximize cognitive reach while minimizing uncontrolled execution.</w:t>
      </w:r>
    </w:p>
    <w:p w14:paraId="6B168CAA" w14:textId="77777777" w:rsidR="00A36E21" w:rsidRPr="00A36E21" w:rsidRDefault="00A36E21" w:rsidP="00A36E21">
      <w:pPr>
        <w:pStyle w:val="maintext"/>
        <w:rPr>
          <w:lang w:val="en-US"/>
        </w:rPr>
      </w:pPr>
      <w:r w:rsidRPr="00A36E21">
        <w:rPr>
          <w:b/>
          <w:bCs/>
          <w:lang w:val="en-US"/>
        </w:rPr>
        <w:t>Sources.</w:t>
      </w:r>
      <w:r w:rsidRPr="00A36E21">
        <w:rPr>
          <w:lang w:val="en-US"/>
        </w:rPr>
        <w:t xml:space="preserve"> </w:t>
      </w:r>
      <w:r w:rsidRPr="00A36E21">
        <w:rPr>
          <w:i/>
          <w:iCs/>
          <w:lang w:val="en-US"/>
        </w:rPr>
        <w:t>This section draws on prior work by Park et al. (2023), Mialon et al. (2023), and Du et al. (2023)</w:t>
      </w:r>
      <w:r w:rsidRPr="00A36E21">
        <w:rPr>
          <w:lang w:val="en-US"/>
        </w:rPr>
        <w:t>.</w:t>
      </w:r>
    </w:p>
    <w:p w14:paraId="32529D93" w14:textId="3B5FED4B" w:rsidR="002E5ACD" w:rsidRPr="002E5ACD" w:rsidRDefault="002E5ACD" w:rsidP="002E5ACD">
      <w:pPr>
        <w:pStyle w:val="Secondaryheadings"/>
      </w:pPr>
      <w:r w:rsidRPr="002E5ACD">
        <w:t>7.2 Prompt chaining, vector memory, and distributed policy enforcement</w:t>
      </w:r>
    </w:p>
    <w:p w14:paraId="2673E081" w14:textId="77777777" w:rsidR="002E5ACD" w:rsidRPr="002E5ACD" w:rsidRDefault="002E5ACD" w:rsidP="002E5ACD">
      <w:pPr>
        <w:pStyle w:val="maintext"/>
        <w:rPr>
          <w:lang w:val="en-US"/>
        </w:rPr>
      </w:pPr>
      <w:r w:rsidRPr="002E5ACD">
        <w:rPr>
          <w:lang w:val="en-US"/>
        </w:rPr>
        <w:t>Modern agent architectures derive their apparent intelligence not from a single model invocation, but from the coordination of multiple subsystems that together impose structure, continuity, and constraint. Among these, prompt chaining, vector-based memory, and distributed policy enforcement form the core mechanisms through which agents reason, remember, and remain governable.</w:t>
      </w:r>
    </w:p>
    <w:p w14:paraId="46786F02" w14:textId="52E49334" w:rsidR="002E5ACD" w:rsidRPr="002E5ACD" w:rsidRDefault="002E5ACD" w:rsidP="002E5ACD">
      <w:pPr>
        <w:pStyle w:val="maintext"/>
        <w:rPr>
          <w:lang w:val="en-US"/>
        </w:rPr>
      </w:pPr>
      <w:r w:rsidRPr="002E5ACD">
        <w:rPr>
          <w:lang w:val="en-US"/>
        </w:rPr>
        <w:t xml:space="preserve">Prompt chaining is best understood as an explicit control structure rather than an internal reasoning process. In secure environments, prompts do not represent thoughts; they encode </w:t>
      </w:r>
      <w:r w:rsidRPr="002E5ACD">
        <w:rPr>
          <w:i/>
          <w:iCs/>
          <w:lang w:val="en-US"/>
        </w:rPr>
        <w:t>transitions between decision states</w:t>
      </w:r>
      <w:r w:rsidRPr="002E5ACD">
        <w:rPr>
          <w:lang w:val="en-US"/>
        </w:rPr>
        <w:t xml:space="preserve">. Each prompt invocation defines a bounded context, specifies an allowable operation, and produces an intermediate artifact that can be inspected, logged, or rejected. Chaining these prompts creates a deterministic execution graph layered </w:t>
      </w:r>
      <w:r>
        <w:rPr>
          <w:lang w:val="en-US"/>
        </w:rPr>
        <w:t>on top of probabilistic inference, allowing complex behavior to emerge without sacrificing</w:t>
      </w:r>
      <w:r w:rsidRPr="002E5ACD">
        <w:rPr>
          <w:lang w:val="en-US"/>
        </w:rPr>
        <w:t xml:space="preserve"> control.</w:t>
      </w:r>
    </w:p>
    <w:p w14:paraId="154777C5" w14:textId="77777777" w:rsidR="002E5ACD" w:rsidRPr="002E5ACD" w:rsidRDefault="002E5ACD" w:rsidP="002E5ACD">
      <w:pPr>
        <w:pStyle w:val="maintext"/>
        <w:rPr>
          <w:lang w:val="en-US"/>
        </w:rPr>
      </w:pPr>
      <w:r w:rsidRPr="002E5ACD">
        <w:rPr>
          <w:lang w:val="en-US"/>
        </w:rPr>
        <w:t>This framing is especially important in security-critical systems, where implicit or self-modifying reasoning paths are unacceptable. Prompt chains must be externally defined, auditable, and versioned in the same manner as policy logic. When treated as infrastructure rather than cognition, prompt chains become a means of decomposing decisions into enforceable steps rather than a mechanism for unconstrained deliberation.</w:t>
      </w:r>
    </w:p>
    <w:p w14:paraId="71CA8473" w14:textId="77777777" w:rsidR="002E5ACD" w:rsidRPr="002E5ACD" w:rsidRDefault="002E5ACD" w:rsidP="002E5ACD">
      <w:pPr>
        <w:pStyle w:val="maintext"/>
        <w:rPr>
          <w:lang w:val="en-US"/>
        </w:rPr>
      </w:pPr>
      <w:r w:rsidRPr="002E5ACD">
        <w:rPr>
          <w:lang w:val="en-US"/>
        </w:rPr>
        <w:t>Memory introduces a different set of architectural concerns. Stateless inference systems respond only to their immediate inputs; agents, by contrast, must persist and retrieve contextual information across interactions. Vector-based memory systems provide a practical solution by externalizing state into queryable embeddings that can be selectively recalled. This approach avoids the brittleness of monolithic context windows while enabling agents to ground decisions in historical patterns, prior incidents, or accumulated observations.</w:t>
      </w:r>
    </w:p>
    <w:p w14:paraId="01481F5A" w14:textId="097A9168" w:rsidR="002E5ACD" w:rsidRPr="002E5ACD" w:rsidRDefault="002E5ACD" w:rsidP="002E5ACD">
      <w:pPr>
        <w:pStyle w:val="maintext"/>
        <w:rPr>
          <w:lang w:val="en-US"/>
        </w:rPr>
      </w:pPr>
      <w:r w:rsidRPr="002E5ACD">
        <w:rPr>
          <w:lang w:val="en-US"/>
        </w:rPr>
        <w:t>However, memory is also a primary attack surface. In secure environments, vector stores must be treated as governed data assets rather than neutral caches. Memory insertion, retrieval, and expiration policies determine not only what an agent can recall</w:t>
      </w:r>
      <w:r w:rsidR="0064005A">
        <w:rPr>
          <w:lang w:val="en-US"/>
        </w:rPr>
        <w:t xml:space="preserve"> but also what it is permitted</w:t>
      </w:r>
      <w:r w:rsidRPr="002E5ACD">
        <w:rPr>
          <w:lang w:val="en-US"/>
        </w:rPr>
        <w:t xml:space="preserve"> to remember. Without constraints, vector memory can amplify bias, encode adversarial artifacts, or preserve outdated assumptions long after operational conditions have changed.</w:t>
      </w:r>
    </w:p>
    <w:p w14:paraId="46E75EA4" w14:textId="0669AD83" w:rsidR="002E5ACD" w:rsidRPr="002E5ACD" w:rsidRDefault="002E5ACD" w:rsidP="002E5ACD">
      <w:pPr>
        <w:pStyle w:val="maintext"/>
        <w:rPr>
          <w:lang w:val="en-US"/>
        </w:rPr>
      </w:pPr>
      <w:r w:rsidRPr="002E5ACD">
        <w:rPr>
          <w:lang w:val="en-US"/>
        </w:rPr>
        <w:t>Effective agent architectures</w:t>
      </w:r>
      <w:r w:rsidR="0064005A">
        <w:rPr>
          <w:lang w:val="en-US"/>
        </w:rPr>
        <w:t>, therefore,</w:t>
      </w:r>
      <w:r w:rsidRPr="002E5ACD">
        <w:rPr>
          <w:lang w:val="en-US"/>
        </w:rPr>
        <w:t xml:space="preserve"> impose strict boundaries on memory scope. Retrieval is filtered through relevance thresholds and policy checks; insertion is limited to sanctioned events; and decay mechanisms ensure that obsolete context does not silently influence future decisions. Memory, in this sense, is not intelligence</w:t>
      </w:r>
      <w:r w:rsidR="0064005A">
        <w:rPr>
          <w:lang w:val="en-US"/>
        </w:rPr>
        <w:t xml:space="preserve">; </w:t>
      </w:r>
      <w:r w:rsidRPr="002E5ACD">
        <w:rPr>
          <w:lang w:val="en-US"/>
        </w:rPr>
        <w:t xml:space="preserve">it is </w:t>
      </w:r>
      <w:r w:rsidR="0064005A">
        <w:rPr>
          <w:lang w:val="en-US"/>
        </w:rPr>
        <w:t xml:space="preserve">a </w:t>
      </w:r>
      <w:r w:rsidRPr="002E5ACD">
        <w:rPr>
          <w:i/>
          <w:iCs/>
          <w:lang w:val="en-US"/>
        </w:rPr>
        <w:t>delegated state</w:t>
      </w:r>
      <w:r w:rsidRPr="002E5ACD">
        <w:rPr>
          <w:lang w:val="en-US"/>
        </w:rPr>
        <w:t>, subject to the same governance requirements as logs or configuration data.</w:t>
      </w:r>
    </w:p>
    <w:p w14:paraId="35269418" w14:textId="03C3CFB7" w:rsidR="002E5ACD" w:rsidRPr="002E5ACD" w:rsidRDefault="002E5ACD" w:rsidP="002E5ACD">
      <w:pPr>
        <w:pStyle w:val="maintext"/>
        <w:rPr>
          <w:lang w:val="en-US"/>
        </w:rPr>
      </w:pPr>
      <w:r w:rsidRPr="002E5ACD">
        <w:rPr>
          <w:lang w:val="en-US"/>
        </w:rPr>
        <w:t xml:space="preserve">Policy enforcement provides the final </w:t>
      </w:r>
      <w:r w:rsidR="0064005A">
        <w:rPr>
          <w:lang w:val="en-US"/>
        </w:rPr>
        <w:t>layer of stabilization</w:t>
      </w:r>
      <w:r w:rsidRPr="002E5ACD">
        <w:rPr>
          <w:lang w:val="en-US"/>
        </w:rPr>
        <w:t>. In distributed agent systems, no single component should possess unilateral authority to act. Policies must be enforced across execution boundaries</w:t>
      </w:r>
      <w:r w:rsidR="0064005A">
        <w:rPr>
          <w:lang w:val="en-US"/>
        </w:rPr>
        <w:t xml:space="preserve"> to ensure that decisions remain consistent </w:t>
      </w:r>
      <w:r w:rsidRPr="002E5ACD">
        <w:rPr>
          <w:lang w:val="en-US"/>
        </w:rPr>
        <w:t>as agents operate across services, environments, or cloud providers. This necessitates a separation between decision generation and decision authorization.</w:t>
      </w:r>
    </w:p>
    <w:p w14:paraId="240C2BD8" w14:textId="77777777" w:rsidR="002E5ACD" w:rsidRPr="002E5ACD" w:rsidRDefault="002E5ACD" w:rsidP="002E5ACD">
      <w:pPr>
        <w:pStyle w:val="maintext"/>
        <w:rPr>
          <w:lang w:val="en-US"/>
        </w:rPr>
      </w:pPr>
      <w:r w:rsidRPr="002E5ACD">
        <w:rPr>
          <w:lang w:val="en-US"/>
        </w:rPr>
        <w:t>Distributed policy enforcement architectures typically externalize constraints into shared control planes or policy engines. Agents may propose actions, but enforcement points validate those proposals against current rules, risk thresholds, and authorization scopes. This design prevents local optimizations from violating global constraints and ensures that policy updates propagate without requiring agent redeployment.</w:t>
      </w:r>
    </w:p>
    <w:p w14:paraId="01FAD01E" w14:textId="77777777" w:rsidR="002E5ACD" w:rsidRPr="002E5ACD" w:rsidRDefault="002E5ACD" w:rsidP="002E5ACD">
      <w:pPr>
        <w:pStyle w:val="maintext"/>
        <w:rPr>
          <w:lang w:val="en-US"/>
        </w:rPr>
      </w:pPr>
      <w:r w:rsidRPr="002E5ACD">
        <w:rPr>
          <w:lang w:val="en-US"/>
        </w:rPr>
        <w:t>Failure modes arise when these layers are misaligned. Prompt chains can drift if not version-locked; memory can become polluted if not curated; policies can desynchronize if enforcement is fragmented. In such cases, agent behavior may remain superficially coherent while progressively diverging from organizational intent. The system appears autonomous, but accountability erodes.</w:t>
      </w:r>
    </w:p>
    <w:p w14:paraId="0E0ECFCA" w14:textId="1678BAB1" w:rsidR="002E5ACD" w:rsidRPr="002E5ACD" w:rsidRDefault="002E5ACD" w:rsidP="002E5ACD">
      <w:pPr>
        <w:pStyle w:val="maintext"/>
        <w:rPr>
          <w:lang w:val="en-US"/>
        </w:rPr>
      </w:pPr>
      <w:r w:rsidRPr="002E5ACD">
        <w:rPr>
          <w:lang w:val="en-US"/>
        </w:rPr>
        <w:t>The architectural lesson is clear: intelligence in agent systems emerges from composition</w:t>
      </w:r>
      <w:r w:rsidR="003634AD">
        <w:rPr>
          <w:lang w:val="en-US"/>
        </w:rPr>
        <w:t xml:space="preserve"> rather than</w:t>
      </w:r>
      <w:r w:rsidRPr="002E5ACD">
        <w:rPr>
          <w:lang w:val="en-US"/>
        </w:rPr>
        <w:t xml:space="preserve"> abstraction. Prompt chaining structures reasoning, vector memory provides continuity, and policy enforcement bounds action. When these components are designed as first-class governance artifacts rather than auxiliary features, agents can operate autonomously without becoming unaccountable. When they are not, autonomy becomes indistinguishable from abdication.</w:t>
      </w:r>
    </w:p>
    <w:p w14:paraId="69463766" w14:textId="77777777" w:rsidR="002E5ACD" w:rsidRPr="002E5ACD" w:rsidRDefault="002E5ACD" w:rsidP="002E5ACD">
      <w:pPr>
        <w:pStyle w:val="maintext"/>
        <w:rPr>
          <w:lang w:val="en-US"/>
        </w:rPr>
      </w:pPr>
      <w:r w:rsidRPr="002E5ACD">
        <w:rPr>
          <w:b/>
          <w:bCs/>
          <w:lang w:val="en-US"/>
        </w:rPr>
        <w:t>Sources.</w:t>
      </w:r>
      <w:r w:rsidRPr="002E5ACD">
        <w:rPr>
          <w:lang w:val="en-US"/>
        </w:rPr>
        <w:t xml:space="preserve"> </w:t>
      </w:r>
      <w:r w:rsidRPr="002E5ACD">
        <w:rPr>
          <w:i/>
          <w:iCs/>
          <w:lang w:val="en-US"/>
        </w:rPr>
        <w:t xml:space="preserve">This section draws on prior work by Yao et al. </w:t>
      </w:r>
      <w:r w:rsidRPr="002E5ACD">
        <w:rPr>
          <w:i/>
          <w:iCs/>
          <w:lang w:val="it-IT"/>
        </w:rPr>
        <w:t xml:space="preserve">(2023), Shinn et al. (2023), Du et al. </w:t>
      </w:r>
      <w:r w:rsidRPr="002E5ACD">
        <w:rPr>
          <w:i/>
          <w:iCs/>
          <w:lang w:val="en-US"/>
        </w:rPr>
        <w:t>(2022), and Xu et al. (2023).</w:t>
      </w:r>
    </w:p>
    <w:p w14:paraId="798AD57E" w14:textId="30016685" w:rsidR="00A513D9" w:rsidRPr="00A513D9" w:rsidRDefault="00A513D9" w:rsidP="00A513D9">
      <w:pPr>
        <w:pStyle w:val="Secondaryheadings"/>
      </w:pPr>
      <w:r w:rsidRPr="00A513D9">
        <w:t>7.3 Real-world design of minimal-latency decision agents</w:t>
      </w:r>
    </w:p>
    <w:p w14:paraId="5E2D3231" w14:textId="77777777" w:rsidR="00A513D9" w:rsidRPr="00A513D9" w:rsidRDefault="00A513D9" w:rsidP="00A513D9">
      <w:pPr>
        <w:pStyle w:val="maintext"/>
        <w:rPr>
          <w:lang w:val="en-US"/>
        </w:rPr>
      </w:pPr>
      <w:r w:rsidRPr="00A513D9">
        <w:rPr>
          <w:lang w:val="en-US"/>
        </w:rPr>
        <w:t>In secure operational environments, latency is not merely a performance metric; it is a control boundary. Decisions that arrive too late are functionally incorrect, regardless of their sophistication. As agents transition from advisory roles to active participants in security workflows, architectural emphasis shifts from model expressiveness to end-to-end response time, determinism, and locality.</w:t>
      </w:r>
    </w:p>
    <w:p w14:paraId="06EB5F8A" w14:textId="0A4EDAD5" w:rsidR="00A513D9" w:rsidRPr="00A513D9" w:rsidRDefault="00A513D9" w:rsidP="00A513D9">
      <w:pPr>
        <w:pStyle w:val="maintext"/>
        <w:rPr>
          <w:lang w:val="en-US"/>
        </w:rPr>
      </w:pPr>
      <w:r w:rsidRPr="00A513D9">
        <w:rPr>
          <w:lang w:val="en-US"/>
        </w:rPr>
        <w:t xml:space="preserve">Minimal-latency agent design begins with </w:t>
      </w:r>
      <w:r>
        <w:rPr>
          <w:lang w:val="en-US"/>
        </w:rPr>
        <w:t>rejecting</w:t>
      </w:r>
      <w:r w:rsidRPr="00A513D9">
        <w:rPr>
          <w:lang w:val="en-US"/>
        </w:rPr>
        <w:t xml:space="preserve"> the “best model wins” assumption. In practice, the most capable model is often unusable if its inference path exceeds the decision budget imposed by the environment. Threat containment, access revocation, and automated remediation operate under strict temporal constraints, where milliseconds determine whether an action mitigates risk or merely documents it. Agent architectures must therefore be designed around </w:t>
      </w:r>
      <w:r w:rsidRPr="00A513D9">
        <w:rPr>
          <w:i/>
          <w:iCs/>
          <w:lang w:val="en-US"/>
        </w:rPr>
        <w:t>decision deadlines</w:t>
      </w:r>
      <w:r>
        <w:rPr>
          <w:lang w:val="en-US"/>
        </w:rPr>
        <w:t xml:space="preserve"> rather than</w:t>
      </w:r>
      <w:r w:rsidRPr="00A513D9">
        <w:rPr>
          <w:lang w:val="en-US"/>
        </w:rPr>
        <w:t xml:space="preserve"> model benchmarks.</w:t>
      </w:r>
    </w:p>
    <w:p w14:paraId="0EBCED87" w14:textId="39A0D91E" w:rsidR="00A513D9" w:rsidRPr="00A513D9" w:rsidRDefault="00A513D9" w:rsidP="00A513D9">
      <w:pPr>
        <w:pStyle w:val="maintext"/>
        <w:rPr>
          <w:lang w:val="en-US"/>
        </w:rPr>
      </w:pPr>
      <w:r w:rsidRPr="00A513D9">
        <w:rPr>
          <w:lang w:val="en-US"/>
        </w:rPr>
        <w:t>This constraint has direct implications for deployment topology. Centralized inference services introduce unavoidable network latency, queuing delays, and dependency coupling. In contrast, colocating lightweight decision agents near data sources</w:t>
      </w:r>
      <w:r w:rsidR="00F346D4">
        <w:rPr>
          <w:lang w:val="en-US"/>
        </w:rPr>
        <w:t xml:space="preserve"> (</w:t>
      </w:r>
      <w:r w:rsidRPr="00A513D9">
        <w:rPr>
          <w:lang w:val="en-US"/>
        </w:rPr>
        <w:t xml:space="preserve">at the </w:t>
      </w:r>
      <w:r>
        <w:rPr>
          <w:lang w:val="en-US"/>
        </w:rPr>
        <w:t>network edge, within regional clusters, or embedded in control planes</w:t>
      </w:r>
      <w:r w:rsidR="00F346D4">
        <w:rPr>
          <w:lang w:val="en-US"/>
        </w:rPr>
        <w:t xml:space="preserve">) </w:t>
      </w:r>
      <w:r>
        <w:rPr>
          <w:lang w:val="en-US"/>
        </w:rPr>
        <w:t xml:space="preserve">reduces response time and the </w:t>
      </w:r>
      <w:r w:rsidRPr="00A513D9">
        <w:rPr>
          <w:lang w:val="en-US"/>
        </w:rPr>
        <w:t>failure surface. The architectural tradeoff favors proximity and predictability over raw model capacity.</w:t>
      </w:r>
    </w:p>
    <w:p w14:paraId="00F116F5" w14:textId="49026448" w:rsidR="00A513D9" w:rsidRPr="00A513D9" w:rsidRDefault="00A513D9" w:rsidP="00A513D9">
      <w:pPr>
        <w:pStyle w:val="maintext"/>
        <w:rPr>
          <w:lang w:val="en-US"/>
        </w:rPr>
      </w:pPr>
      <w:r w:rsidRPr="00A513D9">
        <w:rPr>
          <w:lang w:val="en-US"/>
        </w:rPr>
        <w:t>Hardware heterogeneity further complicates latency-sensitive design. CPUs, GPUs, TPUs, and specialized accelerators each exhibit different performance characteristics under inference workloads. In many secure deployments, general-purpose CPUs</w:t>
      </w:r>
      <w:r w:rsidR="00766D12">
        <w:rPr>
          <w:lang w:val="en-US"/>
        </w:rPr>
        <w:t xml:space="preserve"> (</w:t>
      </w:r>
      <w:r w:rsidRPr="00A513D9">
        <w:rPr>
          <w:lang w:val="en-US"/>
        </w:rPr>
        <w:t>particularly modern ARM-based architectures</w:t>
      </w:r>
      <w:r w:rsidR="00766D12">
        <w:rPr>
          <w:lang w:val="en-US"/>
        </w:rPr>
        <w:t xml:space="preserve">), </w:t>
      </w:r>
      <w:r w:rsidRPr="00A513D9">
        <w:rPr>
          <w:lang w:val="en-US"/>
        </w:rPr>
        <w:t>offer superior tail latency and cost predictability compared to shared accelerators. Agents optimized for consistent response times often outperform more powerful but less deterministic alternatives.</w:t>
      </w:r>
    </w:p>
    <w:p w14:paraId="3C0A7059" w14:textId="77777777" w:rsidR="00A513D9" w:rsidRPr="00A513D9" w:rsidRDefault="00A513D9" w:rsidP="00A513D9">
      <w:pPr>
        <w:pStyle w:val="maintext"/>
        <w:rPr>
          <w:lang w:val="en-US"/>
        </w:rPr>
      </w:pPr>
      <w:r w:rsidRPr="00A513D9">
        <w:rPr>
          <w:lang w:val="en-US"/>
        </w:rPr>
        <w:t>Cross-cloud environments amplify these considerations. Secure organizations rarely operate within a single provider or region, and agent architectures must accommodate heterogeneous infrastructure without fragmenting behavior. This reality elevates portability and standardization over provider-specific optimizations. Agents must degrade gracefully, selecting locally available resources rather than assuming homogeneous execution environments.</w:t>
      </w:r>
    </w:p>
    <w:p w14:paraId="7784DAC6" w14:textId="52638E7C" w:rsidR="00A513D9" w:rsidRPr="00A513D9" w:rsidRDefault="00A513D9" w:rsidP="00A513D9">
      <w:pPr>
        <w:pStyle w:val="maintext"/>
        <w:rPr>
          <w:lang w:val="en-US"/>
        </w:rPr>
      </w:pPr>
      <w:r w:rsidRPr="00A513D9">
        <w:rPr>
          <w:lang w:val="en-US"/>
        </w:rPr>
        <w:t xml:space="preserve">Latency constraints also shape </w:t>
      </w:r>
      <w:r w:rsidR="00BF70BF">
        <w:rPr>
          <w:lang w:val="en-US"/>
        </w:rPr>
        <w:t>the internal structure of agents</w:t>
      </w:r>
      <w:r w:rsidRPr="00A513D9">
        <w:rPr>
          <w:lang w:val="en-US"/>
        </w:rPr>
        <w:t>. Reasoning depth must be bounded; prompt chains must be shallow; memory retrieval must be selective. In minimal-latency agents, complex deliberation is displaced upstream into planning or simulation phases, leaving execution-time agents to operate on precomputed policies and cached context. This separation preserves responsiveness while retaining strategic adaptability elsewhere in the system.</w:t>
      </w:r>
    </w:p>
    <w:p w14:paraId="3EC9DE6F" w14:textId="4FFB78E5" w:rsidR="00A513D9" w:rsidRPr="00A513D9" w:rsidRDefault="00A513D9" w:rsidP="00A513D9">
      <w:pPr>
        <w:pStyle w:val="maintext"/>
        <w:rPr>
          <w:lang w:val="en-US"/>
        </w:rPr>
      </w:pPr>
      <w:r w:rsidRPr="00A513D9">
        <w:rPr>
          <w:lang w:val="en-US"/>
        </w:rPr>
        <w:t>Crucially, low latency does not justify reduced governance. On the contrary, faster agents amplify the consequences of error. Architectural safeguards</w:t>
      </w:r>
      <w:r w:rsidR="00DB3165">
        <w:rPr>
          <w:lang w:val="en-US"/>
        </w:rPr>
        <w:t xml:space="preserve"> (</w:t>
      </w:r>
      <w:r w:rsidRPr="00A513D9">
        <w:rPr>
          <w:lang w:val="en-US"/>
        </w:rPr>
        <w:t>such as pre-approved action sets, confidence thresholds, and escalation gates</w:t>
      </w:r>
      <w:r w:rsidR="00DB3165">
        <w:rPr>
          <w:lang w:val="en-US"/>
        </w:rPr>
        <w:t xml:space="preserve">) </w:t>
      </w:r>
      <w:r w:rsidRPr="00A513D9">
        <w:rPr>
          <w:lang w:val="en-US"/>
        </w:rPr>
        <w:t>must be enforced at execution speed. Human override mechanisms must remain viable even when decisions are automated, ensuring that acceleration does not eliminate accountability.</w:t>
      </w:r>
    </w:p>
    <w:p w14:paraId="61670F94" w14:textId="7714CD1E" w:rsidR="00A513D9" w:rsidRPr="00A513D9" w:rsidRDefault="00A513D9" w:rsidP="00A513D9">
      <w:pPr>
        <w:pStyle w:val="maintext"/>
        <w:rPr>
          <w:lang w:val="en-US"/>
        </w:rPr>
      </w:pPr>
      <w:r w:rsidRPr="00A513D9">
        <w:rPr>
          <w:lang w:val="en-US"/>
        </w:rPr>
        <w:t xml:space="preserve">The practical outcome of these constraints is a class of agents that appear modest in isolation but powerful in aggregate. Each agent performs a narrowly scoped role, operates within strict temporal and policy boundaries, and relies on upstream systems for context and planning. Autonomy emerges not from </w:t>
      </w:r>
      <w:r w:rsidR="00DB3165">
        <w:rPr>
          <w:lang w:val="en-US"/>
        </w:rPr>
        <w:t>individual-agent complexity but from coordinated execution within</w:t>
      </w:r>
      <w:r w:rsidRPr="00A513D9">
        <w:rPr>
          <w:lang w:val="en-US"/>
        </w:rPr>
        <w:t xml:space="preserve"> a distributed, latency-aware architecture.</w:t>
      </w:r>
    </w:p>
    <w:p w14:paraId="49CD9701" w14:textId="77777777" w:rsidR="00A513D9" w:rsidRPr="00A513D9" w:rsidRDefault="00A513D9" w:rsidP="00A513D9">
      <w:pPr>
        <w:pStyle w:val="maintext"/>
        <w:rPr>
          <w:lang w:val="en-US"/>
        </w:rPr>
      </w:pPr>
      <w:r w:rsidRPr="00A513D9">
        <w:rPr>
          <w:lang w:val="en-US"/>
        </w:rPr>
        <w:t xml:space="preserve">In secure environments, this design philosophy distinguishes automation that merely reacts from agency that can be trusted. Minimal-latency decision agents succeed not by thinking harder, but by acting </w:t>
      </w:r>
      <w:r w:rsidRPr="00A513D9">
        <w:rPr>
          <w:i/>
          <w:iCs/>
          <w:lang w:val="en-US"/>
        </w:rPr>
        <w:t>just fast enough</w:t>
      </w:r>
      <w:r w:rsidRPr="00A513D9">
        <w:rPr>
          <w:lang w:val="en-US"/>
        </w:rPr>
        <w:t>, exactly where and when it matters.</w:t>
      </w:r>
    </w:p>
    <w:p w14:paraId="6F26CCF7" w14:textId="77777777" w:rsidR="00A513D9" w:rsidRPr="00A513D9" w:rsidRDefault="00A513D9" w:rsidP="00A513D9">
      <w:pPr>
        <w:pStyle w:val="maintext"/>
        <w:rPr>
          <w:lang w:val="en-US"/>
        </w:rPr>
      </w:pPr>
      <w:r w:rsidRPr="00A513D9">
        <w:rPr>
          <w:b/>
          <w:bCs/>
          <w:lang w:val="en-US"/>
        </w:rPr>
        <w:t>Sources.</w:t>
      </w:r>
      <w:r w:rsidRPr="00A513D9">
        <w:rPr>
          <w:lang w:val="en-US"/>
        </w:rPr>
        <w:t xml:space="preserve"> </w:t>
      </w:r>
      <w:r w:rsidRPr="00A513D9">
        <w:rPr>
          <w:i/>
          <w:iCs/>
          <w:lang w:val="en-US"/>
        </w:rPr>
        <w:t>This section draws on prior work by Lopez et al. (2022), Malladi et al. (2023), Amazon Web Services (2024), Google Cloud (2023), and Liang et al. (2023).</w:t>
      </w:r>
    </w:p>
    <w:p w14:paraId="02CF31C1" w14:textId="7BBA75DE" w:rsidR="007F3FF8" w:rsidRDefault="007F3FF8" w:rsidP="0096358B">
      <w:pPr>
        <w:pStyle w:val="maintext"/>
      </w:pPr>
    </w:p>
    <w:p w14:paraId="61B4598E" w14:textId="77777777" w:rsidR="007F3FF8" w:rsidRDefault="007F3FF8" w:rsidP="0096358B">
      <w:pPr>
        <w:pStyle w:val="maintext"/>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5EDC8F60" w14:textId="77777777" w:rsidR="007F3FF8" w:rsidRDefault="007F3FF8" w:rsidP="0096358B">
      <w:pPr>
        <w:pStyle w:val="maintext"/>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4E755135" w14:textId="77777777" w:rsidR="007F3FF8" w:rsidRDefault="007F3FF8" w:rsidP="007F3FF8">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616AF20A" w14:textId="77777777" w:rsidR="007F3FF8" w:rsidRDefault="007F3FF8" w:rsidP="003D4D9A">
      <w:pPr>
        <w:jc w:val="both"/>
        <w:rPr>
          <w:lang w:val="en-GB"/>
        </w:rPr>
      </w:pPr>
    </w:p>
    <w:p w14:paraId="6FD46E24" w14:textId="77777777" w:rsidR="002E0D90" w:rsidRPr="002E0D90" w:rsidRDefault="002E0D90" w:rsidP="002E0D90">
      <w:pPr>
        <w:rPr>
          <w:lang w:val="en-GB"/>
        </w:rPr>
      </w:pPr>
    </w:p>
    <w:p w14:paraId="4392518A" w14:textId="77777777" w:rsidR="002E0D90" w:rsidRDefault="002E0D90" w:rsidP="002E0D90">
      <w:pPr>
        <w:rPr>
          <w:lang w:val="en-GB"/>
        </w:rPr>
      </w:pPr>
    </w:p>
    <w:p w14:paraId="60F58564" w14:textId="77777777" w:rsidR="00EF12B6" w:rsidRDefault="00EF12B6" w:rsidP="002E0D90">
      <w:pPr>
        <w:rPr>
          <w:lang w:val="en-GB"/>
        </w:rPr>
      </w:pPr>
    </w:p>
    <w:p w14:paraId="3A14B2CE" w14:textId="77777777" w:rsidR="00EF12B6" w:rsidRDefault="00EF12B6" w:rsidP="002E0D90">
      <w:pPr>
        <w:rPr>
          <w:lang w:val="en-GB"/>
        </w:rPr>
      </w:pPr>
    </w:p>
    <w:p w14:paraId="248FB4B7" w14:textId="77777777" w:rsidR="00EF12B6" w:rsidRDefault="00EF12B6" w:rsidP="002E0D90">
      <w:pPr>
        <w:rPr>
          <w:lang w:val="en-GB"/>
        </w:rPr>
      </w:pPr>
    </w:p>
    <w:p w14:paraId="086D04C8" w14:textId="77777777" w:rsidR="00EF12B6" w:rsidRDefault="00EF12B6" w:rsidP="002E0D90">
      <w:pPr>
        <w:rPr>
          <w:lang w:val="en-GB"/>
        </w:rPr>
      </w:pPr>
    </w:p>
    <w:p w14:paraId="629B618F" w14:textId="77777777" w:rsidR="00EF12B6" w:rsidRDefault="00EF12B6" w:rsidP="002E0D90">
      <w:pPr>
        <w:rPr>
          <w:lang w:val="en-GB"/>
        </w:rPr>
      </w:pPr>
    </w:p>
    <w:p w14:paraId="11DE675D" w14:textId="77777777" w:rsidR="00EF12B6" w:rsidRDefault="00EF12B6" w:rsidP="002E0D90">
      <w:pPr>
        <w:rPr>
          <w:lang w:val="en-GB"/>
        </w:rPr>
      </w:pPr>
    </w:p>
    <w:p w14:paraId="7C99DB3F" w14:textId="77777777" w:rsidR="00EF12B6" w:rsidRDefault="00EF12B6" w:rsidP="002E0D90">
      <w:pPr>
        <w:rPr>
          <w:lang w:val="en-GB"/>
        </w:rPr>
      </w:pPr>
    </w:p>
    <w:p w14:paraId="17F1FEAC" w14:textId="77777777" w:rsidR="00EF12B6" w:rsidRDefault="00EF12B6" w:rsidP="002E0D90">
      <w:pPr>
        <w:rPr>
          <w:lang w:val="en-GB"/>
        </w:rPr>
      </w:pPr>
    </w:p>
    <w:p w14:paraId="2970C675" w14:textId="77777777" w:rsidR="00EF12B6" w:rsidRDefault="00EF12B6" w:rsidP="002E0D90">
      <w:pPr>
        <w:rPr>
          <w:lang w:val="en-GB"/>
        </w:rPr>
      </w:pPr>
    </w:p>
    <w:p w14:paraId="7C2FBFBC" w14:textId="77777777" w:rsidR="00EF12B6" w:rsidRDefault="00EF12B6" w:rsidP="002E0D90">
      <w:pPr>
        <w:rPr>
          <w:lang w:val="en-GB"/>
        </w:rPr>
      </w:pPr>
    </w:p>
    <w:p w14:paraId="565F6737" w14:textId="77777777" w:rsidR="00EF12B6" w:rsidRDefault="00EF12B6" w:rsidP="002E0D90">
      <w:pPr>
        <w:rPr>
          <w:lang w:val="en-GB"/>
        </w:rPr>
      </w:pPr>
    </w:p>
    <w:p w14:paraId="2FDE79AC" w14:textId="77777777" w:rsidR="00EF12B6" w:rsidRDefault="00EF12B6" w:rsidP="002E0D90">
      <w:pPr>
        <w:rPr>
          <w:lang w:val="en-GB"/>
        </w:rPr>
      </w:pPr>
    </w:p>
    <w:p w14:paraId="4F174C01" w14:textId="77777777" w:rsidR="00EF12B6" w:rsidRDefault="00EF12B6" w:rsidP="002E0D90">
      <w:pPr>
        <w:rPr>
          <w:lang w:val="en-GB"/>
        </w:rPr>
      </w:pPr>
    </w:p>
    <w:p w14:paraId="60BDBFD3" w14:textId="77777777" w:rsidR="00EF12B6" w:rsidRDefault="00EF12B6" w:rsidP="002E0D90">
      <w:pPr>
        <w:rPr>
          <w:lang w:val="en-GB"/>
        </w:rPr>
      </w:pPr>
    </w:p>
    <w:p w14:paraId="20F2987D" w14:textId="77777777" w:rsidR="00EF12B6" w:rsidRDefault="00EF12B6" w:rsidP="002E0D90">
      <w:pPr>
        <w:rPr>
          <w:lang w:val="en-GB"/>
        </w:rPr>
      </w:pPr>
    </w:p>
    <w:p w14:paraId="04BE14AE" w14:textId="77777777" w:rsidR="00EF12B6" w:rsidRDefault="00EF12B6" w:rsidP="002E0D90">
      <w:pPr>
        <w:rPr>
          <w:lang w:val="en-GB"/>
        </w:rPr>
      </w:pPr>
    </w:p>
    <w:p w14:paraId="3121D073" w14:textId="77777777" w:rsidR="00EF12B6" w:rsidRDefault="00EF12B6" w:rsidP="002E0D90">
      <w:pPr>
        <w:rPr>
          <w:lang w:val="en-GB"/>
        </w:rPr>
      </w:pPr>
    </w:p>
    <w:p w14:paraId="25F913D3" w14:textId="77777777" w:rsidR="00EF12B6" w:rsidRDefault="00EF12B6" w:rsidP="002E0D90">
      <w:pPr>
        <w:rPr>
          <w:lang w:val="en-GB"/>
        </w:rPr>
      </w:pPr>
    </w:p>
    <w:p w14:paraId="6F89B1AD" w14:textId="77777777" w:rsidR="00EF12B6" w:rsidRDefault="00EF12B6" w:rsidP="002E0D90">
      <w:pPr>
        <w:rPr>
          <w:lang w:val="en-GB"/>
        </w:rPr>
      </w:pPr>
    </w:p>
    <w:p w14:paraId="047E0C46" w14:textId="77777777" w:rsidR="00EF12B6" w:rsidRDefault="00EF12B6" w:rsidP="002E0D90">
      <w:pPr>
        <w:rPr>
          <w:lang w:val="en-GB"/>
        </w:rPr>
      </w:pPr>
    </w:p>
    <w:p w14:paraId="6CBD9B64" w14:textId="77777777" w:rsidR="00EF12B6" w:rsidRDefault="00EF12B6" w:rsidP="002E0D90">
      <w:pPr>
        <w:rPr>
          <w:lang w:val="en-GB"/>
        </w:rPr>
      </w:pPr>
    </w:p>
    <w:p w14:paraId="1C0A3D47" w14:textId="77777777" w:rsidR="00EF12B6" w:rsidRPr="002E0D90" w:rsidRDefault="00EF12B6" w:rsidP="002E0D90">
      <w:pPr>
        <w:rPr>
          <w:lang w:val="en-GB"/>
        </w:rPr>
      </w:pPr>
    </w:p>
    <w:p w14:paraId="5F4EFBB7" w14:textId="77777777" w:rsidR="002E0D90" w:rsidRPr="002E0D90" w:rsidRDefault="002E0D90">
      <w:pPr>
        <w:rPr>
          <w:lang w:val="en-GB"/>
        </w:rPr>
      </w:pPr>
    </w:p>
    <w:sectPr w:rsidR="002E0D90" w:rsidRPr="002E0D90" w:rsidSect="003D4D9A">
      <w:headerReference w:type="even" r:id="rId8"/>
      <w:headerReference w:type="default" r:id="rId9"/>
      <w:headerReference w:type="first" r:id="rId10"/>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12C26" w14:textId="77777777" w:rsidR="00F4647A" w:rsidRDefault="00F4647A">
      <w:r>
        <w:separator/>
      </w:r>
    </w:p>
  </w:endnote>
  <w:endnote w:type="continuationSeparator" w:id="0">
    <w:p w14:paraId="141109BD" w14:textId="77777777" w:rsidR="00F4647A" w:rsidRDefault="00F46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44770" w14:textId="77777777" w:rsidR="00F4647A" w:rsidRDefault="00F4647A">
      <w:r>
        <w:separator/>
      </w:r>
    </w:p>
  </w:footnote>
  <w:footnote w:type="continuationSeparator" w:id="0">
    <w:p w14:paraId="347F35F1" w14:textId="77777777" w:rsidR="00F4647A" w:rsidRDefault="00F46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EECF"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48D6599" w14:textId="0ACAC59B"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96358B">
      <w:rPr>
        <w:rStyle w:val="PageNumber"/>
        <w:sz w:val="18"/>
      </w:rPr>
      <w:t>7</w:t>
    </w:r>
  </w:p>
  <w:p w14:paraId="7F7F75B8"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F1C1"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40D6E27" w14:textId="2895C48F" w:rsidR="003D4D9A" w:rsidRPr="003D4D9A" w:rsidRDefault="00EF12B6" w:rsidP="003D4D9A">
    <w:pPr>
      <w:pStyle w:val="Header"/>
      <w:ind w:right="360" w:firstLine="360"/>
      <w:jc w:val="center"/>
      <w:rPr>
        <w:sz w:val="18"/>
      </w:rPr>
    </w:pPr>
    <w:r>
      <w:rPr>
        <w:sz w:val="18"/>
      </w:rPr>
      <w:t>A</w:t>
    </w:r>
    <w:r w:rsidRPr="00EF12B6">
      <w:rPr>
        <w:sz w:val="18"/>
      </w:rPr>
      <w:t>gent architectures in secure environments</w:t>
    </w:r>
  </w:p>
  <w:p w14:paraId="52479D84"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ED36" w14:textId="70167EA0" w:rsidR="00EF12B6" w:rsidRDefault="00EF12B6" w:rsidP="00EF12B6">
    <w:pPr>
      <w:pStyle w:val="Header"/>
    </w:pPr>
    <w:r>
      <w:t xml:space="preserve">Part III — Beyond </w:t>
    </w:r>
    <w:r w:rsidR="006F1D39">
      <w:t>a</w:t>
    </w:r>
    <w:r>
      <w:t xml:space="preserve">utomation: Intelligent </w:t>
    </w:r>
    <w:r w:rsidR="006F1D39">
      <w:t>a</w:t>
    </w:r>
    <w:r>
      <w:t>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01177"/>
    <w:multiLevelType w:val="multilevel"/>
    <w:tmpl w:val="4A24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7213657">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17AA"/>
    <w:rsid w:val="000467EF"/>
    <w:rsid w:val="000A0C5B"/>
    <w:rsid w:val="00132087"/>
    <w:rsid w:val="00180086"/>
    <w:rsid w:val="00192383"/>
    <w:rsid w:val="002E0D90"/>
    <w:rsid w:val="002E5ACD"/>
    <w:rsid w:val="003634AD"/>
    <w:rsid w:val="003D4D9A"/>
    <w:rsid w:val="00473582"/>
    <w:rsid w:val="00484850"/>
    <w:rsid w:val="005500C1"/>
    <w:rsid w:val="00557FE6"/>
    <w:rsid w:val="00583FC5"/>
    <w:rsid w:val="005C4E85"/>
    <w:rsid w:val="005E267B"/>
    <w:rsid w:val="005F6741"/>
    <w:rsid w:val="00606363"/>
    <w:rsid w:val="0064005A"/>
    <w:rsid w:val="006772E1"/>
    <w:rsid w:val="006A4F69"/>
    <w:rsid w:val="006B3EF2"/>
    <w:rsid w:val="006F1D39"/>
    <w:rsid w:val="007148DC"/>
    <w:rsid w:val="00766D12"/>
    <w:rsid w:val="007F3FF8"/>
    <w:rsid w:val="0084540D"/>
    <w:rsid w:val="008628EC"/>
    <w:rsid w:val="008E63EA"/>
    <w:rsid w:val="00955AA0"/>
    <w:rsid w:val="0096358B"/>
    <w:rsid w:val="009802EA"/>
    <w:rsid w:val="00A0484A"/>
    <w:rsid w:val="00A36E21"/>
    <w:rsid w:val="00A513D9"/>
    <w:rsid w:val="00B15298"/>
    <w:rsid w:val="00B73975"/>
    <w:rsid w:val="00BF70BF"/>
    <w:rsid w:val="00CC43A4"/>
    <w:rsid w:val="00CF4CCF"/>
    <w:rsid w:val="00DB3165"/>
    <w:rsid w:val="00E3329D"/>
    <w:rsid w:val="00EF12B6"/>
    <w:rsid w:val="00F076C8"/>
    <w:rsid w:val="00F346D4"/>
    <w:rsid w:val="00F4647A"/>
    <w:rsid w:val="00F60DFA"/>
    <w:rsid w:val="00FD3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7D917"/>
  <w15:chartTrackingRefBased/>
  <w15:docId w15:val="{BB4214A8-E6CE-42EE-A834-97B1C74A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6358B"/>
    <w:pPr>
      <w:jc w:val="center"/>
    </w:pPr>
    <w:rPr>
      <w:b/>
      <w:lang w:val="en-GB"/>
    </w:rPr>
  </w:style>
  <w:style w:type="character" w:customStyle="1" w:styleId="SecondaryheadingsChar">
    <w:name w:val="Secondary headings Char"/>
    <w:basedOn w:val="DefaultParagraphFont"/>
    <w:link w:val="Secondaryheadings"/>
    <w:rsid w:val="0096358B"/>
    <w:rPr>
      <w:b/>
      <w:sz w:val="24"/>
      <w:szCs w:val="24"/>
      <w:lang w:val="en-GB"/>
    </w:rPr>
  </w:style>
  <w:style w:type="paragraph" w:customStyle="1" w:styleId="intro">
    <w:name w:val="intro"/>
    <w:basedOn w:val="Normal"/>
    <w:link w:val="introChar"/>
    <w:qFormat/>
    <w:rsid w:val="0096358B"/>
    <w:pPr>
      <w:jc w:val="both"/>
    </w:pPr>
    <w:rPr>
      <w:sz w:val="20"/>
      <w:szCs w:val="20"/>
      <w:lang w:val="en-GB"/>
    </w:rPr>
  </w:style>
  <w:style w:type="character" w:customStyle="1" w:styleId="introChar">
    <w:name w:val="intro Char"/>
    <w:basedOn w:val="DefaultParagraphFont"/>
    <w:link w:val="intro"/>
    <w:rsid w:val="0096358B"/>
    <w:rPr>
      <w:lang w:val="en-GB"/>
    </w:rPr>
  </w:style>
  <w:style w:type="paragraph" w:customStyle="1" w:styleId="maintext">
    <w:name w:val="main text"/>
    <w:basedOn w:val="Normal"/>
    <w:link w:val="maintextChar"/>
    <w:qFormat/>
    <w:rsid w:val="0096358B"/>
    <w:pPr>
      <w:ind w:firstLine="284"/>
      <w:jc w:val="both"/>
    </w:pPr>
    <w:rPr>
      <w:sz w:val="20"/>
      <w:szCs w:val="20"/>
      <w:lang w:val="en-GB"/>
    </w:rPr>
  </w:style>
  <w:style w:type="character" w:customStyle="1" w:styleId="maintextChar">
    <w:name w:val="main text Char"/>
    <w:basedOn w:val="DefaultParagraphFont"/>
    <w:link w:val="maintext"/>
    <w:rsid w:val="0096358B"/>
    <w:rPr>
      <w:lang w:val="en-GB"/>
    </w:rPr>
  </w:style>
  <w:style w:type="paragraph" w:customStyle="1" w:styleId="Quotations">
    <w:name w:val="Quotations"/>
    <w:basedOn w:val="Normal"/>
    <w:link w:val="QuotationsChar"/>
    <w:qFormat/>
    <w:rsid w:val="0096358B"/>
    <w:pPr>
      <w:ind w:left="284" w:right="284"/>
      <w:jc w:val="both"/>
    </w:pPr>
    <w:rPr>
      <w:sz w:val="18"/>
      <w:szCs w:val="18"/>
      <w:lang w:val="en-GB"/>
    </w:rPr>
  </w:style>
  <w:style w:type="character" w:customStyle="1" w:styleId="QuotationsChar">
    <w:name w:val="Quotations Char"/>
    <w:basedOn w:val="DefaultParagraphFont"/>
    <w:link w:val="Quotations"/>
    <w:rsid w:val="0096358B"/>
    <w:rPr>
      <w:sz w:val="18"/>
      <w:szCs w:val="18"/>
      <w:lang w:val="en-GB"/>
    </w:rPr>
  </w:style>
  <w:style w:type="paragraph" w:customStyle="1" w:styleId="footnote">
    <w:name w:val="footnote"/>
    <w:basedOn w:val="FootnoteText"/>
    <w:link w:val="footnoteChar"/>
    <w:qFormat/>
    <w:rsid w:val="0096358B"/>
    <w:pPr>
      <w:jc w:val="both"/>
    </w:pPr>
    <w:rPr>
      <w:sz w:val="18"/>
      <w:szCs w:val="18"/>
      <w:lang w:val="en-GB"/>
    </w:rPr>
  </w:style>
  <w:style w:type="character" w:customStyle="1" w:styleId="FootnoteTextChar">
    <w:name w:val="Footnote Text Char"/>
    <w:basedOn w:val="DefaultParagraphFont"/>
    <w:link w:val="FootnoteText"/>
    <w:semiHidden/>
    <w:rsid w:val="0096358B"/>
  </w:style>
  <w:style w:type="character" w:customStyle="1" w:styleId="footnoteChar">
    <w:name w:val="footnote Char"/>
    <w:basedOn w:val="FootnoteTextChar"/>
    <w:link w:val="footnote"/>
    <w:rsid w:val="0096358B"/>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2023</b:Year>
    <b:BIBTEX_Entry>book</b:BIBTEX_Entry>
    <b:SourceType>Book</b:SourceType>
    <b:Title>Zero Trust Segmentation For Dummies®</b:Title>
    <b:Tag>Kaelble2023a</b:Tag>
    <b:Publisher>John Wiley &amp; Sons, Inc.</b:Publisher>
    <b:BIBTEX_Abstract>Here’s a reality check that you may not want to hear: You can’t hide from cybercrime. Sooner or later, your organi- zation will be hit with a ransomware attack or some other act of cyber malfeasance (and odds are, you’ve already had that disruptive and frightening experience). But that’s not the bad news that it sounds like. In fact, when you’ve accepted the fact that breaches are inevitable, you can focus more attention on surviving those attacks and keeping the business moving forward. That doesn’t mean you stop trying to keep the bad actors out of your network — it means you also pre- pare to deal with them when they do get inside. That’s the aim of Zero Trust Segmentation (ZTS) — building defenses at the workload level, cutting off unnecessary commu- nication, and verifying everything that you purposely let through. You don’t know what’s benign and what’s not, so you throw implicit trust out the window. ZTS is a remarkably effective way to build resilience in the face of increasingly scary threats. The objective is to prevent any attacks that you can, while limiting the damage from the ones that inevi- tably will get through even the best defenses. You can’t afford to let malicious actors shut down your operations, and ZTS ensures that business can go on as usual, even in the face of a successful attack.</b:BIBTEX_Abstract>
    <b:URL>https://cdn.prod.website-files.com/63e25fb5e66132e6387676dc/68ed77df4fda1597004c441f_641b76470c4b1b9caa3c986c.pdf</b:URL>
    <b:Author>
      <b:Author>
        <b:NameList>
          <b:Person>
            <b:Last>Kaelble</b:Last>
            <b:First>Steve</b:First>
          </b:Person>
        </b:NameList>
      </b:Author>
      <b:Editor>
        <b:NameList>
          <b:Person>
            <b:Last>Ali</b:Last>
            <b:Middle>Zafar</b:Middle>
            <b:First>Mohammed</b:First>
          </b:Person>
        </b:NameList>
      </b:Editor>
    </b:Author>
    <b:StandardNumber> ISBN: 978-1394181698</b:StandardNumber>
    <b:RefOrder>1</b:RefOrder>
  </b:Source>
  <b:Source>
    <b:Year>2023</b:Year>
    <b:BIBTEX_Copyright>Creative Commons Attribution 4.0 International</b:BIBTEX_Copyright>
    <b:BIBTEX_Entry>article</b:BIBTEX_Entry>
    <b:SourceType>JournalArticle</b:SourceType>
    <b:Title>Tree of Thoughts: Deliberate Problem Solving with Large Language Models</b:Title>
    <b:Publisher>arXiv</b:Publisher>
    <b:BIBTEX_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b:BIBTEX_Abstract>
    <b:Tag>Yao2023a</b:Tag>
    <b:BIBTEX_KeyWords>Computation and Language (cs.CL), Artificial Intelligence (cs.AI), Machine Learning (cs.LG), FOS: Computer and information sciences, FOS: Computer and information sciences</b:BIBTEX_KeyWords>
    <b:URL>https://www.semanticscholar.org/paper/2f3822eb380b5e753a6d579f31dfc3ec4c4a0820</b:URL>
    <b:DOI>10.48550/arXiv.2305.10601</b:DOI>
    <b:Author>
      <b:Author>
        <b:NameList>
          <b:Person>
            <b:Last>Yao</b:Last>
            <b:First>Shunyu</b:First>
          </b:Person>
          <b:Person>
            <b:Last>Yu</b:Last>
            <b:First>Dian</b:First>
          </b:Person>
          <b:Person>
            <b:Last>Zhao</b:Last>
            <b:First>Jeffrey</b:First>
          </b:Person>
          <b:Person>
            <b:Last>Shafran</b:Last>
            <b:First>Izhak</b:First>
          </b:Person>
          <b:Person>
            <b:Last>Griffiths</b:Last>
            <b:Middle>L.</b:Middle>
            <b:First>Thomas</b:First>
          </b:Person>
          <b:Person>
            <b:Last>Cao</b:Last>
            <b:First>Yuan</b:First>
          </b:Person>
          <b:Person>
            <b:Last>Narasimhan</b:Last>
            <b:First>Karthik</b:First>
          </b:Person>
        </b:NameList>
      </b:Author>
    </b:Author>
    <b:JournalName>arXiv preprint arXiv:2305.10601</b:JournalName>
    <b:RefOrder>2</b:RefOrder>
  </b:Source>
  <b:Source>
    <b:Year>2025</b:Year>
    <b:BIBTEX_Copyright>Creative Commons Attribution 4.0 International</b:BIBTEX_Copyright>
    <b:BIBTEX_Entry>article</b:BIBTEX_Entry>
    <b:SourceType>JournalArticle</b:SourceType>
    <b:Title>Small Language Models are the Future of Agentic AI</b:Title>
    <b:Publisher>arXiv</b:Publisher>
    <b:BIBTEX_Abstract>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discussion on the effective use of AI resources and hope to advance the efforts to lower the costs of AI of the present day. Calling for both contributions to and critique of our position, we commit to publishing all such correspondence at https://research.nvidia.com/labs/lpr/slm-agents.</b:BIBTEX_Abstract>
    <b:Tag>https://doi.org/10.48550/arxiv.2506.02153</b:Tag>
    <b:BIBTEX_KeyWords>Artificial Intelligence (cs.AI), FOS: Computer and information sciences, FOS: Computer and information sciences</b:BIBTEX_KeyWords>
    <b:URL>https://www.semanticscholar.org/paper/f1d477ccd20b3e90611fc46b1951b3708651a425</b:URL>
    <b:DOI>10.48550/ARXIV.2506.02153</b:DOI>
    <b:Author>
      <b:Author>
        <b:NameList>
          <b:Person>
            <b:Last>Belcak</b:Last>
            <b:First>Peter</b:First>
          </b:Person>
          <b:Person>
            <b:Last>Heinrich</b:Last>
            <b:First>Greg</b:First>
          </b:Person>
          <b:Person>
            <b:Last>Diao</b:Last>
            <b:First>Shizhe</b:First>
          </b:Person>
          <b:Person>
            <b:Last>Fu</b:Last>
            <b:First>Yonggan</b:First>
          </b:Person>
          <b:Person>
            <b:Last>Dong</b:Last>
            <b:First>Xin</b:First>
          </b:Person>
          <b:Person>
            <b:Last>Muralidharan</b:Last>
            <b:First>Saurav</b:First>
          </b:Person>
          <b:Person>
            <b:Last>Lin</b:Last>
            <b:Middle>Celine</b:Middle>
            <b:First>Yingyan</b:First>
          </b:Person>
          <b:Person>
            <b:Last>Molchanov</b:Last>
            <b:First>Pavlo</b:First>
          </b:Person>
        </b:NameList>
      </b:Author>
    </b:Author>
    <b:Month>September</b:Month>
    <b:RefOrder>3</b:RefOrder>
  </b:Source>
  <b:Source>
    <b:Year>2022</b:Year>
    <b:BIBTEX_Copyright>arXiv.org perpetual, non-exclusive license</b:BIBTEX_Copyright>
    <b:BIBTEX_Entry>misc</b:BIBTEX_Entry>
    <b:SourceType>Misc</b:SourceType>
    <b:Title>Search-based Methods for Multi-Cloud Configuration</b:Title>
    <b:Publisher>arXiv</b:Publisher>
    <b:Tag>łazuka2022searchbasedmethodsmulticloudconfiguration</b:Tag>
    <b:BIBTEX_KeyWords>Distributed, Parallel, and Cluster Computing (cs.DC), Machine Learning (cs.LG), FOS: Computer and information sciences, FOS: Computer and information sciences</b:BIBTEX_KeyWords>
    <b:URL>https://arxiv.org/abs/2204.09437</b:URL>
    <b:DOI>10.48550/ARXIV.2204.09437</b:DOI>
    <b:Author>
      <b:Author>
        <b:NameList>
          <b:Person>
            <b:Last>Łazuka</b:Last>
            <b:First>Małgorzata</b:First>
          </b:Person>
          <b:Person>
            <b:Last>Parnell</b:Last>
            <b:First>Thomas</b:First>
          </b:Person>
          <b:Person>
            <b:Last>Anghel</b:Last>
            <b:First>Andreea</b:First>
          </b:Person>
          <b:Person>
            <b:Last>Pozidis</b:Last>
            <b:First>Haralampos</b:First>
          </b:Person>
        </b:NameList>
      </b:Author>
    </b:Author>
    <b:PublicationTitle>Search-based Methods for Multi-Cloud Configuration</b:PublicationTitle>
    <b:RefOrder>4</b:RefOrder>
  </b:Source>
  <b:Source>
    <b:Year>2024</b:Year>
    <b:Volume>12</b:Volume>
    <b:BIBTEX_Entry>article</b:BIBTEX_Entry>
    <b:SourceType>JournalArticle</b:SourceType>
    <b:Title>Scaling Up Multi-Agent Reinforcement Learning: An Extensive Survey on Scalability Issues</b:Title>
    <b:Publisher>Institute of Electrical and Electronics Engineers (IEEE)</b:Publisher>
    <b:BIBTEX_Abstract>Multi-agent learning has made significant strides in recent years. Benefiting from deep learning, multi-agent deep reinforcement learning (MADRL) has transcended traditional limitations seen in tabular tasks, arousing tremendous research interest. However, compared to other challenges in MADRL, scalability remains underemphasized, impeding the application of MADRL in complex scenarios. Scalability stands as a foundational attribute of the multi-agent system (MAS), offering a potent approach to understand and improve collective learning among agents. It encompasses the capacity to handle the increasing state-action space which arises not only from a large number of agents but also from other factors related to agents and environment. In contrast to prior surveys, this work provides a comprehensive exposition of scalability concerns in MADRL. We first introduce foundational knowledge about deep reinforcement learning and MADRL to underscore the distinctiveness of scalability issues in this domain. Subsequently, we delve into the problems posed by scalability, examining agent complexity, environment complexity, and robustness against perturbation. We elaborate on the methods that demonstrate the evolution of scalable algorithms. To conclude this survey, we discuss challenges, identify trends, and outline possible directions for future work on scalability issues. It is our aspiration that this survey enhances the understanding of researchers in this field, providing a valuable resource for in-depth exploration.</b:BIBTEX_Abstract>
    <b:Tag>Liu_2024</b:Tag>
    <b:BIBTEX_KeyWords>Scalability;Complexity theory;Robustness;Surveys;Deep reinforcement learning;Task analysis;Games;Multi-agent systems;Collective intelligence;Multi-agent learning;reinforcement learning;scalability;collective learning</b:BIBTEX_KeyWords>
    <b:DOI>10.1109/access.2024.3410318</b:DOI>
    <b:Author>
      <b:Author>
        <b:NameList>
          <b:Person>
            <b:Last>Liu</b:Last>
            <b:First>Dingbang</b:First>
          </b:Person>
          <b:Person>
            <b:Last>Ren</b:Last>
            <b:First>Fenghui</b:First>
          </b:Person>
          <b:Person>
            <b:Last>Yan</b:Last>
            <b:First>Jun</b:First>
          </b:Person>
          <b:Person>
            <b:Last>Su</b:Last>
            <b:First>Guoxin</b:First>
          </b:Person>
          <b:Person>
            <b:Last>Gu</b:Last>
            <b:First>Wen</b:First>
          </b:Person>
          <b:Person>
            <b:Last>Kato</b:Last>
            <b:First>Shohei</b:First>
          </b:Person>
        </b:NameList>
      </b:Author>
    </b:Author>
    <b:Pages>94610-94631</b:Pages>
    <b:JournalName>IEEE Access</b:JournalName>
    <b:StandardNumber> ISSN: 2169-3536</b:StandardNumber>
    <b:RefOrder>5</b:RefOrder>
  </b:Source>
  <b:Source>
    <b:Year>2023</b:Year>
    <b:BIBTEX_Series>NIPS '23</b:BIBTEX_Series>
    <b:BIBTEX_Entry>inproceedings</b:BIBTEX_Entry>
    <b:SourceType>ConferenceProceedings</b:SourceType>
    <b:Title>Reflexion: language agents with verbal reinforcement learning</b:Title>
    <b:Publisher>Curran Associates Inc.</b:Publisher>
    <b:BIBTEX_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 We release all code, demos, and datasets at https://github.com/noahshinn024/reflexion.</b:BIBTEX_Abstract>
    <b:Tag>10.5555/3666122.3666499</b:Tag>
    <b:BookTitle>Proceedings of the 37th International Conference on Neural Information Processing Systems</b:BookTitle>
    <b:URL>https://dl.acm.org/doi/10.5555/3666122.3666499</b:URL>
    <b:DOI>10.5555/3666122.3666499</b:DOI>
    <b:Author>
      <b:Author>
        <b:NameList>
          <b:Person>
            <b:Last>Shinn</b:Last>
            <b:First>Noah</b:First>
          </b:Person>
          <b:Person>
            <b:Last>Cassano</b:Last>
            <b:First>Federico</b:First>
          </b:Person>
          <b:Person>
            <b:Last>Gopinath</b:Last>
            <b:First>Ashwin</b:First>
          </b:Person>
          <b:Person>
            <b:Last>Narasimhan</b:Last>
            <b:First>Karthik</b:First>
          </b:Person>
          <b:Person>
            <b:Last>Yao</b:Last>
            <b:First>Shunyu</b:First>
          </b:Person>
        </b:NameList>
      </b:Author>
    </b:Author>
    <b:ConferenceName>Proceedings of the 37th International Conference on Neural Information Processing Systems</b:ConferenceName>
    <b:City>Red Hook, NY, USA</b:City>
    <b:RefOrder>6</b:RefOrder>
  </b:Source>
  <b:Source>
    <b:Year>2025</b:Year>
    <b:Volume>28</b:Volume>
    <b:BIBTEX_Entry>article</b:BIBTEX_Entry>
    <b:SourceType>JournalArticle</b:SourceType>
    <b:Title>Optimizing machine learning operations in multi-cloud infrastructure: a framework for unified deployment management and topology discovery</b:Title>
    <b:Publisher>Springer Science and Business Media LLC</b:Publisher>
    <b:BIBTEX_Abstract>Machine learning (ML) transitioned from a purely academic discipline to an applied field, gaining strategic importance in various industries. Meanwhile, Machine Learning Operations (MLOps) has been widely adopted by enterprises as a comprehensive approach for developing and managing machine learning applications. Despite its advantages, challenges remain. The rising demand for flexibility and scalability has led organizations to embrace multi-cloud and hybrid cloud architectures as preferred solutions. However, the autonomous and distributed nature of modern application development, combined with the complexity of training and deploying machine learning models, makes unified operational management impractical, and this will further affect application quality and efficiency. To address these challenges, this paper proposes a framework to manage model training and deployment in a multi-cloud environment. This framework uses a policy-based resource provisioning approach, agent-based application topology reconstruction, and a visualization dashboard. It aims to provide a cloud provider-neutral solution that enhances the quality of application operations. The framework design is introduced, followed by the implementation of a proof-of-concept prototype. Experiments conducted in various empirical scenarios demonstrate that the proposed framework effectively manages deployment resources while providing clear visibility and control across multiple clouds. The results confirm that this framework enhances control over deployment resources and optimizes model deployment efficiency in multi-cloud infrastructure.</b:BIBTEX_Abstract>
    <b:Tag>Wei2025a</b:Tag>
    <b:URL>https://doi.org/10.1007/s10586-025-05584-7</b:URL>
    <b:DOI>10.1007/s10586-025-05584-7</b:DOI>
    <b:Author>
      <b:Author>
        <b:NameList>
          <b:Person>
            <b:Last>Wei</b:Last>
            <b:First>Hao</b:First>
          </b:Person>
          <b:Person>
            <b:Last>Pañeda</b:Last>
            <b:Middle>García</b:Middle>
            <b:First>Xabiel</b:First>
          </b:Person>
          <b:Person>
            <b:Last>Rodriguez</b:Last>
            <b:Middle>Salvachúa</b:Middle>
            <b:First>Joaquín</b:First>
          </b:Person>
        </b:NameList>
      </b:Author>
    </b:Author>
    <b:Pages>933</b:Pages>
    <b:Month>September</b:Month>
    <b:JournalName>Cluster Computing</b:JournalName>
    <b:Number>14</b:Number>
    <b:StandardNumber> ISSN: 1573-7543</b:StandardNumber>
    <b:RefOrder>7</b:RefOrder>
  </b:Source>
  <b:Source>
    <b:Year>2026</b:Year>
    <b:Volume>56</b:Volume>
    <b:BIBTEX_Entry>article</b:BIBTEX_Entry>
    <b:SourceType>JournalArticle</b:SourceType>
    <b:Title>Is Collaboration Worth It? A Decision-Oriented Survey in Multi-Agent Systems</b:Title>
    <b:Tag>Cheng_2026</b:Tag>
    <b:Publisher>Institute of Electrical and Electronics Engineers (IEEE)</b:Publisher>
    <b:DOI>10.36227/techrxiv.176978654.41579706/v1</b:DOI>
    <b:Author>
      <b:Author>
        <b:NameList>
          <b:Person>
            <b:Last>Cheng</b:Last>
            <b:First>Guanjie</b:First>
          </b:Person>
          <b:Person>
            <b:Last>Zhang</b:Last>
            <b:First>Yifan</b:First>
          </b:Person>
          <b:Person>
            <b:Last>Lin</b:Last>
            <b:First>Zewen</b:First>
          </b:Person>
          <b:Person>
            <b:Last>Zhao</b:Last>
            <b:First>Xinkui</b:First>
          </b:Person>
          <b:Person>
            <b:Last>Liu</b:Last>
            <b:First>Sai</b:First>
          </b:Person>
          <b:Person>
            <b:Last>Yin</b:Last>
            <b:First>Jianwei</b:First>
          </b:Person>
          <b:Person>
            <b:Last>Deng</b:Last>
            <b:First>Shuiguang</b:First>
          </b:Person>
        </b:NameList>
      </b:Author>
    </b:Author>
    <b:Month>January</b:Month>
    <b:RefOrder>8</b:RefOrder>
  </b:Source>
  <b:Source>
    <b:Year>2024</b:Year>
    <b:BIBTEX_Entry>misc</b:BIBTEX_Entry>
    <b:SourceType>Misc</b:SourceType>
    <b:Title>Graviton3 Benchmarks for AI Workloads</b:Title>
    <b:Tag>aws2024_graviton</b:Tag>
    <b:BIBTEX_HowPublished>\url{https://aws.amazon.com/ec2/graviton}</b:BIBTEX_HowPublished>
    <b:Author>
      <b:Author>
        <b:Corporate>Amazon Web Services</b:Corporate>
      </b:Author>
    </b:Author>
    <b:PublicationTitle>Graviton3 Benchmarks for AI Workloads</b:PublicationTitle>
    <b:RefOrder>9</b:RefOrder>
  </b:Source>
  <b:Source>
    <b:Year>2023</b:Year>
    <b:BIBTEX_Series>UIST ’23</b:BIBTEX_Series>
    <b:BIBTEX_Entry>inproceedings</b:BIBTEX_Entry>
    <b:SourceType>ConferenceProceedings</b:SourceType>
    <b:Title>Generative Agents: Interactive Simulacra of Human Behavior</b:Title>
    <b:Publisher>ACM</b:Publisher>
    <b:Tag>park2023_generative_agents</b:Tag>
    <b:BookTitle>Proceedings of the 36th Annual ACM Symposium on User Interface Software and Technology</b:BookTitle>
    <b:DOI>10.1145/3586183.3606763</b:DOI>
    <b:Author>
      <b:Author>
        <b:NameList>
          <b:Person>
            <b:Last>Park</b:Last>
            <b:Middle>Sung</b:Middle>
            <b:First>Joon</b:First>
          </b:Person>
          <b:Person>
            <b:Last>O’Brien</b:Last>
            <b:First>Joseph</b:First>
          </b:Person>
          <b:Person>
            <b:Last>Cai</b:Last>
            <b:Middle>Jun</b:Middle>
            <b:First>Carrie</b:First>
          </b:Person>
          <b:Person>
            <b:Last>Morris</b:Last>
            <b:Middle>Ringel</b:Middle>
            <b:First>Meredith</b:First>
          </b:Person>
          <b:Person>
            <b:Last>Liang</b:Last>
            <b:First>Percy</b:First>
          </b:Person>
          <b:Person>
            <b:Last>Bernstein</b:Last>
            <b:Middle>S.</b:Middle>
            <b:First>Michael</b:First>
          </b:Person>
        </b:NameList>
      </b:Author>
    </b:Author>
    <b:Pages>1-22</b:Pages>
    <b:Month>October</b:Month>
    <b:ConferenceName>Proceedings of the 36th Annual ACM Symposium on User Interface Software and Technology</b:ConferenceName>
    <b:RefOrder>10</b:RefOrder>
  </b:Source>
  <b:Source>
    <b:Year>2023</b:Year>
    <b:BIBTEX_Entry>misc</b:BIBTEX_Entry>
    <b:SourceType>Misc</b:SourceType>
    <b:Title>Deploying Diffusers with Docker and Cloud CLIs</b:Title>
    <b:Tag>huggingface2023_diffusers_deploy</b:Tag>
    <b:BIBTEX_HowPublished>\url{https://huggingface.co/docs/diffusers}</b:BIBTEX_HowPublished>
    <b:Author>
      <b:Author>
        <b:Corporate>Hugging Face</b:Corporate>
      </b:Author>
    </b:Author>
    <b:PublicationTitle>Deploying Diffusers with Docker and Cloud CLIs</b:PublicationTitle>
    <b:RefOrder>11</b:RefOrder>
  </b:Source>
  <b:Source>
    <b:Department>Skyflow, Inc.</b:Department>
    <b:Year>2023</b:Year>
    <b:BIBTEX_Entry>techreport</b:BIBTEX_Entry>
    <b:SourceType>Report</b:SourceType>
    <b:Title>Data Privacy and Compliance for LLMs</b:Title>
    <b:Tag>Skyflow2023a</b:Tag>
    <b:BIBTEX_Abstract>The rapid rise of ChatGPT and Large Language Models (LLMs) is raising data privacy concerns with businesses and regulators. Meanwhile, businesses of all sizes are weighing a variety of tradeoffs as they ask questions like: • How quickly can we use LLMs in our core workflows, including those that involve sensitive data? • Where does it make sense to use LLMs, and where should we be more cautious? • How can we balance the need to adopt LLMs to stay competitive against the need to protect our business and our customers? Fortunately, while the booming adoption of LLMs is new, businesses can use another technology that’s already mature to help them navigate these concerns and unblock the adoption of LLMs: the data privacy vault. In this white paper, we’ll look at what we can learn from early LLM adoption headaches, the compliance challenges facing LLM adopters, and why every company needs an AI privacy strategy. We’ll also look at the need to prevent sensitive data from entering LLMs with a data privacy vault, how using a vault addresses compliance concerns like data residency and HIPAA compliance while unblocking LLM adoption, and where a vault fits into your architecture.</b:BIBTEX_Abstract>
    <b:Author>
      <b:Author>
        <b:NameList>
          <b:Person>
            <b:Last>Skyflow</b:Last>
          </b:Person>
        </b:NameList>
      </b:Author>
    </b:Author>
    <b:ThesisType>Tech. rep.</b:ThesisType>
    <b:RefOrder>12</b:RefOrder>
  </b:Source>
  <b:Source>
    <b:Year>2023</b:Year>
    <b:BIBTEX_Entry>article</b:BIBTEX_Entry>
    <b:SourceType>JournalArticle</b:SourceType>
    <b:Title>CrossCloud: Standardizing ML Deployment across Cloud Providers</b:Title>
    <b:Tag>liang2023_crosscloud</b:Tag>
    <b:URL>https://arxiv.org/abs/2304.01922</b:URL>
    <b:DOI>https://doi.org/10.48550/arXiv.2304.01922</b:DOI>
    <b:Author>
      <b:Author>
        <b:NameList>
          <b:Person>
            <b:Last>Liang</b:Last>
            <b:First>Jiawei</b:First>
          </b:Person>
          <b:Person>
            <b:Last>others</b:Last>
          </b:Person>
        </b:NameList>
      </b:Author>
    </b:Author>
    <b:JournalName>arXiv preprint arXiv:2304.01922</b:JournalName>
    <b:RefOrder>13</b:RefOrder>
  </b:Source>
  <b:Source>
    <b:BIBTEX_Entry>techreport</b:BIBTEX_Entry>
    <b:SourceType>Report</b:SourceType>
    <b:Title>Comprehensive Review of Cloud-Driven Machine Learning: A Comparative Analysis of AWS, Azure, and Google Cloud</b:Title>
    <b:Tag>Evansa</b:Tag>
    <b:BIBTEX_Abstract>Machine learning (ML) is transforming industries by automating tasks and generating insights from large datasets. Cloud computing platforms like Amazon Web Services (AWS), Microsoft Azure, and Google Cloud Platform (GCP) provide essential resources that enhance the development and deployment of ML models. This paper provides a comprehensive comparative analysis of these cloud platforms, highlighting their ML services, scalability, cost structures, and integration capabilities. Through case studies and performance benchmarks, we explore how these platforms facilitate different stages of the ML pipeline, addressing the strengths and limitations of each. The study serves as a guide for practitioners and researchers looking to leverage cloud platforms for ML applications [6], [7].</b:BIBTEX_Abstract>
    <b:BIBTEX_KeyWords>AI Services,AWS,Azure,Distributed Computing,Google Cloud,Index Terms-Cloud Computing,Machine Learning</b:BIBTEX_KeyWords>
    <b:URL>https://www.techrxiv.org/users/875493/articles/1255263/master/file/data/p1/p1.pdf</b:URL>
    <b:Author>
      <b:Author>
        <b:NameList>
          <b:Person>
            <b:Last>Evans</b:Last>
            <b:First>Katherine</b:First>
          </b:Person>
          <b:Person>
            <b:Last>Stewart</b:Last>
            <b:First>Ethan</b:First>
          </b:Person>
          <b:Person>
            <b:Last>Foster</b:Last>
            <b:First>Grace</b:First>
          </b:Person>
        </b:NameList>
      </b:Author>
    </b:Author>
    <b:ThesisType>Tech. rep.</b:ThesisType>
    <b:RefOrder>14</b:RefOrder>
  </b:Source>
  <b:Source>
    <b:Year>2023</b:Year>
    <b:BIBTEX_Entry>techreport</b:BIBTEX_Entry>
    <b:SourceType>Report</b:SourceType>
    <b:Title>Cloud TPU v5p Performance and Comparison</b:Title>
    <b:Tag>google2023_tpuv5</b:Tag>
    <b:BIBTEX_HowPublished>\url{https://cloud.google.com/tpu/docs}</b:BIBTEX_HowPublished>
    <b:URL>https://docs.cloud.google.com/tpu/docs/performance-guide</b:URL>
    <b:Author>
      <b:Author>
        <b:NameList>
          <b:Person>
            <b:Last>Cloud.</b:Last>
            <b:First>Google</b:First>
          </b:Person>
        </b:NameList>
      </b:Author>
    </b:Author>
    <b:Month>February</b:Month>
    <b:JournalName>Google Cloud</b:JournalName>
    <b:ThesisType>Tech. rep.</b:ThesisType>
    <b:RefOrder>15</b:RefOrder>
  </b:Source>
  <b:Source>
    <b:Department>Medium</b:Department>
    <b:Year>2025</b:Year>
    <b:BIBTEX_Entry>techreport</b:BIBTEX_Entry>
    <b:SourceType>Report</b:SourceType>
    <b:Title>Cloud AI Platforms: AWS vs. GCP vs. Azure for Machine-Learning Workloads</b:Title>
    <b:Tag>Sem2025a</b:Tag>
    <b:URL>https://medium.com/@virtualik/cloud-ai-platforms-aws-vs-gcp-vs-azure-for-machine-learning-workloads</b:URL>
    <b:Author>
      <b:Author>
        <b:NameList>
          <b:Person>
            <b:Last>Sem</b:Last>
            <b:First>Vitaly</b:First>
          </b:Person>
        </b:NameList>
      </b:Author>
    </b:Author>
    <b:Month>November</b:Month>
    <b:ThesisType>Tech. rep.</b:ThesisType>
    <b:RefOrder>16</b:RefOrder>
  </b:Source>
  <b:Source>
    <b:BIBTEX_Series>ACM books</b:BIBTEX_Series>
    <b:BIBTEX_Entry>article</b:BIBTEX_Entry>
    <b:Comments>Includes bibliographical references and index</b:Comments>
    <b:SourceType>JournalArticle</b:SourceType>
    <b:Title>Causality for Machine Learning</b:Title>
    <b:Publisher>Association for Computing Machinery</b:Publisher>
    <b:BookTitle>Probabilistic and Causal Inference</b:BookTitle>
    <b:Edition>First edition</b:Edition>
    <b:URL>https://www.semanticscholar.org/paper/b5461f9c5d65e87561e00848921ee797902dae14</b:URL>
    <b:Year>2022</b:Year>
    <b:BIBTEX_Abstract>Graphical causal inference as pioneered by Judea Pearl arose from research on artificial intelligence (AI), and for a long time had little connection to the field of machine learning. This article discusses where links have been and should be established, introducing key concepts along the way. It argues that the hard open problems of machine learning and AI are intrinsically related to causality, and explains how the field is beginning to understand them.</b:BIBTEX_Abstract>
    <b:Tag>Sch_lkopf_2022</b:Tag>
    <b:DOI>10.1145/3501714.3501755</b:DOI>
    <b:Author>
      <b:Author>
        <b:NameList>
          <b:Person>
            <b:Last>Schölkopf</b:Last>
            <b:First>Bernhard</b:First>
          </b:Person>
        </b:NameList>
      </b:Author>
      <b:Editor>
        <b:NameList>
          <b:Person>
            <b:Last>Geffner</b:Last>
            <b:First>Hector</b:First>
          </b:Person>
          <b:Person>
            <b:Last>Dechter</b:Last>
            <b:First>Rina</b:First>
          </b:Person>
          <b:Person>
            <b:Last>Halpern</b:Last>
            <b:Middle>Y.</b:Middle>
            <b:First>Joseph</b:First>
          </b:Person>
        </b:NameList>
      </b:Editor>
    </b:Author>
    <b:Pages>765-804</b:Pages>
    <b:Month>February</b:Month>
    <b:JournalName>Probabilistic and Causal Inference</b:JournalName>
    <b:Number>#36</b:Number>
    <b:StandardNumber> ISBN: 9781450395861</b:StandardNumber>
    <b:ConferenceName>Probabilistic and Causal Inference</b:ConferenceName>
    <b:City>[New York, NY, USA]</b:City>
    <b:RefOrder>17</b:RefOrder>
  </b:Source>
  <b:Source>
    <b:Year>2025</b:Year>
    <b:BIBTEX_Entry>misc</b:BIBTEX_Entry>
    <b:SourceType>Misc</b:SourceType>
    <b:Title>Benchmark for MongoDB Vector Search - Atlas - MongoDB Docs</b:Title>
    <b:Tag>MongoDB2025a</b:Tag>
    <b:URL>https://www.mongodb.com/docs/atlas/atlas-vector-search/benchmark/</b:URL>
    <b:Author>
      <b:Author>
        <b:NameList>
          <b:Person>
            <b:Last>MongoDB</b:Last>
          </b:Person>
        </b:NameList>
      </b:Author>
    </b:Author>
    <b:Month>July</b:Month>
    <b:JournalName>MongoDB</b:JournalName>
    <b:PublicationTitle>Benchmark for MongoDB Vector Search - Atlas - MongoDB Docs</b:PublicationTitle>
    <b:RefOrder>18</b:RefOrder>
  </b:Source>
  <b:Source>
    <b:Department>Amazon Web Services, Inc.</b:Department>
    <b:Year>2025</b:Year>
    <b:BIBTEX_Entry>techreport</b:BIBTEX_Entry>
    <b:SourceType>Report</b:SourceType>
    <b:Title>AWS Prescriptive Guidance: Agentic AI patterns and workflows on AWS</b:Title>
    <b:Tag>Sempf2025a</b:Tag>
    <b:BIBTEX_Abstract>Organizations are adopting large language models (LLMs) and software agents to solve dynamic, multidomain problems using a new architectural discipline called agentic patterns. Agentic patterns are foundational blueprints and modular constructs that are used to design and orchestrate goal-oriented AI agents across many contexts.</b:BIBTEX_Abstract>
    <b:Author>
      <b:Author>
        <b:NameList>
          <b:Person>
            <b:Last>Sempf</b:Last>
            <b:First>Aaron</b:First>
          </b:Person>
          <b:Person>
            <b:Last>Hooker</b:Last>
            <b:First>Andrew</b:First>
          </b:Person>
        </b:NameList>
      </b:Author>
    </b:Author>
    <b:Month>July</b:Month>
    <b:ThesisType>Tech. rep.</b:ThesisType>
    <b:RefOrder>19</b:RefOrder>
  </b:Source>
  <b:Source>
    <b:Year>2023</b:Year>
    <b:BIBTEX_Copyright>arXiv.org perpetual, non-exclusive license</b:BIBTEX_Copyright>
    <b:Volume>2023</b:Volume>
    <b:BIBTEX_Entry>article</b:BIBTEX_Entry>
    <b:SourceType>JournalArticle</b:SourceType>
    <b:Title>Augmented Language Models: a Survey</b:Title>
    <b:Publisher>arXiv</b:Publisher>
    <b:BIBTEX_Abstract>This survey reviews works in which language models (LMs) are augmented with reasoning skills and the ability to use tools. The former is defined as decomposing a potentially complex task into simpler subtasks while the latter consists in calling external modules such as a code interpreter. LMs can leverage these augmentations separately or in combination via heuristics, or learn to do so from demonstrations. While adhering to a standard missing tokens prediction objective, such augmented LMs can use various, possibly non-parametric external modules to expand their context processing ability, thus departing from the pure language modeling paradigm. We therefore refer to them as Augmented Language Models (ALMs). The missing token objective allows ALMs to learn to reason, use tools, and even act, while still performing standard natural language tasks and even outperforming most regular LMs on several benchmarks. In this work, after reviewing current advance in ALMs, we conclude that this new research direction has the potential to address common limitations of traditional LMs such as interpretability, consistency, and scalability issues.</b:BIBTEX_Abstract>
    <b:Tag>Mialon2023a</b:Tag>
    <b:BIBTEX_KeyWords>Computation and Language (cs.CL), FOS: Computer and information sciences, FOS: Computer and information sciences</b:BIBTEX_KeyWords>
    <b:URL>http://arxiv.org/abs/2302.07842</b:URL>
    <b:DOI>10.48550/ARXIV.2302.07842</b:DOI>
    <b:Author>
      <b:Author>
        <b:NameList>
          <b:Person>
            <b:Last>Mialon</b:Last>
            <b:First>Grégoire</b:First>
          </b:Person>
          <b:Person>
            <b:Last>Dessì</b:Last>
            <b:First>Roberto</b:First>
          </b:Person>
          <b:Person>
            <b:Last>Lomeli</b:Last>
            <b:First>Maria</b:First>
          </b:Person>
          <b:Person>
            <b:Last>Nalmpantis</b:Last>
            <b:First>Christoforos</b:First>
          </b:Person>
          <b:Person>
            <b:Last>Pasunuru</b:Last>
            <b:First>Ram</b:First>
          </b:Person>
          <b:Person>
            <b:Last>Raileanu</b:Last>
            <b:First>Roberta</b:First>
          </b:Person>
          <b:Person>
            <b:Last>Rozière</b:Last>
            <b:First>Baptiste</b:First>
          </b:Person>
          <b:Person>
            <b:Last>Schick</b:Last>
            <b:First>Timo</b:First>
          </b:Person>
          <b:Person>
            <b:Last>Dwivedi-Yu</b:Last>
            <b:First>Jane</b:First>
          </b:Person>
          <b:Person>
            <b:Last>Celikyilmaz</b:Last>
            <b:First>Asli</b:First>
          </b:Person>
          <b:Person>
            <b:Last>Grave</b:Last>
            <b:First>Edouard</b:First>
          </b:Person>
          <b:Person>
            <b:Last>LeCun</b:Last>
            <b:First>Yann</b:First>
          </b:Person>
          <b:Person>
            <b:Last>Scialom</b:Last>
            <b:First>Thomas</b:First>
          </b:Person>
        </b:NameList>
      </b:Author>
    </b:Author>
    <b:Month>February</b:Month>
    <b:JournalName>Transactions on Machine Learning Research</b:JournalName>
    <b:RefOrder>20</b:RefOrder>
  </b:Source>
  <b:Source>
    <b:Year>2021</b:Year>
    <b:BIBTEX_Copyright>Creative Commons Attribution 4.0 International</b:BIBTEX_Copyright>
    <b:BIBTEX_Entry>article</b:BIBTEX_Entry>
    <b:SourceType>JournalArticle</b:SourceType>
    <b:Title>Accounting for Variance in Machine Learning Benchmarks</b:Title>
    <b:Publisher>arXiv</b:Publisher>
    <b:Tag>bouthillier2021accountingvariancemachinelearning</b:Tag>
    <b:BIBTEX_KeyWords>Machine Learning (cs.LG), Machine Learning (stat.ML), FOS: Computer and information sciences, FOS: Computer and information sciences</b:BIBTEX_KeyWords>
    <b:URL>https://arxiv.org/abs/2103.03098</b:URL>
    <b:DOI>10.48550/ARXIV.2103.03098</b:DOI>
    <b:Author>
      <b:Author>
        <b:NameList>
          <b:Person>
            <b:Last>Bouthillier</b:Last>
            <b:First>Xavier</b:First>
          </b:Person>
          <b:Person>
            <b:Last>Delaunay</b:Last>
            <b:First>Pierre</b:First>
          </b:Person>
          <b:Person>
            <b:Last>Bronzi</b:Last>
            <b:First>Mirko</b:First>
          </b:Person>
          <b:Person>
            <b:Last>Trofimov</b:Last>
            <b:First>Assya</b:First>
          </b:Person>
          <b:Person>
            <b:Last>Nichyporuk</b:Last>
            <b:First>Brennan</b:First>
          </b:Person>
          <b:Person>
            <b:Last>Szeto</b:Last>
            <b:First>Justin</b:First>
          </b:Person>
          <b:Person>
            <b:Last>Sepah</b:Last>
            <b:First>Naz</b:First>
          </b:Person>
          <b:Person>
            <b:Last>Raff</b:Last>
            <b:First>Edward</b:First>
          </b:Person>
          <b:Person>
            <b:Last>Madan</b:Last>
            <b:First>Kanika</b:First>
          </b:Person>
          <b:Person>
            <b:Last>Voleti</b:Last>
            <b:First>Vikram</b:First>
          </b:Person>
          <b:Person>
            <b:Last>Kahou</b:Last>
            <b:Middle>Ebrahimi</b:Middle>
            <b:First>Samira</b:First>
          </b:Person>
          <b:Person>
            <b:Last>Michalski</b:Last>
            <b:First>Vincent</b:First>
          </b:Person>
          <b:Person>
            <b:Last>Serdyuk</b:Last>
            <b:First>Dmitriy</b:First>
          </b:Person>
          <b:Person>
            <b:Last>Arbel</b:Last>
            <b:First>Tal</b:First>
          </b:Person>
          <b:Person>
            <b:Last>Pal</b:Last>
            <b:First>Chris</b:First>
          </b:Person>
          <b:Person>
            <b:Last>Varoquaux</b:Last>
            <b:First>Gaël</b:First>
          </b:Person>
          <b:Person>
            <b:Last>Vincent</b:Last>
            <b:First>Pascal</b:First>
          </b:Person>
        </b:NameList>
      </b:Author>
    </b:Author>
    <b:RefOrder>21</b:RefOrder>
  </b:Source>
  <b:Source>
    <b:Year>2025</b:Year>
    <b:Volume>27</b:Volume>
    <b:BIBTEX_Entry>article</b:BIBTEX_Entry>
    <b:SourceType>JournalArticle</b:SourceType>
    <b:Title>A Survey on Semantic Communication Networks: Architecture, Security, and Privacy</b:Title>
    <b:Publisher>Institute of Electrical and Electronics Engineers (IEEE)</b:Publisher>
    <b:BIBTEX_Abstract>The emergence of Semantic Communication (SemCom) is revolutionizing wireless networks, particularly in the context of next-generation communication systems (6 G). Unlike the conventional Shannon-based paradigm, which focuses on the accurate transmission of raw data, SemCom leverages machine learning (ML) to extract and transmit only the semantic meaning of information, thereby significantly reducing communication overhead and enhancing spectral efficiency. SemCom has broad applications across diverse fields, including the metaverse, digital twins, tactile Internet, autonomous vehicles, and satellite-unmanned aerial vehicle (UAV) networks. Among these, Autonomous Driving Networks (ADNs) present a unique challenges where SemCom can play a crucial role. In ADNs, SemCom can optimize the design of semantic encoders and decoders for Vehicle Edge Clouds (VECs) and autonomous vehicles, facilitating more efficient data transmission and decisionmaking. However, integrating SemCom into ADNs introduces several challenges, including adversarial attacks, privacy risks, and diversity among vehicles. This paper provides a comprehensive survey on the challenges of SemCom in ADNs. We explore state-of-the-art research trends aimed at addressing these challenges. Finally, we discuss potential future directions for SemCom in autonomous vehicle networks.</b:BIBTEX_Abstract>
    <b:Tag>Guo_2025</b:Tag>
    <b:BIBTEX_KeyWords>Security;Surveys;Privacy;Artificial intelligence;Knowledge based systems;Collaboration;Training;Sensors;Wireless communication;Computer hacking;Semantic communication;networks;artificial intelligence;security;privacy;trust</b:BIBTEX_KeyWords>
    <b:DOI>10.1109/comst.2024.3516819</b:DOI>
    <b:Author>
      <b:Author>
        <b:NameList>
          <b:Person>
            <b:Last>Guo</b:Last>
            <b:First>Shaolong</b:First>
          </b:Person>
          <b:Person>
            <b:Last>Wang</b:Last>
            <b:First>Yuntao</b:First>
          </b:Person>
          <b:Person>
            <b:Last>Zhang</b:Last>
            <b:First>Ning</b:First>
          </b:Person>
          <b:Person>
            <b:Last>Su</b:Last>
            <b:First>Zhou</b:First>
          </b:Person>
          <b:Person>
            <b:Last>Luan</b:Last>
            <b:Middle>H.</b:Middle>
            <b:First>Tom</b:First>
          </b:Person>
          <b:Person>
            <b:Last>Tian</b:Last>
            <b:First>Zhiyi</b:First>
          </b:Person>
          <b:Person>
            <b:Last>Shen</b:Last>
            <b:First>Xuemin</b:First>
          </b:Person>
        </b:NameList>
      </b:Author>
    </b:Author>
    <b:Pages>2860-2894</b:Pages>
    <b:Month>October</b:Month>
    <b:JournalName>IEEE Communications Surveys &amp; Tutorials</b:JournalName>
    <b:Number>5</b:Number>
    <b:StandardNumber> ISSN: 2373-745X</b:StandardNumber>
    <b:RefOrder>22</b:RefOrder>
  </b:Source>
</b:Sources>
</file>

<file path=customXml/itemProps1.xml><?xml version="1.0" encoding="utf-8"?>
<ds:datastoreItem xmlns:ds="http://schemas.openxmlformats.org/officeDocument/2006/customXml" ds:itemID="{75BB0085-B14A-4B0B-B76B-4ACEAF095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1964</Words>
  <Characters>12665</Characters>
  <Application>Microsoft Office Word</Application>
  <DocSecurity>0</DocSecurity>
  <Lines>257</Lines>
  <Paragraphs>43</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25</cp:revision>
  <dcterms:created xsi:type="dcterms:W3CDTF">2026-02-03T03:35:00Z</dcterms:created>
  <dcterms:modified xsi:type="dcterms:W3CDTF">2026-02-04T04:48:00Z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f053c014-30d9-4e52-8ae3-513f616fb25a</vt:lpwstr>
  </property>
</Properties>
</file>