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02770016" w:rsidR="006A4F69" w:rsidRPr="00A4116F" w:rsidRDefault="002E0D90" w:rsidP="00A4116F">
      <w:pPr>
        <w:pStyle w:val="ChapterTitle"/>
      </w:pPr>
      <w:r w:rsidRPr="00A4116F">
        <w:t xml:space="preserve">Chapter </w:t>
      </w:r>
      <w:r w:rsidR="005514A4" w:rsidRPr="00A4116F">
        <w:t>8</w:t>
      </w:r>
    </w:p>
    <w:p w14:paraId="1DBBEC48" w14:textId="5F8EE815" w:rsidR="002E0D90" w:rsidRPr="00A4116F" w:rsidRDefault="00AF5610" w:rsidP="00A4116F">
      <w:pPr>
        <w:pStyle w:val="ChapterTitle"/>
      </w:pPr>
      <w:r w:rsidRPr="00A4116F">
        <w:t>Platforms, Privacy, Vaults, Execution Surface</w:t>
      </w:r>
      <w:r w:rsidR="00351F60" w:rsidRPr="00A4116F">
        <w:t>s</w:t>
      </w:r>
    </w:p>
    <w:p w14:paraId="4D644937" w14:textId="77777777" w:rsidR="002E0D90" w:rsidRPr="00A4116F" w:rsidRDefault="00B67FE5" w:rsidP="00A4116F">
      <w:pPr>
        <w:pStyle w:val="ChapterTitle"/>
      </w:pPr>
      <w:r w:rsidRPr="00A4116F">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3A4686B5" w14:textId="2ACA9961" w:rsidR="002E0D90" w:rsidRPr="002E0D90" w:rsidRDefault="002D4FFD" w:rsidP="009862E1">
      <w:pPr>
        <w:pStyle w:val="Secondaryheadings"/>
      </w:pPr>
      <w:r>
        <w:t>Introduction</w:t>
      </w:r>
    </w:p>
    <w:p w14:paraId="3EAAA499" w14:textId="77777777" w:rsidR="002E0D90" w:rsidRPr="002E0D90" w:rsidRDefault="002E0D90">
      <w:pPr>
        <w:rPr>
          <w:sz w:val="18"/>
          <w:szCs w:val="18"/>
          <w:lang w:val="en-GB"/>
        </w:rPr>
      </w:pPr>
    </w:p>
    <w:p w14:paraId="40F1E5FA" w14:textId="45CE0433" w:rsidR="00F7355D" w:rsidRDefault="00F7355D" w:rsidP="00F7355D">
      <w:pPr>
        <w:pStyle w:val="Intro"/>
      </w:pPr>
      <w:r>
        <w:t xml:space="preserve">As artificial intelligence systems transition from passive analytical tools to agentic participants in cybersecurity operations, the primary source of risk shifts </w:t>
      </w:r>
      <w:r w:rsidR="00306BB6">
        <w:t>from model capability to</w:t>
      </w:r>
      <w:r>
        <w:t xml:space="preserve"> execution context. The question is no longer whether an AI system can reason effectively about a threat, but where, how, and under what constraints that reasoning is allowed to materialize into action.</w:t>
      </w:r>
    </w:p>
    <w:p w14:paraId="32F6DE69" w14:textId="4753E83E" w:rsidR="00CF5790" w:rsidRDefault="00F941E0" w:rsidP="00F7355D">
      <w:pPr>
        <w:pStyle w:val="Intro"/>
      </w:pPr>
      <w:r w:rsidRPr="00F941E0">
        <w:t>Contemporary discourse on agentic AI concentrates on model architecture (e.g., Transformers, diffusion pipelines, reinforcement learning, or prompt chaining) while treating the underlying platform as a neutral substrate. This assumption is incorrect. Platforms encode governance decisions through identity boundaries, execution privileges, persistence models, and observability constraints. These properties ultimately determine whether autonomy remains bounded or escalates into systemic exposure.</w:t>
      </w:r>
    </w:p>
    <w:p w14:paraId="2598A5CD" w14:textId="1C445F37" w:rsidR="00F7355D" w:rsidRDefault="00F7355D" w:rsidP="00F7355D">
      <w:pPr>
        <w:pStyle w:val="Intro"/>
      </w:pPr>
      <w:r>
        <w:t>This chapter reframes platforms, privacy mechanisms, secret vaults, and execution surfaces as control infrastructure</w:t>
      </w:r>
      <w:r w:rsidR="00306BB6">
        <w:t xml:space="preserve"> rather than</w:t>
      </w:r>
      <w:r>
        <w:t xml:space="preserve"> auxiliary services. In operational cybersecurity environments, these elements function as the final authority layer between cognition and consequence. Models may generate hypotheses, plans, or recommended actions, but platforms </w:t>
      </w:r>
      <w:r w:rsidR="002736D3">
        <w:t>determine what can be executed</w:t>
      </w:r>
      <w:r>
        <w:t>, with what authority, for how long, and under what auditability guarantees.</w:t>
      </w:r>
    </w:p>
    <w:p w14:paraId="5AC030FD" w14:textId="099AD6CA" w:rsidR="00F7355D" w:rsidRDefault="00F7355D" w:rsidP="00F7355D">
      <w:pPr>
        <w:pStyle w:val="Intro"/>
      </w:pPr>
      <w:r>
        <w:t xml:space="preserve">Privacy, in this context, is not merely a compliance obligation. It is a stability requirement. Persistent context accumulation, uncontrolled memory retention, and opaque data reuse introduce feedback loops that amplify misalignment and undermine forensic accountability. Systems that </w:t>
      </w:r>
      <w:r>
        <w:lastRenderedPageBreak/>
        <w:t>cannot enforce forgetting cannot be governed reliably, regardless of model sophistication.</w:t>
      </w:r>
    </w:p>
    <w:p w14:paraId="1A243686" w14:textId="1ADE917D" w:rsidR="00F7355D" w:rsidRDefault="00F7355D" w:rsidP="00F7355D">
      <w:pPr>
        <w:pStyle w:val="Intro"/>
      </w:pPr>
      <w:r>
        <w:t>Similarly, vaults and secrets management systems must be understood as trust boundaries, not storage conveniences. By externalizing authority</w:t>
      </w:r>
      <w:r w:rsidR="009517CA">
        <w:t xml:space="preserve"> </w:t>
      </w:r>
      <w:r w:rsidR="00BE3730">
        <w:t>(e.g.</w:t>
      </w:r>
      <w:r w:rsidR="00620DDA">
        <w:t>,</w:t>
      </w:r>
      <w:r w:rsidR="00BE3730">
        <w:t xml:space="preserve"> </w:t>
      </w:r>
      <w:r>
        <w:t>credentials, signing keys, privileged tokens</w:t>
      </w:r>
      <w:r w:rsidR="00BE3730">
        <w:t xml:space="preserve">) </w:t>
      </w:r>
      <w:r>
        <w:t>away from cognitive components, architectures preserve a critical separation between reasoning and power. This separation enables revocation, replay, and audit, even under adversarial or degraded conditions.</w:t>
      </w:r>
    </w:p>
    <w:p w14:paraId="62E33C94" w14:textId="77777777" w:rsidR="00F7355D" w:rsidRDefault="00F7355D" w:rsidP="00F7355D">
      <w:pPr>
        <w:pStyle w:val="Intro"/>
      </w:pPr>
      <w:r>
        <w:t>Execution surfaces represent the narrow interfaces where intent becomes impact. Poorly defined or overly permissive execution paths create nonlinear risk escalation, particularly in automated or semi-automated response scenarios. Constraining these surfaces through simulation, scope limitation, and policy mediation is essential to preventing cascading failure.</w:t>
      </w:r>
    </w:p>
    <w:p w14:paraId="55F9AED7" w14:textId="347E8ED9" w:rsidR="00F7355D" w:rsidRDefault="00F7355D" w:rsidP="00F7355D">
      <w:pPr>
        <w:pStyle w:val="Intro"/>
      </w:pPr>
      <w:r>
        <w:t>The central argument of this chapter is that safe agentic behavior does not emerge from smarter models, but from stricter infrastructure. Autonomy must be shaped by platform-enforced boundaries that are inspectable, revocable, and independently governed. In cybersecurity operations</w:t>
      </w:r>
      <w:r w:rsidR="001D5B90">
        <w:t xml:space="preserve">, </w:t>
      </w:r>
      <w:r>
        <w:t>where errors propagate at machine speed</w:t>
      </w:r>
      <w:r w:rsidR="00620DDA">
        <w:t>,</w:t>
      </w:r>
      <w:r>
        <w:t xml:space="preserve"> and stakes are measured in real-world damage</w:t>
      </w:r>
      <w:r w:rsidR="001D5B90">
        <w:t xml:space="preserve">, </w:t>
      </w:r>
      <w:r>
        <w:t>this distinction is not theoretical.</w:t>
      </w:r>
    </w:p>
    <w:p w14:paraId="4CDCFF36" w14:textId="77777777" w:rsidR="003F16F2" w:rsidRDefault="00F7355D" w:rsidP="00F73643">
      <w:pPr>
        <w:pStyle w:val="Intro"/>
      </w:pPr>
      <w:r>
        <w:t>By examining platforms, privacy controls, vault architectures, and execution surfaces as interlocking components of a cognitive control plane, this chapter establishes the infrastructural preconditions required for deploying agentic AI systems responsibly in security-critical environments.</w:t>
      </w:r>
    </w:p>
    <w:p w14:paraId="7CB6F607" w14:textId="10A97958" w:rsidR="00896E0C" w:rsidRDefault="00896E0C" w:rsidP="00687B0F">
      <w:pPr>
        <w:pStyle w:val="Secondaryheadings"/>
        <w:divId w:val="2144078474"/>
        <w:rPr>
          <w:sz w:val="36"/>
          <w:szCs w:val="36"/>
        </w:rPr>
      </w:pPr>
      <w:r>
        <w:t xml:space="preserve">8.1 Platforms as </w:t>
      </w:r>
      <w:r w:rsidR="00A6548C">
        <w:t>cognitive substrates</w:t>
      </w:r>
    </w:p>
    <w:p w14:paraId="77977DD6" w14:textId="77777777" w:rsidR="00176CAF" w:rsidRDefault="00176CAF" w:rsidP="006B1B15">
      <w:pPr>
        <w:pStyle w:val="Main"/>
        <w:divId w:val="1735394557"/>
        <w:rPr>
          <w:sz w:val="24"/>
          <w:szCs w:val="24"/>
        </w:rPr>
      </w:pPr>
      <w:r>
        <w:t>Platforms have long been recognized as active participants in system behavior rather than neutral execution environments, particularly through their enforcement of identity, isolation, and privilege boundaries (Saltzer and Schroeder 1975; Lampson 2004). Large-scale cloud architectures further encode governance decisions by centralizing control planes that regulate execution, persistence, and observability independently of application logic (Armbrust et al. 2010; Burns et al. 2016). Containerization and orchestration frameworks formalize these constraints by separating workload description from execution authority, enabling reproducible and policy-governed runtime behavior (Merkel 2014; Pahl 2015).</w:t>
      </w:r>
    </w:p>
    <w:p w14:paraId="09C374CE" w14:textId="168B0C49" w:rsidR="00176CAF" w:rsidRDefault="00176CAF" w:rsidP="006B1B15">
      <w:pPr>
        <w:pStyle w:val="Main"/>
        <w:divId w:val="1735394557"/>
      </w:pPr>
      <w:r>
        <w:t xml:space="preserve">In security-critical systems, execution context </w:t>
      </w:r>
      <w:r w:rsidR="00251CBA">
        <w:t>is</w:t>
      </w:r>
      <w:r>
        <w:t xml:space="preserve"> as consequential as algorithmic capability, as privilege expansion, lateral movement, and persistence failures frequently originate at the platform layer rather than within application code (NIST SP 800-53; Behl and Behl 2017). Observability infrastructures</w:t>
      </w:r>
      <w:r w:rsidR="00251CBA">
        <w:t>, such as distributed tracing and structured telemetry, transform platforms into control instruments by enabling deterministic replay, forensic reconstruction, and post hoc accountability (Sigelman et al., 2010; Google SRE,</w:t>
      </w:r>
      <w:r>
        <w:t xml:space="preserve"> 2016). Conversely, platforms optimized primarily for elasticity or developer convenience often collapse identity, execution, and persistence into a single operational plane, increasing systemic exposure under automation (AWS Well-Architected Framework; Azure Well-Architected Framework).</w:t>
      </w:r>
    </w:p>
    <w:p w14:paraId="2A64B244" w14:textId="13C44E90" w:rsidR="00176CAF" w:rsidRDefault="00176CAF" w:rsidP="006B1B15">
      <w:pPr>
        <w:pStyle w:val="Main"/>
        <w:divId w:val="1735394557"/>
      </w:pPr>
      <w:r>
        <w:t xml:space="preserve">These findings support the architectural position that agentic behavior is bounded not </w:t>
      </w:r>
      <w:r w:rsidR="00046EC1">
        <w:t xml:space="preserve">only by model design but also </w:t>
      </w:r>
      <w:r>
        <w:t>by platform-enforced constraints on authority, visibility, and actionability. As autonomy increases, the platform increasingly functions as a cognitive substrate</w:t>
      </w:r>
      <w:r w:rsidR="00080F7A">
        <w:t xml:space="preserve">, </w:t>
      </w:r>
      <w:r>
        <w:t>defining not only where computation occurs, but under what conditions reasoning may safely transition into action (Leveson 2011; NIST AI RMF).</w:t>
      </w:r>
    </w:p>
    <w:p w14:paraId="1209692D" w14:textId="2C49778D" w:rsidR="00896E0C" w:rsidRDefault="00896E0C" w:rsidP="006F597E">
      <w:pPr>
        <w:pStyle w:val="Main"/>
        <w:divId w:val="2144078474"/>
      </w:pPr>
      <w:r w:rsidRPr="00A355AD">
        <w:t>Platforms are not neutral deployment environments. They encode assumptions about identity, persistence, isolation, observability, and control, and these assumptions directly shape the behavior of autonomous and semi-autonomous systems</w:t>
      </w:r>
      <w:r w:rsidR="00D53D53">
        <w:t xml:space="preserve"> </w:t>
      </w:r>
      <w:r w:rsidR="0028076D">
        <w:t>(Saltzer and Schroeder 1975; Lampson 2004; Leveson 2011)</w:t>
      </w:r>
      <w:r w:rsidRPr="00A355AD">
        <w:t xml:space="preserve">. In cognitive defense architectures, the platform </w:t>
      </w:r>
      <w:r w:rsidR="00046EC1">
        <w:t>serves as the substrate on which reasoning, action, and auditability are constrained (Armbrust et al., 2010; Burns et al.,</w:t>
      </w:r>
      <w:r w:rsidR="00CE7ED3">
        <w:t xml:space="preserve"> 2016)</w:t>
      </w:r>
      <w:r w:rsidRPr="00A355AD">
        <w:t>. What an agent is allowed to do is therefore inseparable from where it is allowed to exist</w:t>
      </w:r>
      <w:r w:rsidR="00A35453">
        <w:t xml:space="preserve"> </w:t>
      </w:r>
      <w:r w:rsidR="00AC457E">
        <w:t>(NIST SP 800-53 Rev. 5; NIST AI RMF 1.0)</w:t>
      </w:r>
      <w:r w:rsidRPr="00A355AD">
        <w:t>.</w:t>
      </w:r>
    </w:p>
    <w:p w14:paraId="76983433" w14:textId="7E3AB05C" w:rsidR="00B10471" w:rsidRDefault="00B10471" w:rsidP="00E5115E">
      <w:pPr>
        <w:pStyle w:val="Main"/>
      </w:pPr>
      <w:r>
        <w:t>Cloud platforms designed for elastic, multi-tenant operation (such as Amazon Web Services, Microsoft Azure, and Google Cloud Platform) offer elastic compute, managed services, and operational convenience at scale</w:t>
      </w:r>
      <w:r w:rsidR="00C235DA">
        <w:t xml:space="preserve"> (Armbrust et al. 2010; AWS Well-Architected Framework; Azure Well-Architected Framework; Google Cloud Architecture Framework)</w:t>
      </w:r>
      <w:r>
        <w:t>. These characteristics are necessary but insufficient for agentic systems operating in security-critical environments</w:t>
      </w:r>
      <w:r w:rsidR="006D79DB">
        <w:t xml:space="preserve"> (Leveson 2011; Behl and Behl 2017)</w:t>
      </w:r>
      <w:r>
        <w:t xml:space="preserve">. </w:t>
      </w:r>
      <w:r w:rsidRPr="00A355AD">
        <w:t>Elasticity describes how resources expand and contract; it does not describe how authority is bounded</w:t>
      </w:r>
      <w:r w:rsidR="00D57A04">
        <w:t xml:space="preserve"> (Saltzer and Schroeder 1975; Lampson 2004)</w:t>
      </w:r>
      <w:r w:rsidRPr="00A355AD">
        <w:t xml:space="preserve">. For cognitive defense, the decisive property of a platform is whether it supports </w:t>
      </w:r>
      <w:r w:rsidRPr="00A355AD">
        <w:rPr>
          <w:rStyle w:val="PageNumber"/>
        </w:rPr>
        <w:t>bounded execution with enforceable guarantees</w:t>
      </w:r>
      <w:r w:rsidR="00C42092">
        <w:rPr>
          <w:rStyle w:val="PageNumber"/>
        </w:rPr>
        <w:t xml:space="preserve"> </w:t>
      </w:r>
      <w:r w:rsidR="00312C0C">
        <w:t>(NIST SP 800-53 Rev. 5; Miller et al. 2003)</w:t>
      </w:r>
      <w:r w:rsidRPr="00A355AD">
        <w:t>.</w:t>
      </w:r>
    </w:p>
    <w:p w14:paraId="2275B6FD" w14:textId="24231499" w:rsidR="007B1035" w:rsidRPr="00A355AD" w:rsidRDefault="007B1035" w:rsidP="0014621C">
      <w:pPr>
        <w:pStyle w:val="Main"/>
      </w:pPr>
      <w:r w:rsidRPr="00A355AD">
        <w:t>A platform suitable for agentic cybersecurity must make constraints explicit rather than implicit</w:t>
      </w:r>
      <w:r w:rsidR="005D1FAE">
        <w:t xml:space="preserve"> (Burns et al.</w:t>
      </w:r>
      <w:r w:rsidR="00046EC1">
        <w:t>, 2016; Kubernetes SIG Security)</w:t>
      </w:r>
      <w:r w:rsidRPr="00A355AD">
        <w:t>. Identity must be scoped to execution contexts rather than embedded in application logic</w:t>
      </w:r>
      <w:r w:rsidR="00A9534A">
        <w:t xml:space="preserve"> (NIST SP 800-53 Rev. 5; Miller et al. 2003)</w:t>
      </w:r>
      <w:r w:rsidRPr="00A355AD">
        <w:t>. Isolation must separate reasoning processes from action surfaces, preventing lateral privilege expansion</w:t>
      </w:r>
      <w:r w:rsidR="00A9534A">
        <w:t xml:space="preserve"> (Saltzer and Schroeder 1975; Lampson 2004)</w:t>
      </w:r>
      <w:r w:rsidRPr="00A355AD">
        <w:t>. Persistence must be optional and governed, not an ambient default</w:t>
      </w:r>
      <w:r w:rsidR="00CA5834">
        <w:t xml:space="preserve"> (Carlini et al. 2021; Shokri et al. 2017)</w:t>
      </w:r>
      <w:r w:rsidRPr="00A355AD">
        <w:t xml:space="preserve">. Observability must be continuous and structured, enabling </w:t>
      </w:r>
      <w:r w:rsidR="00306BB6">
        <w:t>the reconstruction of decisions after the fact rather than retrospective interpretation (Sigelman et al., 2010; Google SRE,</w:t>
      </w:r>
      <w:r w:rsidR="004029F4">
        <w:t xml:space="preserve"> 2016)</w:t>
      </w:r>
      <w:r w:rsidRPr="00A355AD">
        <w:t>.</w:t>
      </w:r>
    </w:p>
    <w:p w14:paraId="1F1DCF8D" w14:textId="77777777" w:rsidR="00EC2AA0" w:rsidRPr="00A355AD" w:rsidRDefault="00EC2AA0" w:rsidP="0014621C">
      <w:pPr>
        <w:pStyle w:val="Main"/>
      </w:pPr>
      <w:r w:rsidRPr="00A355AD">
        <w:t>Within this framing, cognitive defense systems require platforms that can:</w:t>
      </w:r>
    </w:p>
    <w:p w14:paraId="55B00F0A" w14:textId="1ED90745" w:rsidR="00EC2AA0" w:rsidRPr="00A355AD" w:rsidRDefault="00EC2AA0" w:rsidP="0014621C">
      <w:pPr>
        <w:pStyle w:val="Footer"/>
        <w:numPr>
          <w:ilvl w:val="0"/>
          <w:numId w:val="1"/>
        </w:numPr>
        <w:rPr>
          <w:sz w:val="20"/>
          <w:szCs w:val="20"/>
        </w:rPr>
      </w:pPr>
      <w:r w:rsidRPr="00A355AD">
        <w:rPr>
          <w:sz w:val="20"/>
          <w:szCs w:val="20"/>
        </w:rPr>
        <w:t>Enforce identity-scoped execution, ensuring that actions are always attributable to a defined role, policy, or trust domain</w:t>
      </w:r>
      <w:r w:rsidR="009A5B88">
        <w:rPr>
          <w:sz w:val="20"/>
          <w:szCs w:val="20"/>
        </w:rPr>
        <w:t xml:space="preserve"> </w:t>
      </w:r>
      <w:r w:rsidR="00602953" w:rsidRPr="00602953">
        <w:rPr>
          <w:sz w:val="20"/>
          <w:szCs w:val="20"/>
        </w:rPr>
        <w:t>(NIST SP 800-53 Rev. 5)</w:t>
      </w:r>
    </w:p>
    <w:p w14:paraId="5E3DE306" w14:textId="2CBFAD22" w:rsidR="00EC2AA0" w:rsidRPr="00A355AD" w:rsidRDefault="00EC2AA0" w:rsidP="0014621C">
      <w:pPr>
        <w:pStyle w:val="Footer"/>
        <w:numPr>
          <w:ilvl w:val="0"/>
          <w:numId w:val="1"/>
        </w:numPr>
        <w:rPr>
          <w:sz w:val="20"/>
          <w:szCs w:val="20"/>
        </w:rPr>
      </w:pPr>
      <w:r w:rsidRPr="00A355AD">
        <w:rPr>
          <w:sz w:val="20"/>
          <w:szCs w:val="20"/>
        </w:rPr>
        <w:t>Provide strong isolation between reasoning and action, preventing cognitive components from directly exercising authority</w:t>
      </w:r>
      <w:r w:rsidR="00602953">
        <w:rPr>
          <w:sz w:val="20"/>
          <w:szCs w:val="20"/>
        </w:rPr>
        <w:t xml:space="preserve"> </w:t>
      </w:r>
      <w:r w:rsidR="00602953" w:rsidRPr="00602953">
        <w:rPr>
          <w:sz w:val="20"/>
          <w:szCs w:val="20"/>
        </w:rPr>
        <w:t>(Saltzer and Schroeder 1975; Miller et al. 2003)</w:t>
      </w:r>
    </w:p>
    <w:p w14:paraId="073B48B5" w14:textId="5D013656" w:rsidR="00EC2AA0" w:rsidRPr="00A355AD" w:rsidRDefault="00EC2AA0" w:rsidP="0014621C">
      <w:pPr>
        <w:pStyle w:val="Footer"/>
        <w:numPr>
          <w:ilvl w:val="0"/>
          <w:numId w:val="1"/>
        </w:numPr>
        <w:rPr>
          <w:sz w:val="20"/>
          <w:szCs w:val="20"/>
        </w:rPr>
      </w:pPr>
      <w:r w:rsidRPr="00A355AD">
        <w:rPr>
          <w:sz w:val="20"/>
          <w:szCs w:val="20"/>
        </w:rPr>
        <w:t>Support deterministic replay and forensic reconstruction, allowing decisions to be examined under the same constraints in which they were made</w:t>
      </w:r>
      <w:r w:rsidR="007102D3">
        <w:rPr>
          <w:sz w:val="20"/>
          <w:szCs w:val="20"/>
        </w:rPr>
        <w:t xml:space="preserve"> </w:t>
      </w:r>
      <w:r w:rsidR="007102D3" w:rsidRPr="007102D3">
        <w:rPr>
          <w:sz w:val="20"/>
          <w:szCs w:val="20"/>
        </w:rPr>
        <w:t>(Sigelman et al. 2010; Doshi-Velez and Kim 2017)</w:t>
      </w:r>
    </w:p>
    <w:p w14:paraId="0860EDF9" w14:textId="4EB36E50" w:rsidR="00EC2AA0" w:rsidRPr="00A355AD" w:rsidRDefault="00EC2AA0" w:rsidP="0014621C">
      <w:pPr>
        <w:pStyle w:val="Footer"/>
        <w:numPr>
          <w:ilvl w:val="0"/>
          <w:numId w:val="1"/>
        </w:numPr>
        <w:rPr>
          <w:sz w:val="20"/>
          <w:szCs w:val="20"/>
        </w:rPr>
      </w:pPr>
      <w:r w:rsidRPr="00A355AD">
        <w:rPr>
          <w:sz w:val="20"/>
          <w:szCs w:val="20"/>
        </w:rPr>
        <w:t>Treat telemetry as a first-class control signal rather than a debugging artifact, closing the loop between observation and governance</w:t>
      </w:r>
      <w:r w:rsidR="00F019C8">
        <w:rPr>
          <w:sz w:val="20"/>
          <w:szCs w:val="20"/>
        </w:rPr>
        <w:t xml:space="preserve"> </w:t>
      </w:r>
      <w:r w:rsidR="009031DD" w:rsidRPr="009031DD">
        <w:rPr>
          <w:sz w:val="20"/>
          <w:szCs w:val="20"/>
        </w:rPr>
        <w:t>(Google SRE 2016; Leveson 2011)</w:t>
      </w:r>
    </w:p>
    <w:p w14:paraId="7783AD4D" w14:textId="7222195D" w:rsidR="0051483C" w:rsidRDefault="00EC2AA0" w:rsidP="00364884">
      <w:pPr>
        <w:pStyle w:val="Main"/>
        <w:divId w:val="186913375"/>
      </w:pPr>
      <w:r w:rsidRPr="00A355AD">
        <w:t>Platforms optimized primarily for throughput, latency reduction, or cost efficiency tend to blur these boundaries</w:t>
      </w:r>
      <w:r w:rsidR="00AF4CAC">
        <w:t xml:space="preserve"> </w:t>
      </w:r>
      <w:r w:rsidR="0050623F" w:rsidRPr="0050623F">
        <w:t>(AWS Well-Architected Framework; Azure Well-Architected Framework)</w:t>
      </w:r>
      <w:r w:rsidRPr="00A355AD">
        <w:t>. Convenience abstractions often collapse identity, execution, and persistence into a single operational plane, increasing the difficulty of containment once autonomy is introduced</w:t>
      </w:r>
      <w:r w:rsidR="006B6134">
        <w:t xml:space="preserve"> (Behl and Behl 2017; NIST SP 800-53 Rev. 5).</w:t>
      </w:r>
      <w:r w:rsidRPr="00A355AD">
        <w:t xml:space="preserve"> In contrast, platforms that expose fine-grained controls over execution context, privilege boundaries, and auditability enable architectures in which autonomy is </w:t>
      </w:r>
      <w:r w:rsidRPr="00A355AD">
        <w:rPr>
          <w:rStyle w:val="PageNumber"/>
        </w:rPr>
        <w:t>contained by design rather than corrected after failure</w:t>
      </w:r>
      <w:r w:rsidR="006871DE">
        <w:rPr>
          <w:rStyle w:val="PageNumber"/>
        </w:rPr>
        <w:t xml:space="preserve"> </w:t>
      </w:r>
      <w:r w:rsidR="006871DE" w:rsidRPr="006871DE">
        <w:rPr>
          <w:rStyle w:val="PageNumber"/>
        </w:rPr>
        <w:t>(Leveson 2011; NIST AI RMF 1.0).</w:t>
      </w:r>
    </w:p>
    <w:p w14:paraId="003FE18E" w14:textId="65387D27" w:rsidR="00896E0C" w:rsidRDefault="00896E0C" w:rsidP="007A53A6">
      <w:pPr>
        <w:pStyle w:val="Main"/>
        <w:divId w:val="2144078474"/>
      </w:pPr>
      <w:r w:rsidRPr="00A355AD">
        <w:t>In this sense, platforms do not merely host cognitive systems; they define the conditions under which cognition can safely operate</w:t>
      </w:r>
      <w:r w:rsidR="00364884">
        <w:t xml:space="preserve"> (Armbrust et al. 2010; Leveson 2011)</w:t>
      </w:r>
      <w:r w:rsidRPr="00A355AD">
        <w:t>. The substrate precedes the agent</w:t>
      </w:r>
      <w:r w:rsidR="00943F0C">
        <w:t xml:space="preserve"> </w:t>
      </w:r>
      <w:r w:rsidR="00943F0C" w:rsidRPr="00943F0C">
        <w:t>(Lampson 2004)</w:t>
      </w:r>
      <w:r w:rsidRPr="00A355AD">
        <w:t>.</w:t>
      </w:r>
    </w:p>
    <w:p w14:paraId="4DEB5B7A" w14:textId="30D17080" w:rsidR="00681E5A" w:rsidRDefault="00681E5A" w:rsidP="007A53A6">
      <w:pPr>
        <w:pStyle w:val="Main"/>
        <w:divId w:val="2144078474"/>
      </w:pPr>
      <w:r w:rsidRPr="00623F09">
        <w:rPr>
          <w:b/>
          <w:bCs/>
        </w:rPr>
        <w:t>Figure 8.1</w:t>
      </w:r>
      <w:r>
        <w:t xml:space="preserve"> </w:t>
      </w:r>
      <w:r w:rsidR="00623F09">
        <w:t>illustrates</w:t>
      </w:r>
      <w:r w:rsidR="00E822E3">
        <w:t xml:space="preserve"> </w:t>
      </w:r>
      <w:r w:rsidR="00E822E3" w:rsidRPr="00E822E3">
        <w:t xml:space="preserve">the layered </w:t>
      </w:r>
      <w:r w:rsidR="003C1FC0" w:rsidRPr="003C1FC0">
        <w:t>platform-mediated constraint architecture</w:t>
      </w:r>
      <w:r w:rsidR="001A0DA1">
        <w:t xml:space="preserve"> </w:t>
      </w:r>
      <w:r w:rsidR="00E822E3" w:rsidRPr="00E822E3">
        <w:t>structurally</w:t>
      </w:r>
      <w:r w:rsidR="001C7C3B" w:rsidRPr="001C7C3B">
        <w:t xml:space="preserve"> cognition from authority. Identity, execution, and persistence are governed by infrastructure-level control planes rather than embedded within agent logic.</w:t>
      </w:r>
      <w:r w:rsidR="00943897">
        <w:t xml:space="preserve"> E</w:t>
      </w:r>
      <w:r w:rsidR="00175A57">
        <w:t xml:space="preserve">xecution </w:t>
      </w:r>
      <w:r w:rsidR="00B33E69">
        <w:t>privileges</w:t>
      </w:r>
      <w:r w:rsidR="00175A57">
        <w:t>, identity scope, and persistence are enforced at the platform level rather than embedded within agent logic, enabling bounded autonomy and auditability.</w:t>
      </w:r>
    </w:p>
    <w:p w14:paraId="0B2E7E2A" w14:textId="77777777" w:rsidR="00CB0377" w:rsidRDefault="007B2A8D" w:rsidP="00CB0377">
      <w:pPr>
        <w:pStyle w:val="Main"/>
        <w:keepNext/>
        <w:divId w:val="2144078474"/>
      </w:pPr>
      <w:r>
        <w:rPr>
          <w:noProof/>
        </w:rPr>
        <w:drawing>
          <wp:inline distT="0" distB="0" distL="0" distR="0" wp14:anchorId="7A084594" wp14:editId="7C2140C4">
            <wp:extent cx="3815080" cy="5705236"/>
            <wp:effectExtent l="0" t="0" r="0" b="0"/>
            <wp:docPr id="1958549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9605" name="Picture 1958549605"/>
                    <pic:cNvPicPr/>
                  </pic:nvPicPr>
                  <pic:blipFill rotWithShape="1">
                    <a:blip r:embed="rId8" cstate="print">
                      <a:extLst>
                        <a:ext uri="{28A0092B-C50C-407E-A947-70E740481C1C}">
                          <a14:useLocalDpi xmlns:a14="http://schemas.microsoft.com/office/drawing/2010/main" val="0"/>
                        </a:ext>
                      </a:extLst>
                    </a:blip>
                    <a:srcRect t="-2" b="305"/>
                    <a:stretch>
                      <a:fillRect/>
                    </a:stretch>
                  </pic:blipFill>
                  <pic:spPr bwMode="auto">
                    <a:xfrm>
                      <a:off x="0" y="0"/>
                      <a:ext cx="3816350" cy="5707135"/>
                    </a:xfrm>
                    <a:prstGeom prst="rect">
                      <a:avLst/>
                    </a:prstGeom>
                    <a:extLst>
                      <a:ext uri="{53640926-AAD7-44D8-BBD7-CCE9431645EC}">
                        <a14:shadowObscured xmlns:a14="http://schemas.microsoft.com/office/drawing/2010/main"/>
                      </a:ext>
                    </a:extLst>
                  </pic:spPr>
                </pic:pic>
              </a:graphicData>
            </a:graphic>
          </wp:inline>
        </w:drawing>
      </w:r>
    </w:p>
    <w:p w14:paraId="21389EFD" w14:textId="43661591" w:rsidR="007B2A8D" w:rsidRDefault="00CB0377" w:rsidP="00CB0377">
      <w:pPr>
        <w:pStyle w:val="Caption"/>
        <w:jc w:val="both"/>
        <w:divId w:val="2144078474"/>
      </w:pPr>
      <w:r>
        <w:t>Figure 8.</w:t>
      </w:r>
      <w:r>
        <w:fldChar w:fldCharType="begin"/>
      </w:r>
      <w:r>
        <w:instrText xml:space="preserve"> SEQ Figure_8. \* ARABIC </w:instrText>
      </w:r>
      <w:r>
        <w:fldChar w:fldCharType="separate"/>
      </w:r>
      <w:r w:rsidR="004719D5">
        <w:rPr>
          <w:noProof/>
        </w:rPr>
        <w:t>1</w:t>
      </w:r>
      <w:r>
        <w:fldChar w:fldCharType="end"/>
      </w:r>
      <w:r>
        <w:t xml:space="preserve"> </w:t>
      </w:r>
      <w:r w:rsidRPr="00CB0377">
        <w:t xml:space="preserve">: </w:t>
      </w:r>
      <w:r w:rsidRPr="00623F09">
        <w:rPr>
          <w:b w:val="0"/>
          <w:bCs/>
        </w:rPr>
        <w:t>Platform-mediated constraint architecture.</w:t>
      </w:r>
    </w:p>
    <w:p w14:paraId="63632FA6" w14:textId="05567E3F" w:rsidR="00797D3A" w:rsidRDefault="00797D3A" w:rsidP="00D0584B">
      <w:pPr>
        <w:pStyle w:val="Secondaryheadings"/>
        <w:divId w:val="255987570"/>
        <w:rPr>
          <w:sz w:val="36"/>
          <w:szCs w:val="36"/>
        </w:rPr>
      </w:pPr>
      <w:r>
        <w:rPr>
          <w:rStyle w:val="Strong"/>
          <w:b/>
          <w:bCs w:val="0"/>
        </w:rPr>
        <w:t>8.</w:t>
      </w:r>
      <w:r w:rsidR="00D0584B">
        <w:rPr>
          <w:rStyle w:val="Strong"/>
          <w:b/>
          <w:bCs w:val="0"/>
        </w:rPr>
        <w:t xml:space="preserve">1.1 </w:t>
      </w:r>
      <w:r>
        <w:rPr>
          <w:rStyle w:val="Strong"/>
          <w:b/>
          <w:bCs w:val="0"/>
        </w:rPr>
        <w:t xml:space="preserve">Encoding </w:t>
      </w:r>
      <w:r w:rsidR="0064375C">
        <w:rPr>
          <w:rStyle w:val="Strong"/>
          <w:b/>
          <w:bCs w:val="0"/>
        </w:rPr>
        <w:t xml:space="preserve">control constraints in infrastructure </w:t>
      </w:r>
    </w:p>
    <w:p w14:paraId="680692CE" w14:textId="263154FA" w:rsidR="00797D3A" w:rsidRDefault="00797D3A" w:rsidP="00C33A70">
      <w:pPr>
        <w:pStyle w:val="Main"/>
        <w:divId w:val="255987570"/>
      </w:pPr>
      <w:r>
        <w:t xml:space="preserve">The following </w:t>
      </w:r>
      <w:r w:rsidR="00C33A70">
        <w:t>i</w:t>
      </w:r>
      <w:r w:rsidR="0067416D" w:rsidRPr="0067416D">
        <w:t xml:space="preserve">llustrative </w:t>
      </w:r>
      <w:r w:rsidR="00C33A70">
        <w:t>p</w:t>
      </w:r>
      <w:r w:rsidR="0067416D" w:rsidRPr="0067416D">
        <w:t>seudocode</w:t>
      </w:r>
      <w:r w:rsidR="0067416D">
        <w:t xml:space="preserve"> </w:t>
      </w:r>
      <w:r w:rsidR="00C33A70">
        <w:t>shows</w:t>
      </w:r>
      <w:r>
        <w:t xml:space="preserve"> how the mathematical constraints in Box 8.1 are enforced at the </w:t>
      </w:r>
      <w:r>
        <w:rPr>
          <w:rStyle w:val="Strong"/>
        </w:rPr>
        <w:t>platform layer</w:t>
      </w:r>
      <w:r>
        <w:t>, rather than within the cognitive model itself.</w:t>
      </w:r>
    </w:p>
    <w:p w14:paraId="1531253E" w14:textId="5C2F2169" w:rsidR="00240B38" w:rsidRPr="006006DA" w:rsidRDefault="00240B38" w:rsidP="00DC4CD0">
      <w:pPr>
        <w:pStyle w:val="Main"/>
        <w:ind w:firstLine="0"/>
        <w:divId w:val="255987570"/>
        <w:rPr>
          <w:rStyle w:val="HTMLCode"/>
        </w:rPr>
      </w:pPr>
      <w:r w:rsidRPr="006006DA">
        <w:rPr>
          <w:rStyle w:val="HTMLCode"/>
        </w:rPr>
        <w:t>```python</w:t>
      </w:r>
    </w:p>
    <w:p w14:paraId="5F3ADC26" w14:textId="77777777" w:rsidR="00797D3A" w:rsidRPr="006006DA" w:rsidRDefault="00797D3A">
      <w:pPr>
        <w:pStyle w:val="HTMLPreformatted"/>
        <w:divId w:val="646055438"/>
        <w:rPr>
          <w:rStyle w:val="HTMLCode"/>
        </w:rPr>
      </w:pPr>
      <w:r w:rsidRPr="006006DA">
        <w:rPr>
          <w:rStyle w:val="HTMLCode"/>
        </w:rPr>
        <w:t>def propose_and_execute(observation, context):</w:t>
      </w:r>
    </w:p>
    <w:p w14:paraId="701C8C8C" w14:textId="77777777" w:rsidR="00797D3A" w:rsidRPr="006006DA" w:rsidRDefault="00797D3A">
      <w:pPr>
        <w:pStyle w:val="HTMLPreformatted"/>
        <w:divId w:val="646055438"/>
        <w:rPr>
          <w:rStyle w:val="HTMLCode"/>
        </w:rPr>
      </w:pPr>
      <w:r w:rsidRPr="006006DA">
        <w:rPr>
          <w:rStyle w:val="HTMLCode"/>
        </w:rPr>
        <w:t xml:space="preserve">    # Cognitive reasoning (non-authoritative)</w:t>
      </w:r>
    </w:p>
    <w:p w14:paraId="1248C289" w14:textId="77777777" w:rsidR="00797D3A" w:rsidRPr="006006DA" w:rsidRDefault="00797D3A">
      <w:pPr>
        <w:pStyle w:val="HTMLPreformatted"/>
        <w:divId w:val="646055438"/>
        <w:rPr>
          <w:rStyle w:val="HTMLCode"/>
        </w:rPr>
      </w:pPr>
      <w:r w:rsidRPr="006006DA">
        <w:rPr>
          <w:rStyle w:val="HTMLCode"/>
        </w:rPr>
        <w:t xml:space="preserve">    action = agent.reason(observation)</w:t>
      </w:r>
    </w:p>
    <w:p w14:paraId="0C5BB5FF" w14:textId="77777777" w:rsidR="00797D3A" w:rsidRPr="006006DA" w:rsidRDefault="00797D3A">
      <w:pPr>
        <w:pStyle w:val="HTMLPreformatted"/>
        <w:divId w:val="646055438"/>
        <w:rPr>
          <w:rStyle w:val="HTMLCode"/>
        </w:rPr>
      </w:pPr>
    </w:p>
    <w:p w14:paraId="3561C244" w14:textId="77777777" w:rsidR="00797D3A" w:rsidRPr="006006DA" w:rsidRDefault="00797D3A">
      <w:pPr>
        <w:pStyle w:val="HTMLPreformatted"/>
        <w:divId w:val="646055438"/>
        <w:rPr>
          <w:rStyle w:val="HTMLCode"/>
        </w:rPr>
      </w:pPr>
      <w:r w:rsidRPr="006006DA">
        <w:rPr>
          <w:rStyle w:val="HTMLCode"/>
        </w:rPr>
        <w:t xml:space="preserve">    # Enforce identity and scope constraints</w:t>
      </w:r>
    </w:p>
    <w:p w14:paraId="02668140" w14:textId="77777777" w:rsidR="00797D3A" w:rsidRPr="006006DA" w:rsidRDefault="00797D3A">
      <w:pPr>
        <w:pStyle w:val="HTMLPreformatted"/>
        <w:divId w:val="646055438"/>
        <w:rPr>
          <w:rStyle w:val="HTMLCode"/>
        </w:rPr>
      </w:pPr>
      <w:r w:rsidRPr="006006DA">
        <w:rPr>
          <w:rStyle w:val="HTMLCode"/>
        </w:rPr>
        <w:t xml:space="preserve">    assert policy.allows(action, context.identity)</w:t>
      </w:r>
    </w:p>
    <w:p w14:paraId="31791FDC" w14:textId="77777777" w:rsidR="00797D3A" w:rsidRPr="006006DA" w:rsidRDefault="00797D3A">
      <w:pPr>
        <w:pStyle w:val="HTMLPreformatted"/>
        <w:divId w:val="646055438"/>
        <w:rPr>
          <w:rStyle w:val="HTMLCode"/>
        </w:rPr>
      </w:pPr>
      <w:r w:rsidRPr="006006DA">
        <w:rPr>
          <w:rStyle w:val="HTMLCode"/>
        </w:rPr>
        <w:t xml:space="preserve">    assert action.scope &lt;= context.max_scope</w:t>
      </w:r>
    </w:p>
    <w:p w14:paraId="0EC809D4" w14:textId="77777777" w:rsidR="00797D3A" w:rsidRPr="006006DA" w:rsidRDefault="00797D3A">
      <w:pPr>
        <w:pStyle w:val="HTMLPreformatted"/>
        <w:divId w:val="646055438"/>
        <w:rPr>
          <w:rStyle w:val="HTMLCode"/>
        </w:rPr>
      </w:pPr>
    </w:p>
    <w:p w14:paraId="2B2DB866" w14:textId="77777777" w:rsidR="00797D3A" w:rsidRPr="006006DA" w:rsidRDefault="00797D3A">
      <w:pPr>
        <w:pStyle w:val="HTMLPreformatted"/>
        <w:divId w:val="646055438"/>
        <w:rPr>
          <w:rStyle w:val="HTMLCode"/>
        </w:rPr>
      </w:pPr>
      <w:r w:rsidRPr="006006DA">
        <w:rPr>
          <w:rStyle w:val="HTMLCode"/>
        </w:rPr>
        <w:t xml:space="preserve">    # Mandatory pre-execution simulation</w:t>
      </w:r>
    </w:p>
    <w:p w14:paraId="1407E53E" w14:textId="77777777" w:rsidR="00797D3A" w:rsidRPr="006006DA" w:rsidRDefault="00797D3A">
      <w:pPr>
        <w:pStyle w:val="HTMLPreformatted"/>
        <w:divId w:val="646055438"/>
        <w:rPr>
          <w:rStyle w:val="HTMLCode"/>
        </w:rPr>
      </w:pPr>
      <w:r w:rsidRPr="006006DA">
        <w:rPr>
          <w:rStyle w:val="HTMLCode"/>
        </w:rPr>
        <w:t xml:space="preserve">    simulation = platform.simulate(action)</w:t>
      </w:r>
    </w:p>
    <w:p w14:paraId="0DF23A3E" w14:textId="77777777" w:rsidR="00797D3A" w:rsidRPr="006006DA" w:rsidRDefault="00797D3A">
      <w:pPr>
        <w:pStyle w:val="HTMLPreformatted"/>
        <w:divId w:val="646055438"/>
        <w:rPr>
          <w:rStyle w:val="HTMLCode"/>
        </w:rPr>
      </w:pPr>
      <w:r w:rsidRPr="006006DA">
        <w:rPr>
          <w:rStyle w:val="HTMLCode"/>
        </w:rPr>
        <w:t xml:space="preserve">    assert simulation.risk &lt;= RISK_THRESHOLD</w:t>
      </w:r>
    </w:p>
    <w:p w14:paraId="20B11146" w14:textId="77777777" w:rsidR="00797D3A" w:rsidRPr="006006DA" w:rsidRDefault="00797D3A">
      <w:pPr>
        <w:pStyle w:val="HTMLPreformatted"/>
        <w:divId w:val="646055438"/>
        <w:rPr>
          <w:rStyle w:val="HTMLCode"/>
        </w:rPr>
      </w:pPr>
    </w:p>
    <w:p w14:paraId="43F07F79" w14:textId="77777777" w:rsidR="00797D3A" w:rsidRPr="006006DA" w:rsidRDefault="00797D3A">
      <w:pPr>
        <w:pStyle w:val="HTMLPreformatted"/>
        <w:divId w:val="646055438"/>
        <w:rPr>
          <w:rStyle w:val="HTMLCode"/>
        </w:rPr>
      </w:pPr>
      <w:r w:rsidRPr="006006DA">
        <w:rPr>
          <w:rStyle w:val="HTMLCode"/>
        </w:rPr>
        <w:t xml:space="preserve">    # Just-in-time authority issuance</w:t>
      </w:r>
    </w:p>
    <w:p w14:paraId="7C572503" w14:textId="77777777" w:rsidR="00797D3A" w:rsidRPr="006006DA" w:rsidRDefault="00797D3A">
      <w:pPr>
        <w:pStyle w:val="HTMLPreformatted"/>
        <w:divId w:val="646055438"/>
        <w:rPr>
          <w:rStyle w:val="HTMLCode"/>
        </w:rPr>
      </w:pPr>
      <w:r w:rsidRPr="006006DA">
        <w:rPr>
          <w:rStyle w:val="HTMLCode"/>
        </w:rPr>
        <w:t xml:space="preserve">    token = vault.issue_token(</w:t>
      </w:r>
    </w:p>
    <w:p w14:paraId="3633DF0C" w14:textId="77777777" w:rsidR="00797D3A" w:rsidRPr="006006DA" w:rsidRDefault="00797D3A">
      <w:pPr>
        <w:pStyle w:val="HTMLPreformatted"/>
        <w:divId w:val="646055438"/>
        <w:rPr>
          <w:rStyle w:val="HTMLCode"/>
        </w:rPr>
      </w:pPr>
      <w:r w:rsidRPr="006006DA">
        <w:rPr>
          <w:rStyle w:val="HTMLCode"/>
        </w:rPr>
        <w:t xml:space="preserve">        role=context.identity,</w:t>
      </w:r>
    </w:p>
    <w:p w14:paraId="7F00AC0B" w14:textId="77777777" w:rsidR="00797D3A" w:rsidRPr="006006DA" w:rsidRDefault="00797D3A">
      <w:pPr>
        <w:pStyle w:val="HTMLPreformatted"/>
        <w:divId w:val="646055438"/>
        <w:rPr>
          <w:rStyle w:val="HTMLCode"/>
        </w:rPr>
      </w:pPr>
      <w:r w:rsidRPr="006006DA">
        <w:rPr>
          <w:rStyle w:val="HTMLCode"/>
        </w:rPr>
        <w:t xml:space="preserve">        ttl=SHORT_LIVED</w:t>
      </w:r>
    </w:p>
    <w:p w14:paraId="57D51649" w14:textId="77777777" w:rsidR="00797D3A" w:rsidRPr="006006DA" w:rsidRDefault="00797D3A">
      <w:pPr>
        <w:pStyle w:val="HTMLPreformatted"/>
        <w:divId w:val="646055438"/>
        <w:rPr>
          <w:rStyle w:val="HTMLCode"/>
        </w:rPr>
      </w:pPr>
      <w:r w:rsidRPr="006006DA">
        <w:rPr>
          <w:rStyle w:val="HTMLCode"/>
        </w:rPr>
        <w:t xml:space="preserve">    )</w:t>
      </w:r>
    </w:p>
    <w:p w14:paraId="24C4C4C4" w14:textId="77777777" w:rsidR="00797D3A" w:rsidRPr="006006DA" w:rsidRDefault="00797D3A">
      <w:pPr>
        <w:pStyle w:val="HTMLPreformatted"/>
        <w:divId w:val="646055438"/>
        <w:rPr>
          <w:rStyle w:val="HTMLCode"/>
        </w:rPr>
      </w:pPr>
    </w:p>
    <w:p w14:paraId="2BBD494E" w14:textId="77777777" w:rsidR="00797D3A" w:rsidRPr="006006DA" w:rsidRDefault="00797D3A">
      <w:pPr>
        <w:pStyle w:val="HTMLPreformatted"/>
        <w:divId w:val="646055438"/>
        <w:rPr>
          <w:rStyle w:val="HTMLCode"/>
        </w:rPr>
      </w:pPr>
      <w:r w:rsidRPr="006006DA">
        <w:rPr>
          <w:rStyle w:val="HTMLCode"/>
        </w:rPr>
        <w:t xml:space="preserve">    # Constrained execution surface</w:t>
      </w:r>
    </w:p>
    <w:p w14:paraId="17B1EE5C" w14:textId="77777777" w:rsidR="00797D3A" w:rsidRPr="006006DA" w:rsidRDefault="00797D3A">
      <w:pPr>
        <w:pStyle w:val="HTMLPreformatted"/>
        <w:divId w:val="646055438"/>
        <w:rPr>
          <w:rStyle w:val="HTMLCode"/>
        </w:rPr>
      </w:pPr>
      <w:r w:rsidRPr="006006DA">
        <w:rPr>
          <w:rStyle w:val="HTMLCode"/>
        </w:rPr>
        <w:t xml:space="preserve">    result = platform.execute(action, token)</w:t>
      </w:r>
    </w:p>
    <w:p w14:paraId="2011FBAB" w14:textId="77777777" w:rsidR="00797D3A" w:rsidRPr="006006DA" w:rsidRDefault="00797D3A">
      <w:pPr>
        <w:pStyle w:val="HTMLPreformatted"/>
        <w:divId w:val="646055438"/>
        <w:rPr>
          <w:rStyle w:val="HTMLCode"/>
        </w:rPr>
      </w:pPr>
    </w:p>
    <w:p w14:paraId="6CF08418" w14:textId="77777777" w:rsidR="00797D3A" w:rsidRPr="006006DA" w:rsidRDefault="00797D3A">
      <w:pPr>
        <w:pStyle w:val="HTMLPreformatted"/>
        <w:divId w:val="646055438"/>
        <w:rPr>
          <w:rStyle w:val="HTMLCode"/>
        </w:rPr>
      </w:pPr>
      <w:r w:rsidRPr="006006DA">
        <w:rPr>
          <w:rStyle w:val="HTMLCode"/>
        </w:rPr>
        <w:t xml:space="preserve">    return result</w:t>
      </w:r>
    </w:p>
    <w:p w14:paraId="05684CF1" w14:textId="771F80DF" w:rsidR="001D2603" w:rsidRPr="006006DA" w:rsidRDefault="001D2603">
      <w:pPr>
        <w:pStyle w:val="HTMLPreformatted"/>
        <w:divId w:val="646055438"/>
        <w:rPr>
          <w:rStyle w:val="HTMLCode"/>
        </w:rPr>
      </w:pPr>
      <w:r w:rsidRPr="006006DA">
        <w:rPr>
          <w:rStyle w:val="HTMLCode"/>
        </w:rPr>
        <w:t>```</w:t>
      </w:r>
    </w:p>
    <w:p w14:paraId="620876AA" w14:textId="77777777" w:rsidR="00797D3A" w:rsidRDefault="00797D3A" w:rsidP="00C727CF">
      <w:pPr>
        <w:pStyle w:val="Main"/>
        <w:divId w:val="255987570"/>
      </w:pPr>
      <w:r>
        <w:t xml:space="preserve">This code is intentionally minimal and non-executable. Its purpose is not to demonstrate implementation detail, but to make explicit </w:t>
      </w:r>
      <w:r>
        <w:rPr>
          <w:rStyle w:val="Strong"/>
        </w:rPr>
        <w:t>where control resides</w:t>
      </w:r>
      <w:r>
        <w:t>:</w:t>
      </w:r>
    </w:p>
    <w:p w14:paraId="79BD51F6"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Reasoning remains untrusted</w:t>
      </w:r>
    </w:p>
    <w:p w14:paraId="6EFE5462"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Authority is externalized via the vault</w:t>
      </w:r>
    </w:p>
    <w:p w14:paraId="2DF823EC"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Execution is gated, scoped, and time-bounded</w:t>
      </w:r>
    </w:p>
    <w:p w14:paraId="2386D300"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Simulation precedes commitment</w:t>
      </w:r>
    </w:p>
    <w:p w14:paraId="06597EAC" w14:textId="2C16CEE6" w:rsidR="00797D3A" w:rsidRDefault="00797D3A" w:rsidP="00C727CF">
      <w:pPr>
        <w:pStyle w:val="Main"/>
        <w:divId w:val="255987570"/>
      </w:pPr>
      <w:r>
        <w:t>The platform</w:t>
      </w:r>
      <w:r w:rsidR="002A05FE">
        <w:t xml:space="preserve">, </w:t>
      </w:r>
      <w:r>
        <w:t>not the model</w:t>
      </w:r>
      <w:r w:rsidR="002A05FE">
        <w:t xml:space="preserve">, </w:t>
      </w:r>
      <w:r>
        <w:t>enforces closure of the control loop (Section 8.5).</w:t>
      </w:r>
    </w:p>
    <w:p w14:paraId="68E9EDB3" w14:textId="6ED569AB" w:rsidR="00023C9C" w:rsidRPr="00023C9C" w:rsidRDefault="00023C9C" w:rsidP="00C30C45">
      <w:pPr>
        <w:pStyle w:val="Secondaryheadings"/>
      </w:pPr>
      <w:r w:rsidRPr="00023C9C">
        <w:t xml:space="preserve">8.2 Privacy as a </w:t>
      </w:r>
      <w:r w:rsidR="00D93B4B" w:rsidRPr="00023C9C">
        <w:t>control property</w:t>
      </w:r>
    </w:p>
    <w:p w14:paraId="0EF446DC" w14:textId="77777777" w:rsidR="00180360" w:rsidRPr="00150125" w:rsidRDefault="00180360" w:rsidP="00A631CD">
      <w:pPr>
        <w:pStyle w:val="Main"/>
        <w:divId w:val="59254792"/>
        <w:rPr>
          <w:b/>
          <w:bCs/>
        </w:rPr>
      </w:pPr>
      <w:r w:rsidRPr="00171ABB">
        <w:t xml:space="preserve">Privacy is commonly framed as a legal, ethical, or regulatory obligation, particularly in discussions of data protection and compliance. In agentic and semi-autonomous systems, however, privacy must be treated as an </w:t>
      </w:r>
      <w:r w:rsidRPr="00171ABB">
        <w:rPr>
          <w:rStyle w:val="Strong"/>
        </w:rPr>
        <w:t>architectural control property</w:t>
      </w:r>
      <w:r w:rsidRPr="00171ABB">
        <w:t xml:space="preserve">, inseparable from system stability and governance rather than an external constraint imposed after deployment </w:t>
      </w:r>
      <w:r w:rsidRPr="00150125">
        <w:rPr>
          <w:rStyle w:val="Strong"/>
          <w:b w:val="0"/>
          <w:bCs w:val="0"/>
        </w:rPr>
        <w:t>(Cavoukian 2011; NIST AI RMF 1.0)</w:t>
      </w:r>
      <w:r w:rsidRPr="00150125">
        <w:rPr>
          <w:b/>
          <w:bCs/>
        </w:rPr>
        <w:t>.</w:t>
      </w:r>
    </w:p>
    <w:p w14:paraId="4C4F14D4" w14:textId="52651AAE" w:rsidR="00180360" w:rsidRPr="00150125" w:rsidRDefault="00180360" w:rsidP="00150125">
      <w:pPr>
        <w:pStyle w:val="Main"/>
        <w:divId w:val="59254792"/>
      </w:pPr>
      <w:r w:rsidRPr="00171ABB">
        <w:t xml:space="preserve">Autonomous agents operating in cybersecurity environments routinely process sensitive artifacts, including system logs, authentication traces, credentials, behavioral telemetry, and incident narratives. When such systems retain context across execution boundaries, privacy risk is compounded by </w:t>
      </w:r>
      <w:r w:rsidRPr="00171ABB">
        <w:rPr>
          <w:rStyle w:val="Strong"/>
        </w:rPr>
        <w:t>control risk</w:t>
      </w:r>
      <w:r w:rsidRPr="00171ABB">
        <w:t>. Persistent memory does not merely increase exposure; it alters system behavior by introducing historical bias, u</w:t>
      </w:r>
      <w:r w:rsidRPr="00150125">
        <w:t xml:space="preserve">nintended correlation learning, and stateful drift (Shokri et al. 2017; </w:t>
      </w:r>
      <w:r w:rsidRPr="00150125">
        <w:rPr>
          <w:rStyle w:val="Strong"/>
          <w:b w:val="0"/>
          <w:bCs w:val="0"/>
        </w:rPr>
        <w:t>Carlini et al. 2021)</w:t>
      </w:r>
      <w:r w:rsidRPr="00150125">
        <w:t xml:space="preserve">. In these conditions, models </w:t>
      </w:r>
      <w:r w:rsidR="008F57B0" w:rsidRPr="00150125">
        <w:t xml:space="preserve">implicitly optimize </w:t>
      </w:r>
      <w:r w:rsidRPr="00150125">
        <w:t xml:space="preserve">for accumulated context rather than present intent, undermining both predictability and auditability </w:t>
      </w:r>
      <w:r w:rsidRPr="00150125">
        <w:rPr>
          <w:rStyle w:val="Strong"/>
          <w:b w:val="0"/>
          <w:bCs w:val="0"/>
        </w:rPr>
        <w:t>(Doshi-Velez and Kim 2017)</w:t>
      </w:r>
      <w:r w:rsidRPr="00150125">
        <w:t>.</w:t>
      </w:r>
    </w:p>
    <w:p w14:paraId="10DED79E" w14:textId="2990E084" w:rsidR="00180360" w:rsidRPr="00150125" w:rsidRDefault="00180360" w:rsidP="00150125">
      <w:pPr>
        <w:pStyle w:val="Main"/>
        <w:divId w:val="59254792"/>
      </w:pPr>
      <w:r w:rsidRPr="00150125">
        <w:t xml:space="preserve">From a </w:t>
      </w:r>
      <w:r w:rsidRPr="00171ABB">
        <w:t xml:space="preserve">control-theoretic perspective, privacy enforcement </w:t>
      </w:r>
      <w:r w:rsidR="0008542A">
        <w:t>serves to bound</w:t>
      </w:r>
      <w:r w:rsidRPr="00171ABB">
        <w:t xml:space="preserve"> </w:t>
      </w:r>
      <w:r w:rsidR="008F57B0">
        <w:t xml:space="preserve">the </w:t>
      </w:r>
      <w:r w:rsidRPr="00171ABB">
        <w:t xml:space="preserve">state. Systems that accumulate unbounded internal representations are difficult to reason about, reproduce, or govern </w:t>
      </w:r>
      <w:r w:rsidRPr="00150125">
        <w:t xml:space="preserve">under adversarial conditions (Leveson 2011). As demonstrated by work on data leakage and memorization in large-scale models, the inability to guarantee forgetting creates downstream risks that cannot be mitigated solely through access control or </w:t>
      </w:r>
      <w:r w:rsidR="008F57B0" w:rsidRPr="00150125">
        <w:t>post hoc filtering (Carlini et al., 2021; Shokri et al.,</w:t>
      </w:r>
      <w:r w:rsidRPr="00150125">
        <w:t xml:space="preserve"> 2017).</w:t>
      </w:r>
    </w:p>
    <w:p w14:paraId="500290A1" w14:textId="77777777" w:rsidR="00180360" w:rsidRPr="00171ABB" w:rsidRDefault="00180360" w:rsidP="00524B24">
      <w:pPr>
        <w:pStyle w:val="Main"/>
        <w:divId w:val="59254792"/>
      </w:pPr>
      <w:r w:rsidRPr="00171ABB">
        <w:t>Accordingly, privacy-preserving architectures in cognitive defense systems rely on explicit design constraints rather than implicit assumptions. These constraints typically include:</w:t>
      </w:r>
    </w:p>
    <w:p w14:paraId="0D734E3A" w14:textId="77777777" w:rsidR="00180360" w:rsidRPr="00150125" w:rsidRDefault="00180360" w:rsidP="00A24F62">
      <w:pPr>
        <w:pStyle w:val="NormalWeb"/>
        <w:numPr>
          <w:ilvl w:val="0"/>
          <w:numId w:val="6"/>
        </w:numPr>
        <w:spacing w:before="0" w:beforeAutospacing="0" w:after="0" w:afterAutospacing="0"/>
        <w:divId w:val="59254792"/>
        <w:rPr>
          <w:b/>
          <w:bCs/>
          <w:sz w:val="20"/>
          <w:szCs w:val="20"/>
        </w:rPr>
      </w:pPr>
      <w:r w:rsidRPr="00171ABB">
        <w:rPr>
          <w:rStyle w:val="Strong"/>
          <w:sz w:val="20"/>
          <w:szCs w:val="20"/>
        </w:rPr>
        <w:t>Ephemeral context windows</w:t>
      </w:r>
      <w:r w:rsidRPr="00171ABB">
        <w:rPr>
          <w:sz w:val="20"/>
          <w:szCs w:val="20"/>
        </w:rPr>
        <w:t xml:space="preserve">, ensuring that reasoning state is discarded at the conclusion of each execution cycle </w:t>
      </w:r>
      <w:r w:rsidRPr="00150125">
        <w:rPr>
          <w:rStyle w:val="Strong"/>
          <w:b w:val="0"/>
          <w:bCs w:val="0"/>
          <w:sz w:val="20"/>
          <w:szCs w:val="20"/>
        </w:rPr>
        <w:t>(Cavoukian</w:t>
      </w:r>
      <w:r w:rsidRPr="00171ABB">
        <w:rPr>
          <w:rStyle w:val="Strong"/>
          <w:sz w:val="20"/>
          <w:szCs w:val="20"/>
        </w:rPr>
        <w:t xml:space="preserve"> </w:t>
      </w:r>
      <w:r w:rsidRPr="00150125">
        <w:rPr>
          <w:rStyle w:val="Strong"/>
          <w:b w:val="0"/>
          <w:bCs w:val="0"/>
          <w:sz w:val="20"/>
          <w:szCs w:val="20"/>
        </w:rPr>
        <w:t>2011; NIST AI RMF 1.0)</w:t>
      </w:r>
    </w:p>
    <w:p w14:paraId="1B8CC377" w14:textId="77777777"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Non-persistent inference paths</w:t>
      </w:r>
      <w:r w:rsidRPr="00171ABB">
        <w:rPr>
          <w:sz w:val="20"/>
          <w:szCs w:val="20"/>
        </w:rPr>
        <w:t xml:space="preserve">, preventing the accumulation of latent memory across sessions </w:t>
      </w:r>
      <w:r w:rsidRPr="00150125">
        <w:rPr>
          <w:rStyle w:val="Strong"/>
          <w:b w:val="0"/>
          <w:bCs w:val="0"/>
          <w:sz w:val="20"/>
          <w:szCs w:val="20"/>
        </w:rPr>
        <w:t>(Carlini et al. 2021)</w:t>
      </w:r>
    </w:p>
    <w:p w14:paraId="02336F25" w14:textId="77777777"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Explicit data lifetimes</w:t>
      </w:r>
      <w:r w:rsidRPr="00171ABB">
        <w:rPr>
          <w:sz w:val="20"/>
          <w:szCs w:val="20"/>
        </w:rPr>
        <w:t>, enforcing bounded retention aligned with operational necessity rather than convenience</w:t>
      </w:r>
      <w:r w:rsidRPr="00150125">
        <w:rPr>
          <w:sz w:val="20"/>
          <w:szCs w:val="20"/>
        </w:rPr>
        <w:t xml:space="preserve"> </w:t>
      </w:r>
      <w:r w:rsidRPr="00150125">
        <w:rPr>
          <w:rStyle w:val="Strong"/>
          <w:sz w:val="20"/>
          <w:szCs w:val="20"/>
        </w:rPr>
        <w:t>(NIST SP 800-53 Rev. 5)</w:t>
      </w:r>
    </w:p>
    <w:p w14:paraId="0A3B99CA" w14:textId="77777777" w:rsidR="00180360" w:rsidRPr="00150125" w:rsidRDefault="00180360" w:rsidP="00A24F62">
      <w:pPr>
        <w:pStyle w:val="NormalWeb"/>
        <w:numPr>
          <w:ilvl w:val="0"/>
          <w:numId w:val="6"/>
        </w:numPr>
        <w:spacing w:before="0" w:beforeAutospacing="0" w:after="0" w:afterAutospacing="0"/>
        <w:divId w:val="59254792"/>
        <w:rPr>
          <w:b/>
          <w:bCs/>
          <w:sz w:val="20"/>
          <w:szCs w:val="20"/>
        </w:rPr>
      </w:pPr>
      <w:r w:rsidRPr="00171ABB">
        <w:rPr>
          <w:rStyle w:val="Strong"/>
          <w:sz w:val="20"/>
          <w:szCs w:val="20"/>
        </w:rPr>
        <w:t>Separation between reasoning state and storage state</w:t>
      </w:r>
      <w:r w:rsidRPr="00171ABB">
        <w:rPr>
          <w:sz w:val="20"/>
          <w:szCs w:val="20"/>
        </w:rPr>
        <w:t xml:space="preserve">, enabling reproducibility, revocation, and forensic reconstruction </w:t>
      </w:r>
      <w:r w:rsidRPr="00150125">
        <w:rPr>
          <w:rStyle w:val="Strong"/>
          <w:b w:val="0"/>
          <w:bCs w:val="0"/>
          <w:sz w:val="20"/>
          <w:szCs w:val="20"/>
        </w:rPr>
        <w:t>(Doshi-Velez and Kim 2017; Leveson 2011)</w:t>
      </w:r>
    </w:p>
    <w:p w14:paraId="2B878878" w14:textId="77777777" w:rsidR="00180360" w:rsidRPr="00171ABB" w:rsidRDefault="00180360" w:rsidP="006C1907">
      <w:pPr>
        <w:pStyle w:val="Main"/>
        <w:divId w:val="59254792"/>
      </w:pPr>
      <w:r w:rsidRPr="00171ABB">
        <w:t xml:space="preserve">These mechanisms align privacy with system safety rather than treating it as a competing objective. By constraining what a system is permitted to remember, architects also constrain what the system can optimize for, reducing the risk of emergent behavior driven by stale, irrelevant, or sensitive historical context </w:t>
      </w:r>
      <w:r w:rsidRPr="00150125">
        <w:rPr>
          <w:rStyle w:val="Strong"/>
          <w:b w:val="0"/>
          <w:bCs w:val="0"/>
        </w:rPr>
        <w:t>(Everitt et al. 2019)</w:t>
      </w:r>
      <w:r w:rsidRPr="00171ABB">
        <w:t>.</w:t>
      </w:r>
    </w:p>
    <w:p w14:paraId="098B22E7" w14:textId="596F2C4A" w:rsidR="00180360" w:rsidRDefault="00180360" w:rsidP="006C1907">
      <w:pPr>
        <w:pStyle w:val="Main"/>
        <w:divId w:val="59254792"/>
      </w:pPr>
      <w:r>
        <w:t>In this sense, privacy-preserving design is a prerequisite for governance rather than a limitation on capability. Systems that cannot enforce forgetting cannot be reliably audited, reproduced, or constrained under escalation. For agentic cybersecurity applications</w:t>
      </w:r>
      <w:r w:rsidR="00CC75EA">
        <w:t xml:space="preserve">, </w:t>
      </w:r>
      <w:r>
        <w:t>where decisions propagate rapidly</w:t>
      </w:r>
      <w:r w:rsidR="00A37002">
        <w:t>,</w:t>
      </w:r>
      <w:r>
        <w:t xml:space="preserve"> and consequences are systemic</w:t>
      </w:r>
      <w:r w:rsidR="00CC75EA">
        <w:t xml:space="preserve">, </w:t>
      </w:r>
      <w:r>
        <w:rPr>
          <w:rStyle w:val="Strong"/>
        </w:rPr>
        <w:t>the ability to forget is as important as the ability to infer</w:t>
      </w:r>
      <w:r w:rsidRPr="00150125">
        <w:t xml:space="preserve"> </w:t>
      </w:r>
      <w:r w:rsidRPr="00150125">
        <w:rPr>
          <w:rStyle w:val="Strong"/>
          <w:b w:val="0"/>
          <w:bCs w:val="0"/>
        </w:rPr>
        <w:t>(Leveson 2011; NIST AI RMF 1.0)</w:t>
      </w:r>
      <w:r w:rsidRPr="00150125">
        <w:rPr>
          <w:b/>
          <w:bCs/>
        </w:rPr>
        <w:t>.</w:t>
      </w:r>
    </w:p>
    <w:p w14:paraId="45731A38" w14:textId="4E48ECA5" w:rsidR="00FC1DB6" w:rsidRDefault="00FC1DB6" w:rsidP="00073AF4">
      <w:pPr>
        <w:pStyle w:val="Secondaryheadings"/>
        <w:divId w:val="1628005669"/>
        <w:rPr>
          <w:sz w:val="36"/>
          <w:szCs w:val="36"/>
        </w:rPr>
      </w:pPr>
      <w:r>
        <w:t xml:space="preserve">8.3 Vaults as </w:t>
      </w:r>
      <w:r w:rsidR="00D93B4B">
        <w:t>trust boundaries</w:t>
      </w:r>
    </w:p>
    <w:p w14:paraId="3F1F926B" w14:textId="225E799E" w:rsidR="00D95557" w:rsidRPr="0008542A" w:rsidRDefault="00D95557" w:rsidP="00064A22">
      <w:pPr>
        <w:pStyle w:val="Main"/>
        <w:divId w:val="280722072"/>
        <w:rPr>
          <w:b/>
          <w:bCs/>
          <w:sz w:val="24"/>
          <w:szCs w:val="24"/>
        </w:rPr>
      </w:pPr>
      <w:r>
        <w:t xml:space="preserve">Secrets management is often treated as an operational concern, reduced to the secure storage of credentials, tokens, or cryptographic keys. In cognitive defense architectures, this framing is insufficient. Vaults define a </w:t>
      </w:r>
      <w:r>
        <w:rPr>
          <w:rStyle w:val="Strong"/>
        </w:rPr>
        <w:t>trust boundary</w:t>
      </w:r>
      <w:r>
        <w:t xml:space="preserve"> between reasoning and authority, and this boundary is foundational to preventing escalation in agentic systems </w:t>
      </w:r>
      <w:r w:rsidRPr="0008542A">
        <w:rPr>
          <w:rStyle w:val="Strong"/>
          <w:b w:val="0"/>
          <w:bCs w:val="0"/>
        </w:rPr>
        <w:t>(Saltzer and Schroeder 1975; Lampson 2004)</w:t>
      </w:r>
      <w:r w:rsidRPr="0008542A">
        <w:rPr>
          <w:b/>
          <w:bCs/>
        </w:rPr>
        <w:t>.</w:t>
      </w:r>
    </w:p>
    <w:p w14:paraId="3940D8EE" w14:textId="6013CB03" w:rsidR="00D95557" w:rsidRDefault="00D95557" w:rsidP="00064A22">
      <w:pPr>
        <w:pStyle w:val="Main"/>
        <w:divId w:val="280722072"/>
      </w:pPr>
      <w:r>
        <w:t>A vault is not merely a secure database. It is a gatekeeper for actionability. Access to credentials, signing keys, privileged APIs, or execution tokens determines whether a proposed action can transition from intention to effect. When cognitive components are granted direct or persistent access to such material, authority becomes implicit, un</w:t>
      </w:r>
      <w:r w:rsidR="00860D2D">
        <w:t>-</w:t>
      </w:r>
      <w:r>
        <w:t>scoped, and difficult to revoke</w:t>
      </w:r>
      <w:r w:rsidRPr="0008542A">
        <w:t xml:space="preserve"> </w:t>
      </w:r>
      <w:r w:rsidRPr="0008542A">
        <w:rPr>
          <w:rStyle w:val="Strong"/>
          <w:b w:val="0"/>
          <w:bCs w:val="0"/>
        </w:rPr>
        <w:t>(NIST SP 800-57; NIST SP 800-53 Rev. 5)</w:t>
      </w:r>
      <w:r>
        <w:t>.</w:t>
      </w:r>
    </w:p>
    <w:p w14:paraId="07CEF5EF" w14:textId="77777777" w:rsidR="00D95557" w:rsidRDefault="00D95557" w:rsidP="00064A22">
      <w:pPr>
        <w:pStyle w:val="Main"/>
        <w:divId w:val="280722072"/>
      </w:pPr>
      <w:r>
        <w:t xml:space="preserve">From a systems perspective, effective vault integration requires that authority remain </w:t>
      </w:r>
      <w:r>
        <w:rPr>
          <w:rStyle w:val="Strong"/>
        </w:rPr>
        <w:t>orthogonal to cognition</w:t>
      </w:r>
      <w:r>
        <w:t xml:space="preserve">. Models may reason about actions, but they must not possess the means to authorize them independently. This separation preserves the ability to audit, constrain, and revoke privileges without modifying cognitive logic or retraining models </w:t>
      </w:r>
      <w:r w:rsidRPr="0008542A">
        <w:rPr>
          <w:rStyle w:val="Strong"/>
          <w:b w:val="0"/>
          <w:bCs w:val="0"/>
        </w:rPr>
        <w:t>(Lampson 2004; Miller et al. 2003)</w:t>
      </w:r>
      <w:r w:rsidRPr="0008542A">
        <w:rPr>
          <w:b/>
          <w:bCs/>
        </w:rPr>
        <w:t>.</w:t>
      </w:r>
    </w:p>
    <w:p w14:paraId="29BD92A4" w14:textId="77777777" w:rsidR="00D95557" w:rsidRDefault="00D95557" w:rsidP="00064A22">
      <w:pPr>
        <w:pStyle w:val="Main"/>
        <w:divId w:val="280722072"/>
      </w:pPr>
      <w:r>
        <w:t>Architecturally sound vault integration exhibits three properties:</w:t>
      </w:r>
    </w:p>
    <w:p w14:paraId="68AF559F" w14:textId="5F7874AB"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Non-addressability</w:t>
      </w:r>
      <w:r w:rsidR="00681000">
        <w:rPr>
          <w:rStyle w:val="Strong"/>
          <w:sz w:val="20"/>
          <w:szCs w:val="20"/>
        </w:rPr>
        <w:t>:</w:t>
      </w:r>
      <w:r w:rsidRPr="00064A22">
        <w:rPr>
          <w:sz w:val="20"/>
          <w:szCs w:val="20"/>
        </w:rPr>
        <w:t xml:space="preserve"> cognitive components cannot enumerate, infer, or discover stored secrets, preventing indirect leakage or probing behavior</w:t>
      </w:r>
      <w:r w:rsidRPr="00681000">
        <w:rPr>
          <w:sz w:val="20"/>
          <w:szCs w:val="20"/>
        </w:rPr>
        <w:t xml:space="preserve"> </w:t>
      </w:r>
      <w:r w:rsidRPr="00681000">
        <w:rPr>
          <w:rStyle w:val="Strong"/>
          <w:b w:val="0"/>
          <w:bCs w:val="0"/>
          <w:sz w:val="20"/>
          <w:szCs w:val="20"/>
        </w:rPr>
        <w:t>(Saltzer and Schroeder 1975; Carlini et al. 2021)</w:t>
      </w:r>
    </w:p>
    <w:p w14:paraId="2974AFDF" w14:textId="72E73936"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Just-in-time access</w:t>
      </w:r>
      <w:r w:rsidRPr="00064A22">
        <w:rPr>
          <w:sz w:val="20"/>
          <w:szCs w:val="20"/>
        </w:rPr>
        <w:t xml:space="preserve"> – credentials are injected only at execution time and only for the duration and scope required by a specific action </w:t>
      </w:r>
      <w:r w:rsidRPr="0008542A">
        <w:rPr>
          <w:rStyle w:val="Strong"/>
          <w:b w:val="0"/>
          <w:bCs w:val="0"/>
          <w:sz w:val="20"/>
          <w:szCs w:val="20"/>
        </w:rPr>
        <w:t xml:space="preserve">(NIST SP 800-53 Rev. 5; </w:t>
      </w:r>
      <w:r w:rsidR="00860D2D" w:rsidRPr="0008542A">
        <w:rPr>
          <w:rStyle w:val="Strong"/>
          <w:b w:val="0"/>
          <w:bCs w:val="0"/>
          <w:sz w:val="20"/>
          <w:szCs w:val="20"/>
        </w:rPr>
        <w:t>Hashi Corp</w:t>
      </w:r>
      <w:r w:rsidRPr="0008542A">
        <w:rPr>
          <w:rStyle w:val="Strong"/>
          <w:b w:val="0"/>
          <w:bCs w:val="0"/>
          <w:sz w:val="20"/>
          <w:szCs w:val="20"/>
        </w:rPr>
        <w:t xml:space="preserve"> Vault Architecture)</w:t>
      </w:r>
    </w:p>
    <w:p w14:paraId="7C8BC231" w14:textId="77777777"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Contextual revocation</w:t>
      </w:r>
      <w:r w:rsidRPr="00064A22">
        <w:rPr>
          <w:sz w:val="20"/>
          <w:szCs w:val="20"/>
        </w:rPr>
        <w:t xml:space="preserve"> – access can be dynamically withdrawn based on system state, policy violation, or observed anomaly, without requiring changes to the cognitive layer </w:t>
      </w:r>
      <w:r w:rsidRPr="00681000">
        <w:rPr>
          <w:rStyle w:val="Strong"/>
          <w:b w:val="0"/>
          <w:bCs w:val="0"/>
          <w:sz w:val="20"/>
          <w:szCs w:val="20"/>
        </w:rPr>
        <w:t>(NIST SP 800-53 Rev. 5; Leveson 2011)</w:t>
      </w:r>
    </w:p>
    <w:p w14:paraId="18A5DD3F" w14:textId="77777777" w:rsidR="00D95557" w:rsidRDefault="00D95557" w:rsidP="0042483F">
      <w:pPr>
        <w:pStyle w:val="Main"/>
        <w:divId w:val="280722072"/>
      </w:pPr>
      <w:r>
        <w:t xml:space="preserve">These properties ensure that possession of a plan does not imply possession of power. Authority is granted transiently, conditionally, and externally, preserving the ability to halt or reverse execution paths under uncertainty or attack </w:t>
      </w:r>
      <w:r w:rsidRPr="00681000">
        <w:rPr>
          <w:rStyle w:val="Strong"/>
          <w:b w:val="0"/>
          <w:bCs w:val="0"/>
        </w:rPr>
        <w:t>(Miller et al. 2003; NIST AI RMF 1.0)</w:t>
      </w:r>
      <w:r>
        <w:t>.</w:t>
      </w:r>
    </w:p>
    <w:p w14:paraId="2E256EB6" w14:textId="22857F01" w:rsidR="00D95557" w:rsidRPr="00EE151A" w:rsidRDefault="00D95557" w:rsidP="00EE151A">
      <w:pPr>
        <w:pStyle w:val="Main"/>
        <w:divId w:val="280722072"/>
      </w:pPr>
      <w:r>
        <w:t xml:space="preserve">Crucially, vaults must not be embedded within the cognitive layer itself. When secrets management is </w:t>
      </w:r>
      <w:r w:rsidR="00EE151A">
        <w:t>collocated</w:t>
      </w:r>
      <w:r>
        <w:t xml:space="preserve"> with reasoning processes, the distinction between intent and execution collapses. In such architectures, misalignment, hallucination, or adversarial manipulation can immediately translate into priv</w:t>
      </w:r>
      <w:r w:rsidRPr="00EE151A">
        <w:t xml:space="preserve">ileged action, eliminating the possibility of independent control or intervention </w:t>
      </w:r>
      <w:r w:rsidRPr="00EE151A">
        <w:rPr>
          <w:rStyle w:val="Strong"/>
          <w:b w:val="0"/>
          <w:bCs w:val="0"/>
        </w:rPr>
        <w:t>(Leveson 2011; Everitt et al. 2019)</w:t>
      </w:r>
      <w:r w:rsidRPr="00EE151A">
        <w:t>.</w:t>
      </w:r>
    </w:p>
    <w:p w14:paraId="6D151820" w14:textId="77777777" w:rsidR="00D95557" w:rsidRPr="00F7080C" w:rsidRDefault="00D95557" w:rsidP="00F7080C">
      <w:pPr>
        <w:pStyle w:val="Main"/>
        <w:divId w:val="280722072"/>
      </w:pPr>
      <w:r w:rsidRPr="00EE151A">
        <w:t>By externalizing authority and enforcing access through policy-governed vaults, cognitive defense systems preser</w:t>
      </w:r>
      <w:r>
        <w:t>ve a final line of control that remains inspectable, auditable, and revocable. This separation is not an implementation detail; it is a prerequisite for safe autonomy. When cognition and authority occupy the</w:t>
      </w:r>
      <w:r w:rsidRPr="00F7080C">
        <w:t xml:space="preserve"> same plane, escalation becomes inevitable </w:t>
      </w:r>
      <w:r w:rsidRPr="00F7080C">
        <w:rPr>
          <w:rStyle w:val="Strong"/>
          <w:b w:val="0"/>
          <w:bCs w:val="0"/>
        </w:rPr>
        <w:t>(Saltzer and Schroeder 1975; Lampson 2004)</w:t>
      </w:r>
      <w:r w:rsidRPr="00F7080C">
        <w:t>.</w:t>
      </w:r>
    </w:p>
    <w:p w14:paraId="2988868C" w14:textId="74641449" w:rsidR="00CA4735" w:rsidRDefault="00CA4735" w:rsidP="00F7080C">
      <w:pPr>
        <w:pStyle w:val="Main"/>
        <w:divId w:val="280722072"/>
      </w:pPr>
      <w:r w:rsidRPr="00F7080C">
        <w:t xml:space="preserve">Next </w:t>
      </w:r>
      <w:r w:rsidR="009C2339" w:rsidRPr="00F7080C">
        <w:t xml:space="preserve">illustration </w:t>
      </w:r>
      <w:r w:rsidR="000F5CE3" w:rsidRPr="00F7080C">
        <w:t xml:space="preserve">visualizes the vault as a trust boundary that </w:t>
      </w:r>
      <w:r w:rsidR="00F7080C" w:rsidRPr="000F5CE3">
        <w:t>externalizes</w:t>
      </w:r>
      <w:r w:rsidR="00F7080C" w:rsidRPr="009C2339">
        <w:t xml:space="preserve"> authority</w:t>
      </w:r>
      <w:r w:rsidR="009C2339" w:rsidRPr="009C2339">
        <w:t xml:space="preserve"> through vault-governed token issuance</w:t>
      </w:r>
      <w:r w:rsidR="00F7080C">
        <w:t xml:space="preserve">, </w:t>
      </w:r>
      <w:r w:rsidR="009C2339" w:rsidRPr="009C2339">
        <w:t>.</w:t>
      </w:r>
      <w:r w:rsidR="00F7080C" w:rsidRPr="00F7080C">
        <w:t>and prevents persistent credential exposure within cognitive components.</w:t>
      </w:r>
      <w:r w:rsidR="009C2339" w:rsidRPr="009C2339">
        <w:t xml:space="preserve"> Cognition cannot directly access or enumerate secrets.</w:t>
      </w:r>
    </w:p>
    <w:p w14:paraId="3855F398" w14:textId="77777777" w:rsidR="00CA4735" w:rsidRDefault="006E060B" w:rsidP="00CA4735">
      <w:pPr>
        <w:pStyle w:val="Main"/>
        <w:keepNext/>
        <w:divId w:val="280722072"/>
      </w:pPr>
      <w:r>
        <w:rPr>
          <w:noProof/>
        </w:rPr>
        <w:drawing>
          <wp:inline distT="0" distB="0" distL="0" distR="0" wp14:anchorId="7125042A" wp14:editId="5A829030">
            <wp:extent cx="3816350" cy="2544445"/>
            <wp:effectExtent l="0" t="0" r="0" b="8255"/>
            <wp:docPr id="343671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1529" name="Picture 3436715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4D6E600A" w14:textId="63AFAA67" w:rsidR="006E060B" w:rsidRDefault="00CA4735" w:rsidP="00CA4735">
      <w:pPr>
        <w:pStyle w:val="Caption"/>
        <w:jc w:val="both"/>
        <w:divId w:val="280722072"/>
      </w:pPr>
      <w:r>
        <w:t>Figure 8.</w:t>
      </w:r>
      <w:r>
        <w:fldChar w:fldCharType="begin"/>
      </w:r>
      <w:r>
        <w:instrText xml:space="preserve"> SEQ Figure_8. \* ARABIC </w:instrText>
      </w:r>
      <w:r>
        <w:fldChar w:fldCharType="separate"/>
      </w:r>
      <w:r w:rsidR="004719D5">
        <w:rPr>
          <w:noProof/>
        </w:rPr>
        <w:t>2</w:t>
      </w:r>
      <w:r>
        <w:fldChar w:fldCharType="end"/>
      </w:r>
      <w:r>
        <w:t xml:space="preserve"> </w:t>
      </w:r>
      <w:r w:rsidRPr="00675D38">
        <w:rPr>
          <w:b w:val="0"/>
          <w:bCs/>
        </w:rPr>
        <w:t>Externalization of authority.</w:t>
      </w:r>
    </w:p>
    <w:p w14:paraId="0D077331" w14:textId="1856C38F" w:rsidR="00003822" w:rsidRDefault="00003822" w:rsidP="008A44D5">
      <w:pPr>
        <w:pStyle w:val="Secondaryheadings"/>
        <w:divId w:val="2039305844"/>
        <w:rPr>
          <w:sz w:val="36"/>
          <w:szCs w:val="36"/>
        </w:rPr>
      </w:pPr>
      <w:r>
        <w:t xml:space="preserve">8.4 Execution </w:t>
      </w:r>
      <w:r w:rsidR="00A27FAB">
        <w:t>surfaces and the geometry of risk</w:t>
      </w:r>
    </w:p>
    <w:p w14:paraId="71DAD63F" w14:textId="77777777" w:rsidR="00003822" w:rsidRPr="00860D2D" w:rsidRDefault="00003822" w:rsidP="00860D2D">
      <w:pPr>
        <w:pStyle w:val="Main"/>
        <w:divId w:val="2039305844"/>
        <w:rPr>
          <w:rFonts w:eastAsiaTheme="minorEastAsia"/>
        </w:rPr>
      </w:pPr>
      <w:r>
        <w:t xml:space="preserve">Execution surfaces are the interfaces through which reasoning transitions into action. In cybersecurity systems, these surfaces include API calls, infrastructure modifications, alert suppression, policy updates, and automated response mechanisms. The design of these interfaces defines the </w:t>
      </w:r>
      <w:r>
        <w:rPr>
          <w:rStyle w:val="Strong"/>
        </w:rPr>
        <w:t>geometry of risk</w:t>
      </w:r>
      <w:r>
        <w:t>, determining how intent propagates into impact a</w:t>
      </w:r>
      <w:r w:rsidRPr="00860D2D">
        <w:t xml:space="preserve">nd how quickly errors or adversarial manipulations can escalate </w:t>
      </w:r>
      <w:r w:rsidRPr="00860D2D">
        <w:rPr>
          <w:rStyle w:val="Strong"/>
          <w:b w:val="0"/>
          <w:bCs w:val="0"/>
        </w:rPr>
        <w:t>(Saltzer and Schroeder 1975; Lampson 2004)</w:t>
      </w:r>
      <w:r w:rsidRPr="00860D2D">
        <w:t>.</w:t>
      </w:r>
    </w:p>
    <w:p w14:paraId="735A189C" w14:textId="4F4DC230" w:rsidR="00003822" w:rsidRPr="00EB32DF" w:rsidRDefault="00003822" w:rsidP="00860D2D">
      <w:pPr>
        <w:pStyle w:val="Main"/>
        <w:divId w:val="2039305844"/>
      </w:pPr>
      <w:r w:rsidRPr="00860D2D">
        <w:t xml:space="preserve">Naïve autonomy treats execution as a </w:t>
      </w:r>
      <w:r>
        <w:t xml:space="preserve">binary capability: an action is either permitted or denied. </w:t>
      </w:r>
      <w:r w:rsidR="00682DC6">
        <w:t>This framing obscure</w:t>
      </w:r>
      <w:r>
        <w:t xml:space="preserve"> the fact that risk is not binary but geometric. The magnitude, scope, reversibility, and observability of an action determine its potential for harm. Systems that expose broad or implicit execution paths concentrate risk by allowing high-impact actions to occur without intermediate co</w:t>
      </w:r>
      <w:r w:rsidRPr="00EB32DF">
        <w:t>nstraint or inspection (Leveson 2011; NIST SP 800-53 Rev. 5).</w:t>
      </w:r>
    </w:p>
    <w:p w14:paraId="626EFDE6" w14:textId="77777777" w:rsidR="00003822" w:rsidRDefault="00003822" w:rsidP="008A44D5">
      <w:pPr>
        <w:pStyle w:val="Main"/>
        <w:divId w:val="2039305844"/>
      </w:pPr>
      <w:r>
        <w:t xml:space="preserve">From a control perspective, execution surfaces must therefore be </w:t>
      </w:r>
      <w:r>
        <w:rPr>
          <w:rStyle w:val="Strong"/>
        </w:rPr>
        <w:t>graded rather than absolute</w:t>
      </w:r>
      <w:r>
        <w:t>. Graded execution introduces intermediate states between proposal and enactment, allowing systems to shape action rather than merely authorize it. Effective execution control mechanisms include:</w:t>
      </w:r>
    </w:p>
    <w:p w14:paraId="570F49AE" w14:textId="77777777"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Simulation prior to enactment</w:t>
      </w:r>
      <w:r w:rsidRPr="004C78B0">
        <w:rPr>
          <w:sz w:val="20"/>
          <w:szCs w:val="20"/>
        </w:rPr>
        <w:t xml:space="preserve">, enabling evaluation of downstream effects without committing state changes </w:t>
      </w:r>
      <w:r w:rsidRPr="004C78B0">
        <w:rPr>
          <w:rStyle w:val="Strong"/>
          <w:sz w:val="20"/>
          <w:szCs w:val="20"/>
        </w:rPr>
        <w:t>(Leveson 2011)</w:t>
      </w:r>
    </w:p>
    <w:p w14:paraId="008A6BFC" w14:textId="77777777" w:rsidR="00003822" w:rsidRPr="00AE580D"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Scoped execution</w:t>
      </w:r>
      <w:r w:rsidRPr="004C78B0">
        <w:rPr>
          <w:sz w:val="20"/>
          <w:szCs w:val="20"/>
        </w:rPr>
        <w:t>, constraining blast radius through resource, domain, or policy boundaries</w:t>
      </w:r>
      <w:r w:rsidRPr="00AE580D">
        <w:rPr>
          <w:sz w:val="20"/>
          <w:szCs w:val="20"/>
        </w:rPr>
        <w:t xml:space="preserve"> </w:t>
      </w:r>
      <w:r w:rsidRPr="00AE580D">
        <w:rPr>
          <w:rStyle w:val="Strong"/>
          <w:b w:val="0"/>
          <w:bCs w:val="0"/>
          <w:sz w:val="20"/>
          <w:szCs w:val="20"/>
        </w:rPr>
        <w:t>(Saltzer and Schroeder 1975; NIST SP 800-53 Rev. 5)</w:t>
      </w:r>
    </w:p>
    <w:p w14:paraId="595D58DE" w14:textId="77777777" w:rsidR="00003822" w:rsidRPr="00AE580D" w:rsidRDefault="00003822" w:rsidP="00A24F62">
      <w:pPr>
        <w:pStyle w:val="NormalWeb"/>
        <w:numPr>
          <w:ilvl w:val="0"/>
          <w:numId w:val="8"/>
        </w:numPr>
        <w:spacing w:before="0" w:beforeAutospacing="0" w:after="0" w:afterAutospacing="0"/>
        <w:divId w:val="2039305844"/>
        <w:rPr>
          <w:b/>
          <w:bCs/>
          <w:sz w:val="20"/>
          <w:szCs w:val="20"/>
        </w:rPr>
      </w:pPr>
      <w:r w:rsidRPr="004C78B0">
        <w:rPr>
          <w:rStyle w:val="Strong"/>
          <w:sz w:val="20"/>
          <w:szCs w:val="20"/>
        </w:rPr>
        <w:t>Rate limiting tied to confidence or uncertainty</w:t>
      </w:r>
      <w:r w:rsidRPr="004C78B0">
        <w:rPr>
          <w:sz w:val="20"/>
          <w:szCs w:val="20"/>
        </w:rPr>
        <w:t xml:space="preserve">, preventing rapid escalation under ambiguous conditions </w:t>
      </w:r>
      <w:r w:rsidRPr="00AE580D">
        <w:rPr>
          <w:rStyle w:val="Strong"/>
          <w:b w:val="0"/>
          <w:bCs w:val="0"/>
          <w:sz w:val="20"/>
          <w:szCs w:val="20"/>
        </w:rPr>
        <w:t>(NIST AI RMF 1.0)</w:t>
      </w:r>
    </w:p>
    <w:p w14:paraId="6D2730F0" w14:textId="23683CB9"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Post-hoc auditability</w:t>
      </w:r>
      <w:r w:rsidRPr="004C78B0">
        <w:rPr>
          <w:sz w:val="20"/>
          <w:szCs w:val="20"/>
        </w:rPr>
        <w:t xml:space="preserve">, ensuring that every executed action can be reconstructed, attributed, and evaluated after the fact </w:t>
      </w:r>
      <w:r w:rsidRPr="00AE580D">
        <w:rPr>
          <w:rStyle w:val="Strong"/>
          <w:b w:val="0"/>
          <w:bCs w:val="0"/>
          <w:sz w:val="20"/>
          <w:szCs w:val="20"/>
        </w:rPr>
        <w:t>(</w:t>
      </w:r>
      <w:r w:rsidR="00AE580D" w:rsidRPr="00AE580D">
        <w:rPr>
          <w:rStyle w:val="Strong"/>
          <w:b w:val="0"/>
          <w:bCs w:val="0"/>
          <w:sz w:val="20"/>
          <w:szCs w:val="20"/>
        </w:rPr>
        <w:t>Siegelman</w:t>
      </w:r>
      <w:r w:rsidRPr="00AE580D">
        <w:rPr>
          <w:rStyle w:val="Strong"/>
          <w:b w:val="0"/>
          <w:bCs w:val="0"/>
          <w:sz w:val="20"/>
          <w:szCs w:val="20"/>
        </w:rPr>
        <w:t xml:space="preserve"> et al. 2010; Doshi-Velez and Kim 2017)</w:t>
      </w:r>
    </w:p>
    <w:p w14:paraId="138D48E6" w14:textId="77777777" w:rsidR="00003822" w:rsidRDefault="00003822" w:rsidP="00737093">
      <w:pPr>
        <w:pStyle w:val="Main"/>
        <w:divId w:val="2039305844"/>
      </w:pPr>
      <w:r>
        <w:t xml:space="preserve">Execution surfaces that lack these properties tend to become escalation channels. Unrestricted scripting environments, broad API permissions, or implicit authority delegation collapse decision-making and execution into a single step, eliminating opportunities for intervention or rollback </w:t>
      </w:r>
      <w:r w:rsidRPr="00AE580D">
        <w:rPr>
          <w:rStyle w:val="Strong"/>
          <w:b w:val="0"/>
          <w:bCs w:val="0"/>
        </w:rPr>
        <w:t>(Behl and Behl 2017; NIST SP 800-53 Rev. 5)</w:t>
      </w:r>
      <w:r w:rsidRPr="00AE580D">
        <w:rPr>
          <w:b/>
          <w:bCs/>
        </w:rPr>
        <w:t>.</w:t>
      </w:r>
      <w:r>
        <w:t xml:space="preserve"> In agentic systems, this collapse is particularly dangerous, as errors propagate at machine speed and may compound before detection.</w:t>
      </w:r>
    </w:p>
    <w:p w14:paraId="2E324DA3" w14:textId="17283393" w:rsidR="00003822" w:rsidRDefault="00003822" w:rsidP="00737093">
      <w:pPr>
        <w:pStyle w:val="Main"/>
        <w:divId w:val="2039305844"/>
      </w:pPr>
      <w:r>
        <w:t>Narrow, explicit, and observable execution surfaces invert this dynamic. By forcing actions to traverse constrained interfaces, architectures preserve op</w:t>
      </w:r>
      <w:r w:rsidRPr="00556D60">
        <w:t xml:space="preserve">portunities for inspection, policy enforcement, and human escalation without </w:t>
      </w:r>
      <w:r w:rsidR="00274CB8" w:rsidRPr="00556D60">
        <w:t>turning off</w:t>
      </w:r>
      <w:r w:rsidRPr="00556D60">
        <w:t xml:space="preserve"> automation entirely (Leveson 2011; NIST AI RMF 1.0). The ob</w:t>
      </w:r>
      <w:r>
        <w:t xml:space="preserve">jective is not to eliminate action, but to </w:t>
      </w:r>
      <w:r>
        <w:rPr>
          <w:rStyle w:val="Strong"/>
        </w:rPr>
        <w:t>shape how action unfolds under uncertainty</w:t>
      </w:r>
      <w:r>
        <w:t>.</w:t>
      </w:r>
    </w:p>
    <w:p w14:paraId="655DD5F2" w14:textId="5A4F8961" w:rsidR="00023C9C" w:rsidRDefault="00003822" w:rsidP="008246FE">
      <w:pPr>
        <w:pStyle w:val="Main"/>
      </w:pPr>
      <w:r>
        <w:t xml:space="preserve">In cognitive defense architectures, execution control is therefore </w:t>
      </w:r>
      <w:r w:rsidRPr="00556D60">
        <w:t>inseparable from governance. Reasoning systems propose actions; execution surfaces determine whether, how, and under what constraints those actions can affect the environment. When execution is shaped by design rather than convenience, autonomy becomes governable rather than hazardous (Saltzer and Schroeder 1975; Lampson 2004).</w:t>
      </w:r>
    </w:p>
    <w:p w14:paraId="5FDC34FD" w14:textId="77777777" w:rsidR="00503DC6" w:rsidRDefault="00503DC6" w:rsidP="00503DC6">
      <w:pPr>
        <w:pStyle w:val="Main"/>
      </w:pPr>
      <w:r>
        <w:t>Next figure illustrates a c</w:t>
      </w:r>
      <w:r w:rsidRPr="00FD6791">
        <w:t>losed-loop cognitive control model in which platform-mediated policies enforce bounded execution and enable continuous auditability.</w:t>
      </w:r>
    </w:p>
    <w:p w14:paraId="3B3464CA" w14:textId="58A7DFD6" w:rsidR="00503DC6" w:rsidRDefault="00503DC6" w:rsidP="008246FE">
      <w:pPr>
        <w:pStyle w:val="Main"/>
      </w:pPr>
      <w:r>
        <w:rPr>
          <w:noProof/>
        </w:rPr>
        <w:drawing>
          <wp:inline distT="0" distB="0" distL="0" distR="0" wp14:anchorId="3B42F3FA" wp14:editId="2BDCE035">
            <wp:extent cx="3699307" cy="5548961"/>
            <wp:effectExtent l="0" t="0" r="0" b="0"/>
            <wp:docPr id="941935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5531" name="Picture 9419355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0895" cy="5551343"/>
                    </a:xfrm>
                    <a:prstGeom prst="rect">
                      <a:avLst/>
                    </a:prstGeom>
                  </pic:spPr>
                </pic:pic>
              </a:graphicData>
            </a:graphic>
          </wp:inline>
        </w:drawing>
      </w:r>
    </w:p>
    <w:p w14:paraId="3925C75F" w14:textId="7EAABF3A" w:rsidR="00AE69C9" w:rsidRPr="00B269D3" w:rsidRDefault="00AE69C9" w:rsidP="00AE69C9">
      <w:pPr>
        <w:pStyle w:val="Caption"/>
        <w:jc w:val="both"/>
        <w:rPr>
          <w:rFonts w:eastAsiaTheme="minorEastAsia"/>
        </w:rPr>
      </w:pPr>
      <w:r>
        <w:t>Figure 8.</w:t>
      </w:r>
      <w:r>
        <w:fldChar w:fldCharType="begin"/>
      </w:r>
      <w:r>
        <w:instrText xml:space="preserve"> SEQ Figure_8. \* ARABIC </w:instrText>
      </w:r>
      <w:r>
        <w:fldChar w:fldCharType="separate"/>
      </w:r>
      <w:r w:rsidR="004719D5">
        <w:rPr>
          <w:noProof/>
        </w:rPr>
        <w:t>3</w:t>
      </w:r>
      <w:r>
        <w:fldChar w:fldCharType="end"/>
      </w:r>
      <w:r>
        <w:t xml:space="preserve"> </w:t>
      </w:r>
      <w:r w:rsidRPr="00AF3DF4">
        <w:rPr>
          <w:b w:val="0"/>
          <w:bCs/>
        </w:rPr>
        <w:t>Closed-loop cognitive control model.</w:t>
      </w:r>
    </w:p>
    <w:p w14:paraId="5533842E" w14:textId="77777777" w:rsidR="00AE69C9" w:rsidRDefault="00AE69C9" w:rsidP="008246FE">
      <w:pPr>
        <w:pStyle w:val="Main"/>
      </w:pPr>
    </w:p>
    <w:p w14:paraId="7B6CD2E9" w14:textId="2E8069C9" w:rsidR="00D41FE3" w:rsidRDefault="00797D3A" w:rsidP="00BD703A">
      <w:pPr>
        <w:pStyle w:val="Secondaryheadings"/>
        <w:divId w:val="1244220138"/>
        <w:rPr>
          <w:sz w:val="36"/>
          <w:szCs w:val="36"/>
        </w:rPr>
      </w:pPr>
      <w:r>
        <w:rPr>
          <w:rStyle w:val="Strong"/>
          <w:b/>
          <w:bCs w:val="0"/>
        </w:rPr>
        <w:t xml:space="preserve">8.4.1 </w:t>
      </w:r>
      <w:r w:rsidR="000D4AAB">
        <w:rPr>
          <w:rStyle w:val="Strong"/>
          <w:b/>
          <w:bCs w:val="0"/>
        </w:rPr>
        <w:t>F</w:t>
      </w:r>
      <w:r w:rsidR="00A27FAB">
        <w:rPr>
          <w:rStyle w:val="Strong"/>
          <w:b/>
          <w:bCs w:val="0"/>
        </w:rPr>
        <w:t>raming of platform-mediated cognitive control</w:t>
      </w:r>
    </w:p>
    <w:p w14:paraId="023463F8" w14:textId="0518EA34" w:rsidR="00D41FE3" w:rsidRPr="00B269D3" w:rsidRDefault="00D41FE3" w:rsidP="000D4AAB">
      <w:pPr>
        <w:pStyle w:val="Main"/>
        <w:divId w:val="1244220138"/>
      </w:pPr>
      <w:r w:rsidRPr="00B269D3">
        <w:t xml:space="preserve">To formalize the architectural claims introduced in Sections 8.1–8.4, agentic cybersecurity systems can be modeled as </w:t>
      </w:r>
      <w:r w:rsidRPr="00B269D3">
        <w:rPr>
          <w:rStyle w:val="Strong"/>
        </w:rPr>
        <w:t>closed-loop control systems</w:t>
      </w:r>
      <w:r w:rsidR="000323B7">
        <w:t xml:space="preserve"> in which platform-enforced constraints explicitly constrain reasoning</w:t>
      </w:r>
      <w:r w:rsidRPr="00B269D3">
        <w:t>.</w:t>
      </w:r>
    </w:p>
    <w:p w14:paraId="2EEBC31D" w14:textId="0744F520" w:rsidR="00D41FE3" w:rsidRPr="00B269D3" w:rsidRDefault="00C43677" w:rsidP="00020FAA">
      <w:pPr>
        <w:pStyle w:val="NormalWeb"/>
        <w:spacing w:after="0" w:afterAutospacing="0"/>
        <w:divId w:val="1244220138"/>
        <w:rPr>
          <w:sz w:val="20"/>
          <w:szCs w:val="20"/>
        </w:rPr>
      </w:pPr>
      <w:r w:rsidRPr="00C43677">
        <w:rPr>
          <w:sz w:val="20"/>
          <w:szCs w:val="20"/>
        </w:rPr>
        <w:t xml:space="preserve">Let the system state at time </w:t>
      </w:r>
      <m:oMath>
        <m:r>
          <w:rPr>
            <w:rFonts w:ascii="Cambria Math" w:hAnsi="Cambria Math"/>
            <w:sz w:val="20"/>
            <w:szCs w:val="20"/>
          </w:rPr>
          <m:t>t</m:t>
        </m:r>
      </m:oMath>
      <w:r>
        <w:rPr>
          <w:sz w:val="20"/>
          <w:szCs w:val="20"/>
        </w:rPr>
        <w:t xml:space="preserve"> </w:t>
      </w:r>
      <w:r w:rsidRPr="00C43677">
        <w:rPr>
          <w:sz w:val="20"/>
          <w:szCs w:val="20"/>
        </w:rPr>
        <w:t>be</w:t>
      </w:r>
      <w:r w:rsidR="00D41FE3" w:rsidRPr="00B269D3">
        <w:rPr>
          <w:sz w:val="20"/>
          <w:szCs w:val="20"/>
        </w:rPr>
        <w:t>:</w:t>
      </w:r>
    </w:p>
    <w:p w14:paraId="25A8F4D9" w14:textId="52277ABC" w:rsidR="00D41FE3" w:rsidRPr="00B269D3" w:rsidRDefault="005862B4" w:rsidP="003D3C53">
      <w:pPr>
        <w:jc w:val="center"/>
        <w:divId w:val="1244220138"/>
        <w:rPr>
          <w:sz w:val="20"/>
          <w:szCs w:val="20"/>
        </w:rPr>
      </w:pPr>
      <w:r w:rsidRPr="005862B4">
        <w:rPr>
          <w:sz w:val="20"/>
          <w:szCs w:val="20"/>
        </w:rPr>
        <w:t>S</w:t>
      </w:r>
      <w:r w:rsidRPr="00020FAA">
        <w:rPr>
          <w:sz w:val="20"/>
          <w:szCs w:val="20"/>
          <w:vertAlign w:val="subscript"/>
        </w:rPr>
        <w:t>t</w:t>
      </w:r>
      <w:r w:rsidRPr="005862B4">
        <w:rPr>
          <w:sz w:val="20"/>
          <w:szCs w:val="20"/>
        </w:rPr>
        <w:t>​</w:t>
      </w:r>
      <w:r w:rsidRPr="005862B4">
        <w:rPr>
          <w:rFonts w:ascii="Cambria Math" w:hAnsi="Cambria Math" w:cs="Cambria Math"/>
          <w:sz w:val="20"/>
          <w:szCs w:val="20"/>
        </w:rPr>
        <w:t>∈</w:t>
      </w:r>
      <w:r w:rsidRPr="005862B4">
        <w:rPr>
          <w:sz w:val="20"/>
          <w:szCs w:val="20"/>
        </w:rPr>
        <w:t>S</w:t>
      </w:r>
    </w:p>
    <w:p w14:paraId="5DC5F3FC" w14:textId="4908AD6E" w:rsidR="00D41FE3" w:rsidRPr="00B269D3" w:rsidRDefault="006B203C" w:rsidP="00020FAA">
      <w:pPr>
        <w:pStyle w:val="NormalWeb"/>
        <w:spacing w:after="0" w:afterAutospacing="0"/>
        <w:divId w:val="1244220138"/>
        <w:rPr>
          <w:sz w:val="20"/>
          <w:szCs w:val="20"/>
        </w:rPr>
      </w:pPr>
      <w:r>
        <w:rPr>
          <w:sz w:val="20"/>
          <w:szCs w:val="20"/>
        </w:rPr>
        <w:t>The platform mediates observation</w:t>
      </w:r>
      <w:r w:rsidR="00D41FE3" w:rsidRPr="00B269D3">
        <w:rPr>
          <w:sz w:val="20"/>
          <w:szCs w:val="20"/>
        </w:rPr>
        <w:t>:</w:t>
      </w:r>
    </w:p>
    <w:p w14:paraId="0E2DEB82" w14:textId="2403698A" w:rsidR="00D41FE3" w:rsidRPr="00B269D3" w:rsidRDefault="003D3C53" w:rsidP="00020FAA">
      <w:pPr>
        <w:jc w:val="center"/>
        <w:divId w:val="1244220138"/>
        <w:rPr>
          <w:sz w:val="20"/>
          <w:szCs w:val="20"/>
        </w:rPr>
      </w:pPr>
      <w:r w:rsidRPr="003D3C53">
        <w:rPr>
          <w:sz w:val="20"/>
          <w:szCs w:val="20"/>
        </w:rPr>
        <w:t>O</w:t>
      </w:r>
      <w:r w:rsidRPr="00020FAA">
        <w:rPr>
          <w:sz w:val="20"/>
          <w:szCs w:val="20"/>
          <w:vertAlign w:val="subscript"/>
        </w:rPr>
        <w:t>t</w:t>
      </w:r>
      <w:r w:rsidR="002839F1">
        <w:rPr>
          <w:sz w:val="20"/>
          <w:szCs w:val="20"/>
          <w:vertAlign w:val="subscript"/>
        </w:rPr>
        <w:t xml:space="preserve"> </w:t>
      </w:r>
      <w:r w:rsidRPr="003D3C53">
        <w:rPr>
          <w:sz w:val="20"/>
          <w:szCs w:val="20"/>
        </w:rPr>
        <w:t>​=</w:t>
      </w:r>
      <w:r w:rsidR="002839F1">
        <w:rPr>
          <w:sz w:val="20"/>
          <w:szCs w:val="20"/>
        </w:rPr>
        <w:t xml:space="preserve"> </w:t>
      </w:r>
      <w:r w:rsidRPr="003D3C53">
        <w:rPr>
          <w:sz w:val="20"/>
          <w:szCs w:val="20"/>
        </w:rPr>
        <w:t>f</w:t>
      </w:r>
      <w:r w:rsidRPr="00020FAA">
        <w:rPr>
          <w:sz w:val="20"/>
          <w:szCs w:val="20"/>
          <w:vertAlign w:val="subscript"/>
        </w:rPr>
        <w:t>obs</w:t>
      </w:r>
      <w:r w:rsidRPr="003D3C53">
        <w:rPr>
          <w:sz w:val="20"/>
          <w:szCs w:val="20"/>
        </w:rPr>
        <w:t>​(S</w:t>
      </w:r>
      <w:r w:rsidRPr="00020FAA">
        <w:rPr>
          <w:sz w:val="20"/>
          <w:szCs w:val="20"/>
          <w:vertAlign w:val="subscript"/>
        </w:rPr>
        <w:t>t</w:t>
      </w:r>
      <w:r w:rsidRPr="003D3C53">
        <w:rPr>
          <w:sz w:val="20"/>
          <w:szCs w:val="20"/>
        </w:rPr>
        <w:t>​)</w:t>
      </w:r>
    </w:p>
    <w:p w14:paraId="12B08F5B" w14:textId="3848A868" w:rsidR="00D41FE3" w:rsidRPr="00B269D3" w:rsidRDefault="00D41FE3" w:rsidP="00020FAA">
      <w:pPr>
        <w:pStyle w:val="NormalWeb"/>
        <w:spacing w:after="0" w:afterAutospacing="0"/>
        <w:divId w:val="1244220138"/>
        <w:rPr>
          <w:sz w:val="20"/>
          <w:szCs w:val="20"/>
        </w:rPr>
      </w:pPr>
      <w:r w:rsidRPr="00B269D3">
        <w:rPr>
          <w:sz w:val="20"/>
          <w:szCs w:val="20"/>
        </w:rPr>
        <w:t>A cognitive agent proposes an action under</w:t>
      </w:r>
      <w:r w:rsidR="00F62D3F">
        <w:rPr>
          <w:sz w:val="20"/>
          <w:szCs w:val="20"/>
        </w:rPr>
        <w:t xml:space="preserve"> </w:t>
      </w:r>
      <w:r w:rsidR="00F62D3F" w:rsidRPr="00F62D3F">
        <w:rPr>
          <w:sz w:val="20"/>
          <w:szCs w:val="20"/>
        </w:rPr>
        <w:t xml:space="preserve">architectural constraints </w:t>
      </w:r>
      <m:oMath>
        <m:r>
          <w:rPr>
            <w:rFonts w:ascii="Cambria Math" w:hAnsi="Cambria Math"/>
            <w:sz w:val="20"/>
            <w:szCs w:val="20"/>
          </w:rPr>
          <m:t>C</m:t>
        </m:r>
      </m:oMath>
      <w:r w:rsidR="00F62D3F" w:rsidRPr="00F62D3F">
        <w:rPr>
          <w:sz w:val="20"/>
          <w:szCs w:val="20"/>
        </w:rPr>
        <w:t>:</w:t>
      </w:r>
    </w:p>
    <w:p w14:paraId="6D41DAB3" w14:textId="2E0FF563" w:rsidR="006D60C7" w:rsidRDefault="006D60C7" w:rsidP="006D60C7">
      <w:pPr>
        <w:jc w:val="center"/>
        <w:divId w:val="1244220138"/>
        <w:rPr>
          <w:rStyle w:val="katex-mathml"/>
          <w:sz w:val="20"/>
          <w:szCs w:val="20"/>
        </w:rPr>
      </w:pPr>
      <w:r w:rsidRPr="006D60C7">
        <w:rPr>
          <w:sz w:val="20"/>
          <w:szCs w:val="20"/>
        </w:rPr>
        <w:t>A</w:t>
      </w:r>
      <w:r w:rsidRPr="006D60C7">
        <w:rPr>
          <w:sz w:val="20"/>
          <w:szCs w:val="20"/>
          <w:vertAlign w:val="subscript"/>
        </w:rPr>
        <w:t>t</w:t>
      </w:r>
      <w:r w:rsidRPr="006D60C7">
        <w:rPr>
          <w:sz w:val="20"/>
          <w:szCs w:val="20"/>
        </w:rPr>
        <w:t>​</w:t>
      </w:r>
      <w:r w:rsidR="002839F1">
        <w:rPr>
          <w:sz w:val="20"/>
          <w:szCs w:val="20"/>
        </w:rPr>
        <w:t xml:space="preserve"> </w:t>
      </w:r>
      <w:r w:rsidRPr="006D60C7">
        <w:rPr>
          <w:sz w:val="20"/>
          <w:szCs w:val="20"/>
        </w:rPr>
        <w:t>=</w:t>
      </w:r>
      <w:r w:rsidR="002839F1">
        <w:rPr>
          <w:sz w:val="20"/>
          <w:szCs w:val="20"/>
        </w:rPr>
        <w:t xml:space="preserve"> </w:t>
      </w:r>
      <w:r w:rsidRPr="006D60C7">
        <w:rPr>
          <w:sz w:val="20"/>
          <w:szCs w:val="20"/>
        </w:rPr>
        <w:t>f</w:t>
      </w:r>
      <w:r w:rsidRPr="006D60C7">
        <w:rPr>
          <w:sz w:val="20"/>
          <w:szCs w:val="20"/>
          <w:vertAlign w:val="subscript"/>
        </w:rPr>
        <w:t>reason</w:t>
      </w:r>
      <w:r w:rsidRPr="006D60C7">
        <w:rPr>
          <w:sz w:val="20"/>
          <w:szCs w:val="20"/>
        </w:rPr>
        <w:t>​(O</w:t>
      </w:r>
      <w:r w:rsidRPr="0056220D">
        <w:rPr>
          <w:sz w:val="20"/>
          <w:szCs w:val="20"/>
          <w:vertAlign w:val="subscript"/>
        </w:rPr>
        <w:t>t</w:t>
      </w:r>
      <w:r w:rsidR="002839F1">
        <w:rPr>
          <w:sz w:val="20"/>
          <w:szCs w:val="20"/>
          <w:vertAlign w:val="subscript"/>
        </w:rPr>
        <w:t xml:space="preserve"> </w:t>
      </w:r>
      <w:r w:rsidRPr="006D60C7">
        <w:rPr>
          <w:sz w:val="20"/>
          <w:szCs w:val="20"/>
        </w:rPr>
        <w:t>​</w:t>
      </w:r>
      <w:r w:rsidRPr="006D60C7">
        <w:rPr>
          <w:rFonts w:ascii="Cambria Math" w:hAnsi="Cambria Math" w:cs="Cambria Math"/>
          <w:sz w:val="20"/>
          <w:szCs w:val="20"/>
        </w:rPr>
        <w:t>∣</w:t>
      </w:r>
      <w:r w:rsidR="002839F1">
        <w:rPr>
          <w:rFonts w:ascii="Cambria Math" w:hAnsi="Cambria Math" w:cs="Cambria Math"/>
          <w:sz w:val="20"/>
          <w:szCs w:val="20"/>
        </w:rPr>
        <w:t xml:space="preserve"> </w:t>
      </w:r>
      <w:r w:rsidRPr="006D60C7">
        <w:rPr>
          <w:sz w:val="20"/>
          <w:szCs w:val="20"/>
        </w:rPr>
        <w:t>C)</w:t>
      </w:r>
    </w:p>
    <w:p w14:paraId="126ACCCD" w14:textId="61A6F4C0" w:rsidR="00D41FE3" w:rsidRPr="00B269D3" w:rsidRDefault="00D41FE3" w:rsidP="009420F5">
      <w:pPr>
        <w:pStyle w:val="NormalWeb"/>
        <w:spacing w:after="0" w:afterAutospacing="0"/>
        <w:divId w:val="1244220138"/>
        <w:rPr>
          <w:sz w:val="20"/>
          <w:szCs w:val="20"/>
        </w:rPr>
      </w:pPr>
      <w:r w:rsidRPr="00B269D3">
        <w:rPr>
          <w:sz w:val="20"/>
          <w:szCs w:val="20"/>
        </w:rPr>
        <w:t xml:space="preserve">Crucially, execution is not a direct function of the </w:t>
      </w:r>
      <w:r w:rsidR="00954D00">
        <w:rPr>
          <w:sz w:val="20"/>
          <w:szCs w:val="20"/>
        </w:rPr>
        <w:t>agent's</w:t>
      </w:r>
      <w:r w:rsidRPr="00B269D3">
        <w:rPr>
          <w:sz w:val="20"/>
          <w:szCs w:val="20"/>
        </w:rPr>
        <w:t xml:space="preserve"> proposal. Instead, execution is governed by </w:t>
      </w:r>
      <w:r w:rsidR="0056220D" w:rsidRPr="0056220D">
        <w:rPr>
          <w:sz w:val="20"/>
          <w:szCs w:val="20"/>
        </w:rPr>
        <w:t xml:space="preserve">platform policies </w:t>
      </w:r>
      <m:oMath>
        <m:r>
          <w:rPr>
            <w:rFonts w:ascii="Cambria Math" w:hAnsi="Cambria Math"/>
            <w:sz w:val="20"/>
            <w:szCs w:val="20"/>
          </w:rPr>
          <m:t>P</m:t>
        </m:r>
      </m:oMath>
      <w:r w:rsidR="0056220D" w:rsidRPr="0056220D">
        <w:rPr>
          <w:sz w:val="20"/>
          <w:szCs w:val="20"/>
        </w:rPr>
        <w:t>:</w:t>
      </w:r>
    </w:p>
    <w:p w14:paraId="79FC8095" w14:textId="05BEA65F" w:rsidR="00954D00" w:rsidRDefault="00954D00" w:rsidP="00954D00">
      <w:pPr>
        <w:jc w:val="center"/>
        <w:divId w:val="1244220138"/>
        <w:rPr>
          <w:rStyle w:val="katex-mathml"/>
          <w:sz w:val="20"/>
          <w:szCs w:val="20"/>
        </w:rPr>
      </w:pPr>
      <w:r w:rsidRPr="00954D00">
        <w:rPr>
          <w:sz w:val="20"/>
          <w:szCs w:val="20"/>
        </w:rPr>
        <w:t>E</w:t>
      </w:r>
      <w:r w:rsidRPr="00954D00">
        <w:rPr>
          <w:sz w:val="20"/>
          <w:szCs w:val="20"/>
          <w:vertAlign w:val="subscript"/>
        </w:rPr>
        <w:t>t</w:t>
      </w:r>
      <w:r w:rsidRPr="00954D00">
        <w:rPr>
          <w:sz w:val="20"/>
          <w:szCs w:val="20"/>
        </w:rPr>
        <w:t>​</w:t>
      </w:r>
      <w:r w:rsidR="002839F1">
        <w:rPr>
          <w:sz w:val="20"/>
          <w:szCs w:val="20"/>
        </w:rPr>
        <w:t xml:space="preserve"> </w:t>
      </w:r>
      <w:r w:rsidRPr="00954D00">
        <w:rPr>
          <w:sz w:val="20"/>
          <w:szCs w:val="20"/>
        </w:rPr>
        <w:t>=</w:t>
      </w:r>
      <w:r w:rsidR="002839F1">
        <w:rPr>
          <w:sz w:val="20"/>
          <w:szCs w:val="20"/>
        </w:rPr>
        <w:t xml:space="preserve"> </w:t>
      </w:r>
      <w:r w:rsidRPr="00954D00">
        <w:rPr>
          <w:sz w:val="20"/>
          <w:szCs w:val="20"/>
        </w:rPr>
        <w:t>f</w:t>
      </w:r>
      <w:r w:rsidRPr="00954D00">
        <w:rPr>
          <w:sz w:val="20"/>
          <w:szCs w:val="20"/>
          <w:vertAlign w:val="subscript"/>
        </w:rPr>
        <w:t>exec</w:t>
      </w:r>
      <w:r w:rsidRPr="00954D00">
        <w:rPr>
          <w:sz w:val="20"/>
          <w:szCs w:val="20"/>
        </w:rPr>
        <w:t>​(A</w:t>
      </w:r>
      <w:r w:rsidRPr="00954D00">
        <w:rPr>
          <w:sz w:val="20"/>
          <w:szCs w:val="20"/>
          <w:vertAlign w:val="subscript"/>
        </w:rPr>
        <w:t>t</w:t>
      </w:r>
      <w:r w:rsidR="002839F1">
        <w:rPr>
          <w:sz w:val="20"/>
          <w:szCs w:val="20"/>
          <w:vertAlign w:val="subscript"/>
        </w:rPr>
        <w:t xml:space="preserve"> </w:t>
      </w:r>
      <w:r w:rsidRPr="00954D00">
        <w:rPr>
          <w:sz w:val="20"/>
          <w:szCs w:val="20"/>
        </w:rPr>
        <w:t>​</w:t>
      </w:r>
      <w:r w:rsidRPr="00954D00">
        <w:rPr>
          <w:rFonts w:ascii="Cambria Math" w:hAnsi="Cambria Math" w:cs="Cambria Math"/>
          <w:sz w:val="20"/>
          <w:szCs w:val="20"/>
        </w:rPr>
        <w:t>∣</w:t>
      </w:r>
      <w:r w:rsidR="002839F1">
        <w:rPr>
          <w:rFonts w:ascii="Cambria Math" w:hAnsi="Cambria Math" w:cs="Cambria Math"/>
          <w:sz w:val="20"/>
          <w:szCs w:val="20"/>
        </w:rPr>
        <w:t xml:space="preserve"> </w:t>
      </w:r>
      <w:r w:rsidRPr="00954D00">
        <w:rPr>
          <w:sz w:val="20"/>
          <w:szCs w:val="20"/>
        </w:rPr>
        <w:t>P)</w:t>
      </w:r>
    </w:p>
    <w:p w14:paraId="0D471A3B" w14:textId="77777777" w:rsidR="0043181D" w:rsidRDefault="00D41FE3" w:rsidP="0043181D">
      <w:pPr>
        <w:pStyle w:val="NormalWeb"/>
        <w:spacing w:after="0" w:afterAutospacing="0"/>
        <w:divId w:val="1244220138"/>
        <w:rPr>
          <w:sz w:val="20"/>
          <w:szCs w:val="20"/>
        </w:rPr>
      </w:pPr>
      <w:r w:rsidRPr="00B269D3">
        <w:rPr>
          <w:sz w:val="20"/>
          <w:szCs w:val="20"/>
        </w:rPr>
        <w:t>The resulting state transition is:</w:t>
      </w:r>
      <w:r w:rsidR="0043181D">
        <w:rPr>
          <w:sz w:val="20"/>
          <w:szCs w:val="20"/>
        </w:rPr>
        <w:t xml:space="preserve"> </w:t>
      </w:r>
    </w:p>
    <w:p w14:paraId="0D0B3F3F" w14:textId="08160810" w:rsidR="00920ECB" w:rsidRPr="00B269D3" w:rsidRDefault="00920ECB" w:rsidP="0043181D">
      <w:pPr>
        <w:pStyle w:val="NormalWeb"/>
        <w:spacing w:before="0" w:beforeAutospacing="0"/>
        <w:jc w:val="center"/>
        <w:divId w:val="1244220138"/>
        <w:rPr>
          <w:sz w:val="20"/>
          <w:szCs w:val="20"/>
        </w:rPr>
      </w:pPr>
      <w:r w:rsidRPr="00920ECB">
        <w:rPr>
          <w:sz w:val="20"/>
          <w:szCs w:val="20"/>
        </w:rPr>
        <w:t>S</w:t>
      </w:r>
      <w:r w:rsidRPr="0043181D">
        <w:rPr>
          <w:sz w:val="20"/>
          <w:szCs w:val="20"/>
          <w:vertAlign w:val="subscript"/>
        </w:rPr>
        <w:t>t+1</w:t>
      </w:r>
      <w:r w:rsidRPr="00920ECB">
        <w:rPr>
          <w:sz w:val="20"/>
          <w:szCs w:val="20"/>
        </w:rPr>
        <w:t>​</w:t>
      </w:r>
      <w:r w:rsidR="00106A54">
        <w:rPr>
          <w:sz w:val="20"/>
          <w:szCs w:val="20"/>
        </w:rPr>
        <w:t xml:space="preserve"> </w:t>
      </w:r>
      <w:r w:rsidRPr="00920ECB">
        <w:rPr>
          <w:sz w:val="20"/>
          <w:szCs w:val="20"/>
        </w:rPr>
        <w:t>=</w:t>
      </w:r>
      <w:r w:rsidR="00106A54">
        <w:rPr>
          <w:sz w:val="20"/>
          <w:szCs w:val="20"/>
        </w:rPr>
        <w:t xml:space="preserve"> </w:t>
      </w:r>
      <w:r w:rsidRPr="00920ECB">
        <w:rPr>
          <w:sz w:val="20"/>
          <w:szCs w:val="20"/>
        </w:rPr>
        <w:t>f</w:t>
      </w:r>
      <w:r w:rsidRPr="0043181D">
        <w:rPr>
          <w:sz w:val="20"/>
          <w:szCs w:val="20"/>
          <w:vertAlign w:val="subscript"/>
        </w:rPr>
        <w:t>env</w:t>
      </w:r>
      <w:r w:rsidRPr="00920ECB">
        <w:rPr>
          <w:sz w:val="20"/>
          <w:szCs w:val="20"/>
        </w:rPr>
        <w:t>​(S</w:t>
      </w:r>
      <w:r w:rsidRPr="00555664">
        <w:rPr>
          <w:sz w:val="20"/>
          <w:szCs w:val="20"/>
          <w:vertAlign w:val="subscript"/>
        </w:rPr>
        <w:t>t</w:t>
      </w:r>
      <w:r w:rsidRPr="00920ECB">
        <w:rPr>
          <w:sz w:val="20"/>
          <w:szCs w:val="20"/>
        </w:rPr>
        <w:t>​,E</w:t>
      </w:r>
      <w:r w:rsidRPr="00555664">
        <w:rPr>
          <w:sz w:val="20"/>
          <w:szCs w:val="20"/>
          <w:vertAlign w:val="subscript"/>
        </w:rPr>
        <w:t>t</w:t>
      </w:r>
      <w:r w:rsidRPr="00920ECB">
        <w:rPr>
          <w:sz w:val="20"/>
          <w:szCs w:val="20"/>
        </w:rPr>
        <w:t>​)</w:t>
      </w:r>
    </w:p>
    <w:p w14:paraId="147FA23A" w14:textId="77777777" w:rsidR="00D41FE3" w:rsidRPr="00B269D3" w:rsidRDefault="00D41FE3">
      <w:pPr>
        <w:pStyle w:val="NormalWeb"/>
        <w:divId w:val="1244220138"/>
        <w:rPr>
          <w:sz w:val="20"/>
          <w:szCs w:val="20"/>
        </w:rPr>
      </w:pPr>
      <w:r w:rsidRPr="00B269D3">
        <w:rPr>
          <w:sz w:val="20"/>
          <w:szCs w:val="20"/>
        </w:rPr>
        <w:t>To ensure governable autonomy, the platform must enforce the following invariants:</w:t>
      </w:r>
    </w:p>
    <w:p w14:paraId="7F7F357A" w14:textId="77777777" w:rsidR="00D41FE3" w:rsidRPr="00B269D3" w:rsidRDefault="00D41FE3" w:rsidP="00555664">
      <w:pPr>
        <w:pStyle w:val="NormalWeb"/>
        <w:numPr>
          <w:ilvl w:val="0"/>
          <w:numId w:val="9"/>
        </w:numPr>
        <w:spacing w:after="0" w:afterAutospacing="0"/>
        <w:divId w:val="1244220138"/>
        <w:rPr>
          <w:sz w:val="20"/>
          <w:szCs w:val="20"/>
        </w:rPr>
      </w:pPr>
      <w:r w:rsidRPr="00B269D3">
        <w:rPr>
          <w:rStyle w:val="Strong"/>
          <w:sz w:val="20"/>
          <w:szCs w:val="20"/>
        </w:rPr>
        <w:t>Bounded authority</w:t>
      </w:r>
    </w:p>
    <w:p w14:paraId="00C5F135" w14:textId="4524A709" w:rsidR="00DD14C4" w:rsidRDefault="00DD14C4" w:rsidP="00DD14C4">
      <w:pPr>
        <w:jc w:val="center"/>
        <w:divId w:val="1244220138"/>
        <w:rPr>
          <w:rStyle w:val="katex-mathml"/>
          <w:rFonts w:ascii="Cambria Math" w:hAnsi="Cambria Math" w:cs="Cambria Math"/>
          <w:sz w:val="20"/>
          <w:szCs w:val="20"/>
        </w:rPr>
      </w:pPr>
      <w:r w:rsidRPr="00DD14C4">
        <w:rPr>
          <w:rFonts w:ascii="Cambria Math" w:hAnsi="Cambria Math" w:cs="Cambria Math"/>
          <w:sz w:val="20"/>
          <w:szCs w:val="20"/>
        </w:rPr>
        <w:t>∥E</w:t>
      </w:r>
      <w:r w:rsidRPr="00DD14C4">
        <w:rPr>
          <w:rFonts w:ascii="Cambria Math" w:hAnsi="Cambria Math" w:cs="Cambria Math"/>
          <w:sz w:val="20"/>
          <w:szCs w:val="20"/>
          <w:vertAlign w:val="subscript"/>
        </w:rPr>
        <w:t>t</w:t>
      </w:r>
      <w:r w:rsidRPr="00DD14C4">
        <w:rPr>
          <w:rFonts w:ascii="Cambria Math" w:hAnsi="Cambria Math" w:cs="Cambria Math"/>
          <w:sz w:val="20"/>
          <w:szCs w:val="20"/>
        </w:rPr>
        <w:t>​∥</w:t>
      </w:r>
      <w:r w:rsidR="00106A54">
        <w:rPr>
          <w:rFonts w:ascii="Cambria Math" w:hAnsi="Cambria Math" w:cs="Cambria Math"/>
          <w:sz w:val="20"/>
          <w:szCs w:val="20"/>
        </w:rPr>
        <w:t xml:space="preserve"> </w:t>
      </w:r>
      <w:r w:rsidRPr="00DD14C4">
        <w:rPr>
          <w:rFonts w:ascii="Cambria Math" w:hAnsi="Cambria Math" w:cs="Cambria Math"/>
          <w:sz w:val="20"/>
          <w:szCs w:val="20"/>
        </w:rPr>
        <w:t>≤</w:t>
      </w:r>
      <w:r w:rsidR="00106A54">
        <w:rPr>
          <w:rFonts w:ascii="Cambria Math" w:hAnsi="Cambria Math" w:cs="Cambria Math"/>
          <w:sz w:val="20"/>
          <w:szCs w:val="20"/>
        </w:rPr>
        <w:t xml:space="preserve"> </w:t>
      </w:r>
      <w:r w:rsidRPr="00DD14C4">
        <w:rPr>
          <w:rFonts w:ascii="Cambria Math" w:hAnsi="Cambria Math" w:cs="Cambria Math"/>
          <w:sz w:val="20"/>
          <w:szCs w:val="20"/>
        </w:rPr>
        <w:t>ϵ</w:t>
      </w:r>
    </w:p>
    <w:p w14:paraId="2915F81A" w14:textId="77777777" w:rsidR="00D41FE3" w:rsidRPr="00B269D3" w:rsidRDefault="00D41FE3" w:rsidP="00DD14C4">
      <w:pPr>
        <w:pStyle w:val="NormalWeb"/>
        <w:numPr>
          <w:ilvl w:val="0"/>
          <w:numId w:val="10"/>
        </w:numPr>
        <w:spacing w:after="0" w:afterAutospacing="0"/>
        <w:divId w:val="1244220138"/>
        <w:rPr>
          <w:sz w:val="20"/>
          <w:szCs w:val="20"/>
        </w:rPr>
      </w:pPr>
      <w:r w:rsidRPr="00B269D3">
        <w:rPr>
          <w:rStyle w:val="Strong"/>
          <w:sz w:val="20"/>
          <w:szCs w:val="20"/>
        </w:rPr>
        <w:t>Scoped state transitions</w:t>
      </w:r>
    </w:p>
    <w:p w14:paraId="01DBBD68" w14:textId="7AC701E5" w:rsidR="00203F4A" w:rsidRDefault="00203F4A" w:rsidP="00203F4A">
      <w:pPr>
        <w:jc w:val="center"/>
        <w:divId w:val="1244220138"/>
        <w:rPr>
          <w:rStyle w:val="katex-mathml"/>
          <w:sz w:val="20"/>
          <w:szCs w:val="20"/>
        </w:rPr>
      </w:pPr>
      <w:r w:rsidRPr="00203F4A">
        <w:rPr>
          <w:sz w:val="20"/>
          <w:szCs w:val="20"/>
        </w:rPr>
        <w:t>ΔS</w:t>
      </w:r>
      <w:r w:rsidRPr="002655F5">
        <w:rPr>
          <w:sz w:val="20"/>
          <w:szCs w:val="20"/>
          <w:vertAlign w:val="subscript"/>
        </w:rPr>
        <w:t>t​</w:t>
      </w:r>
      <w:r w:rsidR="00106A54">
        <w:rPr>
          <w:sz w:val="20"/>
          <w:szCs w:val="20"/>
          <w:vertAlign w:val="subscript"/>
        </w:rPr>
        <w:t xml:space="preserve"> </w:t>
      </w:r>
      <w:r w:rsidRPr="00203F4A">
        <w:rPr>
          <w:rFonts w:ascii="Cambria Math" w:hAnsi="Cambria Math" w:cs="Cambria Math"/>
          <w:sz w:val="20"/>
          <w:szCs w:val="20"/>
        </w:rPr>
        <w:t>∈</w:t>
      </w:r>
      <w:r w:rsidR="00106A54">
        <w:rPr>
          <w:rFonts w:ascii="Cambria Math" w:hAnsi="Cambria Math" w:cs="Cambria Math"/>
          <w:sz w:val="20"/>
          <w:szCs w:val="20"/>
        </w:rPr>
        <w:t xml:space="preserve"> </w:t>
      </w:r>
      <w:r w:rsidRPr="00203F4A">
        <w:rPr>
          <w:sz w:val="20"/>
          <w:szCs w:val="20"/>
        </w:rPr>
        <w:t>S</w:t>
      </w:r>
      <w:r w:rsidRPr="00203F4A">
        <w:rPr>
          <w:sz w:val="20"/>
          <w:szCs w:val="20"/>
          <w:vertAlign w:val="subscript"/>
        </w:rPr>
        <w:t>allowed​</w:t>
      </w:r>
    </w:p>
    <w:p w14:paraId="6D21513C" w14:textId="77777777" w:rsidR="00D41FE3" w:rsidRPr="00B269D3" w:rsidRDefault="00D41FE3" w:rsidP="00DD14C4">
      <w:pPr>
        <w:pStyle w:val="NormalWeb"/>
        <w:numPr>
          <w:ilvl w:val="0"/>
          <w:numId w:val="11"/>
        </w:numPr>
        <w:spacing w:after="0" w:afterAutospacing="0"/>
        <w:divId w:val="1244220138"/>
        <w:rPr>
          <w:sz w:val="20"/>
          <w:szCs w:val="20"/>
        </w:rPr>
      </w:pPr>
      <w:r w:rsidRPr="00B269D3">
        <w:rPr>
          <w:rStyle w:val="Strong"/>
          <w:sz w:val="20"/>
          <w:szCs w:val="20"/>
        </w:rPr>
        <w:t>Temporal limits on execution</w:t>
      </w:r>
    </w:p>
    <w:p w14:paraId="308069AA" w14:textId="0EC8F9DB" w:rsidR="00192ED2" w:rsidRDefault="00192ED2" w:rsidP="00192ED2">
      <w:pPr>
        <w:jc w:val="center"/>
        <w:divId w:val="1244220138"/>
        <w:rPr>
          <w:rStyle w:val="katex-mathml"/>
          <w:sz w:val="20"/>
          <w:szCs w:val="20"/>
        </w:rPr>
      </w:pPr>
      <w:r w:rsidRPr="00192ED2">
        <w:rPr>
          <w:sz w:val="20"/>
          <w:szCs w:val="20"/>
        </w:rPr>
        <w:t>τ(E</w:t>
      </w:r>
      <w:r w:rsidRPr="00192ED2">
        <w:rPr>
          <w:sz w:val="20"/>
          <w:szCs w:val="20"/>
          <w:vertAlign w:val="subscript"/>
        </w:rPr>
        <w:t>t</w:t>
      </w:r>
      <w:r w:rsidRPr="00192ED2">
        <w:rPr>
          <w:sz w:val="20"/>
          <w:szCs w:val="20"/>
        </w:rPr>
        <w:t>​)</w:t>
      </w:r>
      <w:r>
        <w:rPr>
          <w:sz w:val="20"/>
          <w:szCs w:val="20"/>
        </w:rPr>
        <w:t xml:space="preserve"> </w:t>
      </w:r>
      <w:r w:rsidRPr="00192ED2">
        <w:rPr>
          <w:sz w:val="20"/>
          <w:szCs w:val="20"/>
        </w:rPr>
        <w:t>≤</w:t>
      </w:r>
      <w:r>
        <w:rPr>
          <w:sz w:val="20"/>
          <w:szCs w:val="20"/>
        </w:rPr>
        <w:t xml:space="preserve"> </w:t>
      </w:r>
      <w:r w:rsidRPr="00192ED2">
        <w:rPr>
          <w:sz w:val="20"/>
          <w:szCs w:val="20"/>
        </w:rPr>
        <w:t>τ</w:t>
      </w:r>
      <w:r w:rsidRPr="00192ED2">
        <w:rPr>
          <w:sz w:val="20"/>
          <w:szCs w:val="20"/>
          <w:vertAlign w:val="subscript"/>
        </w:rPr>
        <w:t>max</w:t>
      </w:r>
      <w:r w:rsidRPr="00192ED2">
        <w:rPr>
          <w:sz w:val="20"/>
          <w:szCs w:val="20"/>
        </w:rPr>
        <w:t>​</w:t>
      </w:r>
    </w:p>
    <w:p w14:paraId="6A9FE8BF" w14:textId="77777777" w:rsidR="00D41FE3" w:rsidRPr="00556D60" w:rsidRDefault="00D41FE3" w:rsidP="00DD14C4">
      <w:pPr>
        <w:pStyle w:val="NormalWeb"/>
        <w:numPr>
          <w:ilvl w:val="0"/>
          <w:numId w:val="12"/>
        </w:numPr>
        <w:spacing w:after="0" w:afterAutospacing="0"/>
        <w:divId w:val="1244220138"/>
        <w:rPr>
          <w:b/>
          <w:bCs/>
          <w:sz w:val="20"/>
          <w:szCs w:val="20"/>
        </w:rPr>
      </w:pPr>
      <w:r w:rsidRPr="00B269D3">
        <w:rPr>
          <w:rStyle w:val="Strong"/>
          <w:sz w:val="20"/>
          <w:szCs w:val="20"/>
        </w:rPr>
        <w:t>Non-recurrent memory</w:t>
      </w:r>
      <w:r w:rsidRPr="00556D60">
        <w:rPr>
          <w:rStyle w:val="Strong"/>
          <w:b w:val="0"/>
          <w:bCs w:val="0"/>
          <w:sz w:val="20"/>
          <w:szCs w:val="20"/>
        </w:rPr>
        <w:t xml:space="preserve"> (privacy constraint)</w:t>
      </w:r>
    </w:p>
    <w:p w14:paraId="389ADB35" w14:textId="7167FBEA" w:rsidR="00192ED2" w:rsidRDefault="00C35A05" w:rsidP="00C35A05">
      <w:pPr>
        <w:jc w:val="center"/>
        <w:divId w:val="1244220138"/>
        <w:rPr>
          <w:rStyle w:val="katex-mathml"/>
          <w:sz w:val="20"/>
          <w:szCs w:val="20"/>
        </w:rPr>
      </w:pPr>
      <w:r w:rsidRPr="00C35A05">
        <w:rPr>
          <w:sz w:val="20"/>
          <w:szCs w:val="20"/>
        </w:rPr>
        <w:t>W</w:t>
      </w:r>
      <w:r w:rsidRPr="00C35A05">
        <w:rPr>
          <w:sz w:val="20"/>
          <w:szCs w:val="20"/>
          <w:vertAlign w:val="subscript"/>
        </w:rPr>
        <w:t>t+1​</w:t>
      </w:r>
      <w:r>
        <w:rPr>
          <w:sz w:val="20"/>
          <w:szCs w:val="20"/>
        </w:rPr>
        <w:t xml:space="preserve"> </w:t>
      </w:r>
      <w:r w:rsidRPr="00C35A05">
        <w:rPr>
          <w:sz w:val="20"/>
          <w:szCs w:val="20"/>
        </w:rPr>
        <w:t>∩</w:t>
      </w:r>
      <w:r>
        <w:rPr>
          <w:sz w:val="20"/>
          <w:szCs w:val="20"/>
        </w:rPr>
        <w:t xml:space="preserve"> </w:t>
      </w:r>
      <w:r w:rsidRPr="00C35A05">
        <w:rPr>
          <w:sz w:val="20"/>
          <w:szCs w:val="20"/>
        </w:rPr>
        <w:t>W</w:t>
      </w:r>
      <w:r w:rsidRPr="00C35A05">
        <w:rPr>
          <w:sz w:val="20"/>
          <w:szCs w:val="20"/>
          <w:vertAlign w:val="subscript"/>
        </w:rPr>
        <w:t>t</w:t>
      </w:r>
      <w:r w:rsidRPr="00C35A05">
        <w:rPr>
          <w:sz w:val="20"/>
          <w:szCs w:val="20"/>
        </w:rPr>
        <w:t>​</w:t>
      </w:r>
      <w:r>
        <w:rPr>
          <w:sz w:val="20"/>
          <w:szCs w:val="20"/>
        </w:rPr>
        <w:t xml:space="preserve"> </w:t>
      </w:r>
      <w:r w:rsidRPr="00C35A05">
        <w:rPr>
          <w:sz w:val="20"/>
          <w:szCs w:val="20"/>
        </w:rPr>
        <w:t>=</w:t>
      </w:r>
      <w:r>
        <w:rPr>
          <w:sz w:val="20"/>
          <w:szCs w:val="20"/>
        </w:rPr>
        <w:t xml:space="preserve"> </w:t>
      </w:r>
      <w:r w:rsidRPr="00C35A05">
        <w:rPr>
          <w:rFonts w:ascii="Cambria Math" w:hAnsi="Cambria Math" w:cs="Cambria Math"/>
          <w:sz w:val="20"/>
          <w:szCs w:val="20"/>
        </w:rPr>
        <w:t>∅</w:t>
      </w:r>
    </w:p>
    <w:p w14:paraId="6E973C07" w14:textId="77777777" w:rsidR="00657D16" w:rsidRDefault="00657D16" w:rsidP="00EB28A5">
      <w:pPr>
        <w:pStyle w:val="Main"/>
        <w:divId w:val="1244220138"/>
      </w:pPr>
    </w:p>
    <w:p w14:paraId="410557F3" w14:textId="77777777" w:rsidR="00657D16" w:rsidRDefault="00657D16" w:rsidP="00EB28A5">
      <w:pPr>
        <w:pStyle w:val="Main"/>
        <w:divId w:val="1244220138"/>
      </w:pPr>
    </w:p>
    <w:p w14:paraId="1AA47D9D" w14:textId="3D66DD7F" w:rsidR="008709C2" w:rsidRDefault="008709C2" w:rsidP="00EB28A5">
      <w:pPr>
        <w:pStyle w:val="Main"/>
        <w:divId w:val="1244220138"/>
      </w:pPr>
      <w:r w:rsidRPr="008709C2">
        <w:rPr>
          <w:b/>
          <w:bCs/>
        </w:rPr>
        <w:t>Figure 8.4</w:t>
      </w:r>
      <w:r>
        <w:t xml:space="preserve"> </w:t>
      </w:r>
      <w:r w:rsidRPr="008709C2">
        <w:rPr>
          <w:lang w:val="en-US"/>
        </w:rPr>
        <w:t>contrasts persistent state accumulation with bounded context windows in agentic systems.</w:t>
      </w:r>
    </w:p>
    <w:p w14:paraId="645F5594" w14:textId="77777777" w:rsidR="004719D5" w:rsidRDefault="00657D16" w:rsidP="004719D5">
      <w:pPr>
        <w:pStyle w:val="Main"/>
        <w:keepNext/>
        <w:divId w:val="1244220138"/>
      </w:pPr>
      <w:r>
        <w:rPr>
          <w:noProof/>
        </w:rPr>
        <w:drawing>
          <wp:inline distT="0" distB="0" distL="0" distR="0" wp14:anchorId="7F9D4B6C" wp14:editId="19540068">
            <wp:extent cx="3816350" cy="2544445"/>
            <wp:effectExtent l="0" t="0" r="0" b="8255"/>
            <wp:docPr id="67100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3215" name="Picture 671003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33CEAFD2" w14:textId="37CA1177" w:rsidR="00657D16" w:rsidRDefault="004719D5" w:rsidP="004719D5">
      <w:pPr>
        <w:pStyle w:val="Caption"/>
        <w:jc w:val="both"/>
        <w:divId w:val="1244220138"/>
      </w:pPr>
      <w:r>
        <w:t>Figure 8.</w:t>
      </w:r>
      <w:r>
        <w:fldChar w:fldCharType="begin"/>
      </w:r>
      <w:r>
        <w:instrText xml:space="preserve"> SEQ Figure_8. \* ARABIC </w:instrText>
      </w:r>
      <w:r>
        <w:fldChar w:fldCharType="separate"/>
      </w:r>
      <w:r>
        <w:rPr>
          <w:noProof/>
        </w:rPr>
        <w:t>4</w:t>
      </w:r>
      <w:r>
        <w:fldChar w:fldCharType="end"/>
      </w:r>
      <w:r>
        <w:t xml:space="preserve"> </w:t>
      </w:r>
      <w:r w:rsidR="004C34DA" w:rsidRPr="004C34DA">
        <w:t xml:space="preserve"> </w:t>
      </w:r>
      <w:r w:rsidR="00A230AC" w:rsidRPr="00A230AC">
        <w:rPr>
          <w:b w:val="0"/>
          <w:bCs/>
        </w:rPr>
        <w:t xml:space="preserve">Persistent memory accumulates state across cycles, whereas bounded context enforces non-recurrence </w:t>
      </w:r>
      <m:oMath>
        <m:sSub>
          <m:sSubPr>
            <m:ctrlPr>
              <w:rPr>
                <w:rFonts w:ascii="Cambria Math" w:hAnsi="Cambria Math"/>
                <w:b w:val="0"/>
                <w:bCs/>
              </w:rPr>
            </m:ctrlPr>
          </m:sSubPr>
          <m:e>
            <m:r>
              <m:rPr>
                <m:sty m:val="bi"/>
              </m:rPr>
              <w:rPr>
                <w:rFonts w:ascii="Cambria Math" w:hAnsi="Cambria Math"/>
              </w:rPr>
              <m:t>W</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val="0"/>
                <w:bCs/>
              </w:rPr>
            </m:ctrlPr>
          </m:sSubPr>
          <m:e>
            <m:r>
              <m:rPr>
                <m:sty m:val="bi"/>
              </m:rPr>
              <w:rPr>
                <w:rFonts w:ascii="Cambria Math" w:hAnsi="Cambria Math"/>
              </w:rPr>
              <m:t>W</m:t>
            </m:r>
          </m:e>
          <m:sub>
            <m:r>
              <m:rPr>
                <m:sty m:val="bi"/>
              </m:rPr>
              <w:rPr>
                <w:rFonts w:ascii="Cambria Math" w:hAnsi="Cambria Math"/>
              </w:rPr>
              <m:t>t</m:t>
            </m:r>
          </m:sub>
        </m:sSub>
        <m:r>
          <m:rPr>
            <m:sty m:val="bi"/>
          </m:rPr>
          <w:rPr>
            <w:rFonts w:ascii="Cambria Math" w:hAnsi="Cambria Math"/>
          </w:rPr>
          <m:t>=</m:t>
        </m:r>
        <m:r>
          <m:rPr>
            <m:sty m:val="b"/>
          </m:rPr>
          <w:rPr>
            <w:rFonts w:ascii="Cambria Math" w:hAnsi="Cambria Math"/>
          </w:rPr>
          <m:t>∅</m:t>
        </m:r>
      </m:oMath>
      <w:r w:rsidR="004C34DA">
        <w:rPr>
          <w:b w:val="0"/>
          <w:bCs/>
        </w:rPr>
        <w:t>.</w:t>
      </w:r>
    </w:p>
    <w:p w14:paraId="52B91CE8" w14:textId="77777777" w:rsidR="005B59AC" w:rsidRPr="00EB28A5" w:rsidRDefault="005B59AC">
      <w:pPr>
        <w:divId w:val="1244220138"/>
        <w:rPr>
          <w:sz w:val="20"/>
          <w:szCs w:val="20"/>
          <w:lang w:val="en-GB"/>
        </w:rPr>
      </w:pPr>
    </w:p>
    <w:p w14:paraId="003C30E0" w14:textId="51E17409" w:rsidR="00D41FE3" w:rsidRDefault="00D41FE3" w:rsidP="005B59AC">
      <w:pPr>
        <w:pStyle w:val="Main"/>
        <w:divId w:val="1244220138"/>
      </w:pPr>
      <w:r w:rsidRPr="00B269D3">
        <w:t xml:space="preserve">These constraints do not optimize agent behavior. They </w:t>
      </w:r>
      <w:r w:rsidRPr="00B269D3">
        <w:rPr>
          <w:rStyle w:val="Strong"/>
        </w:rPr>
        <w:t>limit behavior by design</w:t>
      </w:r>
      <w:r w:rsidRPr="00B269D3">
        <w:t xml:space="preserve">, ensuring that reasoning can never exceed the </w:t>
      </w:r>
      <w:r w:rsidR="00633DFF">
        <w:t>platform's</w:t>
      </w:r>
      <w:r w:rsidRPr="00B269D3">
        <w:t xml:space="preserve"> capacity to observe, revoke, and audit execution (see Sections 8.2–8.4).</w:t>
      </w:r>
    </w:p>
    <w:p w14:paraId="5710DFE5" w14:textId="77777777" w:rsidR="007112B0" w:rsidRDefault="007112B0" w:rsidP="005B59AC">
      <w:pPr>
        <w:pStyle w:val="Main"/>
        <w:divId w:val="1244220138"/>
      </w:pPr>
    </w:p>
    <w:p w14:paraId="5DB854B8" w14:textId="6AFF6A3F" w:rsidR="00132822" w:rsidRDefault="007112B0" w:rsidP="00132822">
      <w:pPr>
        <w:pStyle w:val="Caption"/>
        <w:jc w:val="both"/>
        <w:divId w:val="1244220138"/>
      </w:pPr>
      <w:r>
        <w:t xml:space="preserve">Figure </w:t>
      </w:r>
      <w:r w:rsidR="00132822">
        <w:t xml:space="preserve">8.4 </w:t>
      </w:r>
      <w:r w:rsidR="00B029CC" w:rsidRPr="00B029CC">
        <w:rPr>
          <w:b w:val="0"/>
          <w:bCs/>
        </w:rPr>
        <w:t>contrasts unbounded and graded execution surfaces, demonstrating how scope limitation reshapes the geometry of risk</w:t>
      </w:r>
      <w:r w:rsidR="00132822" w:rsidRPr="007112B0">
        <w:rPr>
          <w:b w:val="0"/>
          <w:bCs/>
        </w:rPr>
        <w:t>.</w:t>
      </w:r>
    </w:p>
    <w:p w14:paraId="2D917949" w14:textId="0396EC44" w:rsidR="007112B0" w:rsidRDefault="007112B0" w:rsidP="005B59AC">
      <w:pPr>
        <w:pStyle w:val="Main"/>
        <w:divId w:val="1244220138"/>
      </w:pPr>
    </w:p>
    <w:p w14:paraId="53936827" w14:textId="77777777" w:rsidR="007112B0" w:rsidRDefault="00EE4A7D" w:rsidP="007112B0">
      <w:pPr>
        <w:pStyle w:val="Main"/>
        <w:keepNext/>
        <w:divId w:val="1244220138"/>
      </w:pPr>
      <w:r>
        <w:rPr>
          <w:noProof/>
        </w:rPr>
        <w:drawing>
          <wp:inline distT="0" distB="0" distL="0" distR="0" wp14:anchorId="21DF574C" wp14:editId="239477DD">
            <wp:extent cx="3816350" cy="2544445"/>
            <wp:effectExtent l="0" t="0" r="0" b="8255"/>
            <wp:docPr id="210488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399" name="Picture 2104883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4ADD187" w14:textId="0164C8C3" w:rsidR="00EE4A7D" w:rsidRDefault="007112B0" w:rsidP="007112B0">
      <w:pPr>
        <w:pStyle w:val="Caption"/>
        <w:jc w:val="both"/>
        <w:divId w:val="1244220138"/>
      </w:pPr>
      <w:r>
        <w:t>Figure 8.</w:t>
      </w:r>
      <w:r>
        <w:fldChar w:fldCharType="begin"/>
      </w:r>
      <w:r>
        <w:instrText xml:space="preserve"> SEQ Figure_8. \* ARABIC </w:instrText>
      </w:r>
      <w:r>
        <w:fldChar w:fldCharType="separate"/>
      </w:r>
      <w:r w:rsidR="004719D5">
        <w:rPr>
          <w:noProof/>
        </w:rPr>
        <w:t>5</w:t>
      </w:r>
      <w:r>
        <w:fldChar w:fldCharType="end"/>
      </w:r>
      <w:r>
        <w:t xml:space="preserve"> </w:t>
      </w:r>
      <w:r w:rsidRPr="007112B0">
        <w:rPr>
          <w:b w:val="0"/>
          <w:bCs/>
        </w:rPr>
        <w:t>Comparison between unbounded execution surfaces and graded, scoped execution. Narrow surfaces reduce escalation geometry under autonomous action.</w:t>
      </w:r>
    </w:p>
    <w:p w14:paraId="6B88F707" w14:textId="77777777" w:rsidR="008748FA" w:rsidRDefault="008748FA" w:rsidP="008748FA">
      <w:pPr>
        <w:pStyle w:val="Secondaryheadings"/>
        <w:divId w:val="1244220138"/>
        <w:rPr>
          <w:sz w:val="36"/>
          <w:szCs w:val="36"/>
        </w:rPr>
      </w:pPr>
      <w:r>
        <w:t>8.5 Platform-mediated closure of control loops</w:t>
      </w:r>
    </w:p>
    <w:p w14:paraId="0079B3AB" w14:textId="77777777" w:rsidR="008748FA" w:rsidRPr="00556D60" w:rsidRDefault="008748FA" w:rsidP="008748FA">
      <w:pPr>
        <w:pStyle w:val="Main"/>
        <w:divId w:val="1244220138"/>
        <w:rPr>
          <w:rFonts w:eastAsiaTheme="minorEastAsia"/>
          <w:b/>
          <w:bCs/>
        </w:rPr>
      </w:pPr>
      <w:r>
        <w:t xml:space="preserve">When platforms, privacy controls, vault architectures, and execution surfaces are composed coherently, they enable the </w:t>
      </w:r>
      <w:r>
        <w:rPr>
          <w:rStyle w:val="Strong"/>
        </w:rPr>
        <w:t>closure of cognitive control loops</w:t>
      </w:r>
      <w:r>
        <w:t xml:space="preserve">. In such systems, reasoning does not operate in isolation, nor does execution occur without structured feedback. Instead, action is continuously mediated by observation, constraint, and audit, forming a closed-loop system in which behavior remains governable under uncertainty </w:t>
      </w:r>
      <w:r w:rsidRPr="00556D60">
        <w:rPr>
          <w:rStyle w:val="Strong"/>
          <w:b w:val="0"/>
          <w:bCs w:val="0"/>
        </w:rPr>
        <w:t>(Leveson 2011)</w:t>
      </w:r>
      <w:r w:rsidRPr="00556D60">
        <w:rPr>
          <w:b/>
          <w:bCs/>
        </w:rPr>
        <w:t>.</w:t>
      </w:r>
    </w:p>
    <w:p w14:paraId="77D3F78E" w14:textId="6BBDD5D6" w:rsidR="00AF3DF4" w:rsidRDefault="008748FA" w:rsidP="00364594">
      <w:pPr>
        <w:pStyle w:val="Main"/>
        <w:divId w:val="1244220138"/>
      </w:pPr>
      <w:r>
        <w:t xml:space="preserve">In a closed cognitive control loop, observation feeds reasoning, reasoning proposes bounded actions, and execution occurs only through constrained and auditable surfaces. The outcomes of those actions are then observed and evaluated, allowing deviations, anomalies, or unintended </w:t>
      </w:r>
      <w:r w:rsidRPr="00556D60">
        <w:t>consequences to trigger revocation, rollback, or escalation (Saltzer and</w:t>
      </w:r>
      <w:r>
        <w:rPr>
          <w:rStyle w:val="Strong"/>
        </w:rPr>
        <w:t xml:space="preserve"> </w:t>
      </w:r>
      <w:r w:rsidRPr="00556D60">
        <w:t>Schroeder 1975; NIST SP 800-53 Rev. 5). This feedback structure mirrors</w:t>
      </w:r>
      <w:r>
        <w:t xml:space="preserve"> control-theoretic principles long established in safety-critical engineering, where stability dep</w:t>
      </w:r>
      <w:r w:rsidRPr="00094274">
        <w:t>ends on continuous sensing and bounded actuation rather than open-loop optimization (Leveson 2011).</w:t>
      </w:r>
    </w:p>
    <w:p w14:paraId="602F3CFA" w14:textId="6835121A" w:rsidR="0039515D" w:rsidRDefault="0039515D" w:rsidP="0039515D">
      <w:pPr>
        <w:pStyle w:val="Main"/>
        <w:divId w:val="799960644"/>
      </w:pPr>
      <w:r>
        <w:t xml:space="preserve">Crucially, in agentic cybersecurity architectures, the </w:t>
      </w:r>
      <w:r>
        <w:rPr>
          <w:rStyle w:val="Strong"/>
        </w:rPr>
        <w:t>platform</w:t>
      </w:r>
      <w:r w:rsidR="004E6AD7">
        <w:rPr>
          <w:rStyle w:val="Strong"/>
        </w:rPr>
        <w:t xml:space="preserve">, </w:t>
      </w:r>
      <w:r>
        <w:rPr>
          <w:rStyle w:val="Strong"/>
        </w:rPr>
        <w:t>not the model</w:t>
      </w:r>
      <w:r w:rsidR="004E6AD7">
        <w:rPr>
          <w:rStyle w:val="Strong"/>
        </w:rPr>
        <w:t xml:space="preserve">, </w:t>
      </w:r>
      <w:r>
        <w:rPr>
          <w:rStyle w:val="Strong"/>
        </w:rPr>
        <w:t>enforces closure</w:t>
      </w:r>
      <w:r>
        <w:t xml:space="preserve">. Models generate hypotheses, assessments, or proposed actions, but they do not control identity, persistence, privilege, or </w:t>
      </w:r>
      <w:r w:rsidR="003C2DE0">
        <w:t>the scope of execution</w:t>
      </w:r>
      <w:r>
        <w:t xml:space="preserve">. These controls are imposed externally by infrastructure that </w:t>
      </w:r>
      <w:r w:rsidRPr="00EE151A">
        <w:t>can be inspected, certified, and modified independently of cognitive logic (Lampson 2004; NIST AI RMF 1.0). This separation preserves the ability to intervene even when model behavio</w:t>
      </w:r>
      <w:r>
        <w:t>r becomes uncertain, degraded, or adversarially influenced.</w:t>
      </w:r>
    </w:p>
    <w:p w14:paraId="0F432B6C" w14:textId="7BA92D7D" w:rsidR="0039515D" w:rsidRPr="00C0728E" w:rsidRDefault="0039515D" w:rsidP="00C0728E">
      <w:pPr>
        <w:pStyle w:val="Main"/>
        <w:divId w:val="799960644"/>
      </w:pPr>
      <w:r>
        <w:t xml:space="preserve">Privacy constraints contribute to loop closure by bounding internal state and preventing uncontrolled accumulation of historical context. Vaults contribute by externalizing authority and ensuring that actionability is conditional and revocable. Execution surfaces </w:t>
      </w:r>
      <w:r w:rsidR="00C0728E">
        <w:t>shape</w:t>
      </w:r>
      <w:r>
        <w:t xml:space="preserve"> how intent propagates into effect. Together, these elements ensure that autonomy remains </w:t>
      </w:r>
      <w:r>
        <w:rPr>
          <w:rStyle w:val="Strong"/>
        </w:rPr>
        <w:t>observable, interruptible, and attributable</w:t>
      </w:r>
      <w:r>
        <w:t>, rather than opaque and self-reinforcing</w:t>
      </w:r>
      <w:r w:rsidRPr="00C0728E">
        <w:t xml:space="preserve"> </w:t>
      </w:r>
      <w:r w:rsidRPr="00C0728E">
        <w:rPr>
          <w:rStyle w:val="Strong"/>
          <w:b w:val="0"/>
          <w:bCs w:val="0"/>
        </w:rPr>
        <w:t>(Doshi-Velez and Kim 2017; Everitt et al. 2019)</w:t>
      </w:r>
      <w:r w:rsidRPr="00C0728E">
        <w:t>.</w:t>
      </w:r>
    </w:p>
    <w:p w14:paraId="1EE59797" w14:textId="77777777" w:rsidR="0039515D" w:rsidRDefault="0039515D" w:rsidP="00C0728E">
      <w:pPr>
        <w:pStyle w:val="Main"/>
        <w:divId w:val="799960644"/>
      </w:pPr>
      <w:r w:rsidRPr="00C0728E">
        <w:t xml:space="preserve">Architectures that fail to close these loops tend to devolve into open-loop automation, where decisions propagate faster than oversight and errors compound before detection. In such systems, governance is reduced to post-incident analysis rather than real-time control </w:t>
      </w:r>
      <w:r w:rsidRPr="00C0728E">
        <w:rPr>
          <w:rStyle w:val="Strong"/>
          <w:b w:val="0"/>
          <w:bCs w:val="0"/>
        </w:rPr>
        <w:t>(Behl and Behl 2017)</w:t>
      </w:r>
      <w:r w:rsidRPr="00C0728E">
        <w:t xml:space="preserve">. The </w:t>
      </w:r>
      <w:r>
        <w:t>introduction of agentic behavior under these conditions amplifies risk rather than intelligence.</w:t>
      </w:r>
    </w:p>
    <w:p w14:paraId="68F54F06" w14:textId="77777777" w:rsidR="0039515D" w:rsidRPr="00C0728E" w:rsidRDefault="0039515D" w:rsidP="00C0728E">
      <w:pPr>
        <w:pStyle w:val="Main"/>
        <w:divId w:val="799960644"/>
      </w:pPr>
      <w:r>
        <w:t xml:space="preserve">By contrast, platform-mediated control loops invert the trust relationship. Trust is placed in infrastructure rather than cognition, not because infrastructure is infallible, but because it is </w:t>
      </w:r>
      <w:r>
        <w:rPr>
          <w:rStyle w:val="Strong"/>
        </w:rPr>
        <w:t>constrainable</w:t>
      </w:r>
      <w:r>
        <w:t>. Platfor</w:t>
      </w:r>
      <w:r w:rsidRPr="00C0728E">
        <w:t xml:space="preserve">ms can enforce limits, record state transitions, and revoke authority in ways that learned models cannot reliably guarantee </w:t>
      </w:r>
      <w:r w:rsidRPr="00C0728E">
        <w:rPr>
          <w:rStyle w:val="Strong"/>
          <w:b w:val="0"/>
          <w:bCs w:val="0"/>
        </w:rPr>
        <w:t>(Lampson 2004; NIST SP 800-53 Rev. 5)</w:t>
      </w:r>
      <w:r w:rsidRPr="00C0728E">
        <w:t>.</w:t>
      </w:r>
    </w:p>
    <w:p w14:paraId="3A4CEA73" w14:textId="1FB3D247" w:rsidR="00023C9C" w:rsidRPr="00C0728E" w:rsidRDefault="0039515D" w:rsidP="00C0728E">
      <w:pPr>
        <w:pStyle w:val="Main"/>
      </w:pPr>
      <w:r w:rsidRPr="00C0728E">
        <w:t xml:space="preserve">This inversion is deliberate. Models reason; platforms govern. Cognitive defense emerges not from autonomous decision-making alone, but from the disciplined closure of control loops that bind reasoning to accountable execution </w:t>
      </w:r>
      <w:r w:rsidRPr="00C0728E">
        <w:rPr>
          <w:rStyle w:val="Strong"/>
          <w:b w:val="0"/>
          <w:bCs w:val="0"/>
        </w:rPr>
        <w:t>(Leveson 2011; NIST AI RMF 1.0)</w:t>
      </w:r>
      <w:r w:rsidRPr="00C0728E">
        <w:t>.</w:t>
      </w:r>
    </w:p>
    <w:p w14:paraId="08AD7FD9" w14:textId="3B769914" w:rsidR="0099065F" w:rsidRDefault="0099065F" w:rsidP="0099065F">
      <w:pPr>
        <w:pStyle w:val="Secondaryheadings"/>
        <w:divId w:val="1707287827"/>
        <w:rPr>
          <w:sz w:val="36"/>
          <w:szCs w:val="36"/>
        </w:rPr>
      </w:pPr>
      <w:r>
        <w:rPr>
          <w:rStyle w:val="Strong"/>
          <w:b/>
          <w:bCs w:val="0"/>
        </w:rPr>
        <w:t>8.5.1Automate</w:t>
      </w:r>
      <w:r w:rsidR="004E6AD7">
        <w:rPr>
          <w:rStyle w:val="Strong"/>
          <w:b/>
          <w:bCs w:val="0"/>
        </w:rPr>
        <w:t>d response without escalation</w:t>
      </w:r>
    </w:p>
    <w:p w14:paraId="6E514C74" w14:textId="6EA6B262" w:rsidR="003F1919" w:rsidRPr="0037187B" w:rsidRDefault="00120A19" w:rsidP="0037187B">
      <w:pPr>
        <w:divId w:val="1707287827"/>
        <w:rPr>
          <w:sz w:val="20"/>
          <w:szCs w:val="20"/>
        </w:rPr>
      </w:pPr>
      <w:r w:rsidRPr="0037187B">
        <w:rPr>
          <w:sz w:val="20"/>
          <w:szCs w:val="20"/>
        </w:rPr>
        <w:t>This example demonstrates real-world survivability</w:t>
      </w:r>
      <w:r w:rsidR="0037187B">
        <w:rPr>
          <w:sz w:val="20"/>
          <w:szCs w:val="20"/>
        </w:rPr>
        <w:t>:</w:t>
      </w:r>
    </w:p>
    <w:p w14:paraId="59D18BDC" w14:textId="7ACB8F9C" w:rsidR="0099065F" w:rsidRDefault="00C91C9B" w:rsidP="00780118">
      <w:pPr>
        <w:pStyle w:val="Intro"/>
        <w:divId w:val="1707287827"/>
      </w:pPr>
      <w:r w:rsidRPr="00C91C9B">
        <w:rPr>
          <w:rStyle w:val="Strong"/>
        </w:rPr>
        <w:t>Example scenario</w:t>
      </w:r>
      <w:r w:rsidR="00295B4C">
        <w:rPr>
          <w:rStyle w:val="Strong"/>
        </w:rPr>
        <w:t xml:space="preserve">: </w:t>
      </w:r>
      <w:r w:rsidR="0099065F">
        <w:t>An agent monitors authentication telemetry and identifies a pattern consistent with credential-stuffing activity.</w:t>
      </w:r>
    </w:p>
    <w:p w14:paraId="56EF612C" w14:textId="415DBEBB" w:rsidR="0099065F" w:rsidRDefault="00026198" w:rsidP="00026198">
      <w:pPr>
        <w:pStyle w:val="Intro"/>
        <w:divId w:val="1707287827"/>
      </w:pPr>
      <w:r w:rsidRPr="00026198">
        <w:rPr>
          <w:rStyle w:val="Strong"/>
        </w:rPr>
        <w:t>Observation</w:t>
      </w:r>
      <w:r w:rsidR="00295B4C">
        <w:rPr>
          <w:rStyle w:val="Strong"/>
        </w:rPr>
        <w:t xml:space="preserve">: </w:t>
      </w:r>
      <w:r w:rsidR="0099065F">
        <w:t xml:space="preserve">The platform streams structured signals to the agent, including failed login bursts, geographic anomalies, and </w:t>
      </w:r>
      <w:r w:rsidR="00C0728E">
        <w:t>indicators of credential reuse</w:t>
      </w:r>
      <w:r w:rsidR="0099065F">
        <w:t>. Raw logs are not retained beyond the execution window (Section 8.2).</w:t>
      </w:r>
    </w:p>
    <w:p w14:paraId="3D7C40D3" w14:textId="012D8832" w:rsidR="001307C4" w:rsidRDefault="0099065F" w:rsidP="00C84D12">
      <w:pPr>
        <w:pStyle w:val="Intro"/>
        <w:divId w:val="1707287827"/>
        <w:rPr>
          <w:rStyle w:val="Strong"/>
        </w:rPr>
      </w:pPr>
      <w:r>
        <w:rPr>
          <w:rStyle w:val="Strong"/>
        </w:rPr>
        <w:t>Reasoning</w:t>
      </w:r>
      <w:r w:rsidR="00295B4C">
        <w:rPr>
          <w:rStyle w:val="Strong"/>
        </w:rPr>
        <w:t xml:space="preserve">: </w:t>
      </w:r>
      <w:r>
        <w:t>The agent proposes a bounded response: temporary throttling of authentication attempts for affected accounts and notification of the security operations team.</w:t>
      </w:r>
    </w:p>
    <w:p w14:paraId="56DCC052" w14:textId="7219E313" w:rsidR="001307C4" w:rsidRDefault="00153FA8" w:rsidP="00C84D12">
      <w:pPr>
        <w:pStyle w:val="Intro"/>
        <w:divId w:val="1707287827"/>
        <w:rPr>
          <w:rStyle w:val="Strong"/>
        </w:rPr>
      </w:pPr>
      <w:r w:rsidRPr="00153FA8">
        <w:rPr>
          <w:rStyle w:val="Strong"/>
        </w:rPr>
        <w:t>Execution</w:t>
      </w:r>
      <w:r w:rsidR="00295B4C">
        <w:rPr>
          <w:rStyle w:val="Strong"/>
        </w:rPr>
        <w:t xml:space="preserve">: </w:t>
      </w:r>
      <w:r w:rsidR="0099065F" w:rsidRPr="004E6AD7">
        <w:rPr>
          <w:rStyle w:val="MainChar"/>
        </w:rPr>
        <w:t>Before enactment, the platform simulates the proposed action. Scope is limited to identified accounts, authority is issued via a short-lived token, and rate limits are enforced. If simulation exceeds predefined risk thresholds, execution is blocked and escalated to human oversight (Sections 8.3–8.4).</w:t>
      </w:r>
    </w:p>
    <w:p w14:paraId="4564C040" w14:textId="35E5E978" w:rsidR="0099065F" w:rsidRDefault="0099065F" w:rsidP="00C84D12">
      <w:pPr>
        <w:pStyle w:val="Intro"/>
        <w:divId w:val="1707287827"/>
      </w:pPr>
      <w:r>
        <w:rPr>
          <w:rStyle w:val="Strong"/>
        </w:rPr>
        <w:t>Closure</w:t>
      </w:r>
      <w:r w:rsidR="00295B4C">
        <w:rPr>
          <w:rStyle w:val="Strong"/>
        </w:rPr>
        <w:t xml:space="preserve">: </w:t>
      </w:r>
      <w:r>
        <w:t xml:space="preserve">All actions are logged, tokens expire automatically, and </w:t>
      </w:r>
      <w:r w:rsidR="00FF2417">
        <w:t xml:space="preserve">the </w:t>
      </w:r>
      <w:r>
        <w:t>execution context is destroyed. The system returns to a known state, preserving auditability and reversibility (Section 8.5).</w:t>
      </w:r>
    </w:p>
    <w:p w14:paraId="1FDB3780" w14:textId="77777777" w:rsidR="001307C4" w:rsidRDefault="001307C4" w:rsidP="00C84D12">
      <w:pPr>
        <w:pStyle w:val="Intro"/>
        <w:divId w:val="1707287827"/>
      </w:pPr>
    </w:p>
    <w:p w14:paraId="45301EF5" w14:textId="6DCB0066" w:rsidR="0099065F" w:rsidRDefault="0099065F" w:rsidP="00C84D12">
      <w:pPr>
        <w:pStyle w:val="Intro"/>
        <w:divId w:val="1707287827"/>
      </w:pPr>
      <w:r>
        <w:t>At no point does the agent retain credentials, expand its own authority, or act outside platform-defined constraints. Autonomy remains bounded, observable, and governable.</w:t>
      </w:r>
    </w:p>
    <w:p w14:paraId="0AABDC55" w14:textId="77777777" w:rsidR="000752B4" w:rsidRDefault="000752B4" w:rsidP="00CB06D5">
      <w:pPr>
        <w:pStyle w:val="Secondaryheadings"/>
        <w:divId w:val="101724451"/>
        <w:rPr>
          <w:sz w:val="36"/>
          <w:szCs w:val="36"/>
        </w:rPr>
      </w:pPr>
      <w:r>
        <w:t>8.6 Implications for Cognitive Defense Architectures</w:t>
      </w:r>
    </w:p>
    <w:p w14:paraId="7E306C3C" w14:textId="6EF5A452" w:rsidR="000752B4" w:rsidRPr="00FF2417" w:rsidRDefault="000752B4" w:rsidP="00FF2417">
      <w:pPr>
        <w:pStyle w:val="Main"/>
        <w:divId w:val="101724451"/>
        <w:rPr>
          <w:rFonts w:eastAsiaTheme="minorEastAsia"/>
        </w:rPr>
      </w:pPr>
      <w:r>
        <w:t xml:space="preserve">Cognitive defense architectures do not scale through increases in model size, autonomy, or behavioral complexity. They scale through </w:t>
      </w:r>
      <w:r>
        <w:rPr>
          <w:rStyle w:val="Strong"/>
        </w:rPr>
        <w:t>tighter coupling between reasoning and control</w:t>
      </w:r>
      <w:r>
        <w:t>. As systems become more agentic, the dominant risk shifts from analytical error to executional misalign</w:t>
      </w:r>
      <w:r w:rsidRPr="00FF2417">
        <w:t>ment, making infrastructure</w:t>
      </w:r>
      <w:r w:rsidR="0037187B" w:rsidRPr="00FF2417">
        <w:t xml:space="preserve"> (</w:t>
      </w:r>
      <w:r w:rsidRPr="00FF2417">
        <w:t>not intelligence</w:t>
      </w:r>
      <w:r w:rsidR="0037187B" w:rsidRPr="00FF2417">
        <w:t xml:space="preserve">) </w:t>
      </w:r>
      <w:r w:rsidRPr="00FF2417">
        <w:t xml:space="preserve">the primary stabilizing force </w:t>
      </w:r>
      <w:r w:rsidRPr="00FF2417">
        <w:rPr>
          <w:rStyle w:val="Strong"/>
          <w:b w:val="0"/>
          <w:bCs w:val="0"/>
        </w:rPr>
        <w:t>(Leveson 2011; NIST AI RMF 1.0)</w:t>
      </w:r>
      <w:r w:rsidRPr="00FF2417">
        <w:t>.</w:t>
      </w:r>
    </w:p>
    <w:p w14:paraId="22B54551" w14:textId="77777777" w:rsidR="000752B4" w:rsidRPr="00FF2417" w:rsidRDefault="000752B4" w:rsidP="00FF2417">
      <w:pPr>
        <w:pStyle w:val="Main"/>
        <w:divId w:val="101724451"/>
      </w:pPr>
      <w:r w:rsidRPr="00FF2417">
        <w:t xml:space="preserve">Platforms that expose fine-grained controls over identity, persistence, privilege, and observability enable autonomy to remain bounded under operational conditions. Privacy-first data handling constrains internal state and limits unintended optimization over historical context. Externalized authority mechanisms, such as policy-governed vaults, preserve revocability and auditability even when cognitive components behave unpredictably </w:t>
      </w:r>
      <w:r w:rsidRPr="00FF2417">
        <w:rPr>
          <w:rStyle w:val="Strong"/>
          <w:b w:val="0"/>
          <w:bCs w:val="0"/>
        </w:rPr>
        <w:t>(Saltzer and Schroeder 1975; Lampson 2004; NIST SP 800-53 Rev. 5)</w:t>
      </w:r>
      <w:r w:rsidRPr="00FF2417">
        <w:t>.</w:t>
      </w:r>
    </w:p>
    <w:p w14:paraId="1F30F04C" w14:textId="1E318006" w:rsidR="000752B4" w:rsidRPr="00FF2417" w:rsidRDefault="000752B4" w:rsidP="00FF2417">
      <w:pPr>
        <w:pStyle w:val="Main"/>
        <w:divId w:val="101724451"/>
      </w:pPr>
      <w:r w:rsidRPr="00FF2417">
        <w:t xml:space="preserve">By contrast, architectures that prioritize convenience, throughput, or developer efficiency over containment introduce implicit authority and opaque execution paths. In such systems, automation accelerates failure rather than intelligence, and governance becomes reactive rather than preventative </w:t>
      </w:r>
      <w:r w:rsidRPr="00FF2417">
        <w:rPr>
          <w:rStyle w:val="Strong"/>
          <w:b w:val="0"/>
          <w:bCs w:val="0"/>
        </w:rPr>
        <w:t>(Behl and Behl 2017)</w:t>
      </w:r>
      <w:r w:rsidRPr="00FF2417">
        <w:t>. The addition of agentic behavior under these conditions magnifies exposure rather than capability.</w:t>
      </w:r>
      <w:r w:rsidR="00A07A32" w:rsidRPr="00FF2417">
        <w:t xml:space="preserve"> </w:t>
      </w:r>
    </w:p>
    <w:p w14:paraId="337F4C1B" w14:textId="0A541DEF" w:rsidR="000752B4" w:rsidRDefault="000752B4" w:rsidP="00CB06D5">
      <w:pPr>
        <w:pStyle w:val="Main"/>
        <w:divId w:val="101724451"/>
      </w:pPr>
      <w:r>
        <w:t>The architectural lesson is therefore unambiguous.</w:t>
      </w:r>
      <w:r w:rsidR="00A07A32">
        <w:t xml:space="preserve"> </w:t>
      </w:r>
      <w:r>
        <w:br/>
      </w:r>
      <w:r w:rsidRPr="00FF2417">
        <w:rPr>
          <w:rStyle w:val="Strong"/>
          <w:b w:val="0"/>
          <w:bCs w:val="0"/>
        </w:rPr>
        <w:t xml:space="preserve">Autonomy without infrastructure is </w:t>
      </w:r>
      <w:r w:rsidRPr="0060730B">
        <w:rPr>
          <w:rStyle w:val="Strong"/>
        </w:rPr>
        <w:t>improvisation</w:t>
      </w:r>
      <w:r w:rsidR="0060730B">
        <w:rPr>
          <w:rStyle w:val="Strong"/>
          <w:b w:val="0"/>
          <w:bCs w:val="0"/>
        </w:rPr>
        <w:t xml:space="preserve"> and</w:t>
      </w:r>
      <w:r w:rsidRPr="00FF2417">
        <w:rPr>
          <w:b/>
          <w:bCs/>
        </w:rPr>
        <w:br/>
      </w:r>
      <w:r w:rsidR="0060730B">
        <w:rPr>
          <w:rStyle w:val="Strong"/>
          <w:b w:val="0"/>
          <w:bCs w:val="0"/>
        </w:rPr>
        <w:t>i</w:t>
      </w:r>
      <w:r w:rsidRPr="00FF2417">
        <w:rPr>
          <w:rStyle w:val="Strong"/>
          <w:b w:val="0"/>
          <w:bCs w:val="0"/>
        </w:rPr>
        <w:t xml:space="preserve">nfrastructure without control is </w:t>
      </w:r>
      <w:r w:rsidRPr="0060730B">
        <w:rPr>
          <w:rStyle w:val="Strong"/>
        </w:rPr>
        <w:t>exposure</w:t>
      </w:r>
      <w:r w:rsidRPr="00FF2417">
        <w:rPr>
          <w:rStyle w:val="Strong"/>
          <w:b w:val="0"/>
          <w:bCs w:val="0"/>
        </w:rPr>
        <w:t>.</w:t>
      </w:r>
    </w:p>
    <w:p w14:paraId="35978000" w14:textId="48F303CF" w:rsidR="000752B4" w:rsidRDefault="000752B4" w:rsidP="00CB06D5">
      <w:pPr>
        <w:pStyle w:val="Main"/>
        <w:divId w:val="101724451"/>
      </w:pPr>
      <w:r>
        <w:t>Cognitive defense emerges only when reasoning systems are embedded within platforms that enforce</w:t>
      </w:r>
      <w:r w:rsidR="00ED137A">
        <w:t>, by design, constraints, observability, and revocation</w:t>
      </w:r>
      <w:r>
        <w:t>. When these elements are treated as inseparable, autonomy becomes governa</w:t>
      </w:r>
      <w:r w:rsidRPr="00FF2417">
        <w:t>ble rather than hazardous, and intelligent systems can operate within security-critical environments without exceeding the limits of trust (Leveson 2011; NIST AI RMF 1.0).</w:t>
      </w:r>
    </w:p>
    <w:p w14:paraId="67DEE5CD" w14:textId="7765C561" w:rsidR="00C62F15" w:rsidRDefault="00C62F15" w:rsidP="00837254">
      <w:pPr>
        <w:pStyle w:val="Secondaryheadings"/>
        <w:divId w:val="718744020"/>
        <w:rPr>
          <w:sz w:val="36"/>
          <w:szCs w:val="36"/>
        </w:rPr>
      </w:pPr>
      <w:r>
        <w:t>Conclusion</w:t>
      </w:r>
    </w:p>
    <w:p w14:paraId="6D22E4E1" w14:textId="3D0F35F5" w:rsidR="00C62F15" w:rsidRDefault="00C62F15" w:rsidP="00837254">
      <w:pPr>
        <w:pStyle w:val="Main"/>
        <w:divId w:val="718744020"/>
        <w:rPr>
          <w:rFonts w:eastAsiaTheme="minorEastAsia"/>
        </w:rPr>
      </w:pPr>
      <w:r>
        <w:t xml:space="preserve">This chapter established that agentic behavior in cybersecurity is governed less by model intelligence than by the </w:t>
      </w:r>
      <w:r>
        <w:rPr>
          <w:rStyle w:val="Strong"/>
        </w:rPr>
        <w:t xml:space="preserve">infrastructure within which cognition </w:t>
      </w:r>
      <w:r w:rsidR="00D01CBC">
        <w:rPr>
          <w:rStyle w:val="Strong"/>
        </w:rPr>
        <w:t xml:space="preserve">is allowed to </w:t>
      </w:r>
      <w:r w:rsidR="00B55D59">
        <w:rPr>
          <w:rStyle w:val="Strong"/>
        </w:rPr>
        <w:t>operate</w:t>
      </w:r>
      <w:r w:rsidR="00E52FF2" w:rsidRPr="00E52FF2">
        <w:rPr>
          <w:b/>
          <w:bCs/>
        </w:rPr>
        <w:t>.</w:t>
      </w:r>
      <w:r>
        <w:t xml:space="preserve"> Platforms, privacy mechanisms, vaults, and execution surfaces are not ancillary services; they are the control structures that determine whether autonomy remains bounded, observable, and revocable.</w:t>
      </w:r>
    </w:p>
    <w:p w14:paraId="6EB36BCB" w14:textId="77777777" w:rsidR="00C62F15" w:rsidRDefault="00C62F15" w:rsidP="00837254">
      <w:pPr>
        <w:pStyle w:val="Main"/>
        <w:divId w:val="718744020"/>
      </w:pPr>
      <w:r>
        <w:t>By treating platforms as cognitive substrates, privacy as a state-bounding mechanism, vaults as trust boundaries, and execution surfaces as graded interfaces rather than binary switches, cognitive defense architectures replace open-loop automation with platform-mediated control. Authority is externalized, memory is constrained, execution is shaped, and outcomes remain auditable. In such systems, models reason, but platforms govern.</w:t>
      </w:r>
    </w:p>
    <w:p w14:paraId="743B45DA" w14:textId="77777777" w:rsidR="00C62F15" w:rsidRDefault="00C62F15" w:rsidP="00837254">
      <w:pPr>
        <w:pStyle w:val="Main"/>
        <w:divId w:val="718744020"/>
      </w:pPr>
      <w:r>
        <w:t xml:space="preserve">The mathematical framing, illustrative code, and operational example introduced in this chapter reinforce a single architectural claim: </w:t>
      </w:r>
      <w:r>
        <w:rPr>
          <w:rStyle w:val="Strong"/>
        </w:rPr>
        <w:t>safe autonomy is an infrastructure property, not a model property</w:t>
      </w:r>
      <w:r>
        <w:t>. Without enforceable constraints at the platform level, increases in autonomy amplify exposure rather than intelligence.</w:t>
      </w:r>
    </w:p>
    <w:p w14:paraId="26308652" w14:textId="77777777" w:rsidR="00C62F15" w:rsidRDefault="00C62F15" w:rsidP="00754A10">
      <w:pPr>
        <w:pStyle w:val="Main"/>
        <w:divId w:val="718744020"/>
        <w:rPr>
          <w:rFonts w:eastAsiaTheme="minorEastAsia"/>
        </w:rPr>
      </w:pPr>
      <w:r>
        <w:t>Once execution is bounded and authority is controlled, agentic systems can be stressed, evaluated, and improved without risking systemic escalation. This creates the necessary precondition for adversarial training.</w:t>
      </w:r>
    </w:p>
    <w:p w14:paraId="2E9DC916" w14:textId="345FD011" w:rsidR="00C62F15" w:rsidRDefault="00C62F15" w:rsidP="00754A10">
      <w:pPr>
        <w:pStyle w:val="Main"/>
        <w:divId w:val="718744020"/>
      </w:pPr>
      <w:r>
        <w:rPr>
          <w:rStyle w:val="Strong"/>
        </w:rPr>
        <w:t>Chapter 9 builds on this foundation by introducing synthetic data for red-teaming and threat simulation</w:t>
      </w:r>
      <w:r>
        <w:t>, examining how controlled adversarial environments can be used to train, probe, and validate agentic defenses. Synthetic attackers are not introduced as sources of realism, but as instruments of control</w:t>
      </w:r>
      <w:r w:rsidR="00B5598B">
        <w:t xml:space="preserve">, </w:t>
      </w:r>
      <w:r>
        <w:t>designed to operate within the infrastructural boundaries established in Chapter 8.</w:t>
      </w:r>
    </w:p>
    <w:p w14:paraId="548C81CA" w14:textId="6B655B88" w:rsidR="00B67FE5" w:rsidRDefault="00C62F15" w:rsidP="00D807A3">
      <w:pPr>
        <w:pStyle w:val="Main"/>
      </w:pPr>
      <w:r>
        <w:t>Only when autonomy is constrained can adversaries be simulated safely.</w:t>
      </w:r>
    </w:p>
    <w:p w14:paraId="2D5C061D" w14:textId="77777777" w:rsidR="00B67FE5" w:rsidRDefault="00B67FE5">
      <w:pPr>
        <w:rPr>
          <w:lang w:val="en-GB"/>
        </w:rPr>
      </w:pPr>
    </w:p>
    <w:p w14:paraId="3E63574F" w14:textId="77777777" w:rsidR="00B67FE5" w:rsidRDefault="00B67FE5">
      <w:pPr>
        <w:rPr>
          <w:lang w:val="en-GB"/>
        </w:rPr>
      </w:pPr>
    </w:p>
    <w:p w14:paraId="04194433" w14:textId="77777777" w:rsidR="00B67FE5" w:rsidRDefault="00B67FE5">
      <w:pPr>
        <w:rPr>
          <w:lang w:val="en-GB"/>
        </w:rPr>
      </w:pPr>
    </w:p>
    <w:p w14:paraId="585A0B7A" w14:textId="77777777" w:rsidR="00B67FE5" w:rsidRDefault="00B67FE5">
      <w:pPr>
        <w:rPr>
          <w:lang w:val="en-GB"/>
        </w:rPr>
      </w:pPr>
    </w:p>
    <w:p w14:paraId="117734F2" w14:textId="77777777" w:rsidR="00B67FE5" w:rsidRDefault="00B67FE5">
      <w:pPr>
        <w:rPr>
          <w:lang w:val="en-GB"/>
        </w:rPr>
      </w:pPr>
    </w:p>
    <w:p w14:paraId="2536D16D" w14:textId="77777777" w:rsidR="00B67FE5" w:rsidRDefault="00B67FE5">
      <w:pPr>
        <w:rPr>
          <w:lang w:val="en-GB"/>
        </w:rPr>
      </w:pPr>
    </w:p>
    <w:p w14:paraId="430D0E33" w14:textId="77777777" w:rsidR="00B67FE5" w:rsidRDefault="00B67FE5">
      <w:pPr>
        <w:rPr>
          <w:lang w:val="en-GB"/>
        </w:rPr>
      </w:pPr>
    </w:p>
    <w:p w14:paraId="66E69EEE" w14:textId="3451F7DE" w:rsidR="00D120B0" w:rsidRDefault="00D120B0">
      <w:pPr>
        <w:rPr>
          <w:lang w:val="en-GB"/>
        </w:rPr>
      </w:pPr>
      <w:r>
        <w:rPr>
          <w:lang w:val="en-GB"/>
        </w:rPr>
        <w:br w:type="page"/>
      </w:r>
    </w:p>
    <w:sdt>
      <w:sdtPr>
        <w:rPr>
          <w:b w:val="0"/>
          <w:lang w:val="en-US"/>
        </w:rPr>
        <w:id w:val="-1499886039"/>
        <w:docPartObj>
          <w:docPartGallery w:val="Bibliographies"/>
          <w:docPartUnique/>
        </w:docPartObj>
      </w:sdtPr>
      <w:sdtContent>
        <w:p w14:paraId="10B016AA" w14:textId="6C7168A8" w:rsidR="00D120B0" w:rsidRDefault="00D120B0" w:rsidP="0010441B">
          <w:pPr>
            <w:pStyle w:val="Secondaryheadings"/>
          </w:pPr>
          <w:r>
            <w:t>References</w:t>
          </w:r>
        </w:p>
        <w:sdt>
          <w:sdtPr>
            <w:id w:val="-573587230"/>
            <w:bibliography/>
          </w:sdtPr>
          <w:sdtContent>
            <w:p w14:paraId="57A53C30" w14:textId="2EF83F69" w:rsidR="00D120B0" w:rsidRPr="00D120B0" w:rsidRDefault="00D120B0" w:rsidP="00D120B0">
              <w:pPr>
                <w:pStyle w:val="Bibliography"/>
                <w:ind w:left="720" w:hanging="720"/>
                <w:rPr>
                  <w:noProof/>
                  <w:sz w:val="20"/>
                  <w:szCs w:val="20"/>
                </w:rPr>
              </w:pPr>
              <w:r w:rsidRPr="00D120B0">
                <w:rPr>
                  <w:sz w:val="20"/>
                  <w:szCs w:val="20"/>
                </w:rPr>
                <w:fldChar w:fldCharType="begin"/>
              </w:r>
              <w:r w:rsidRPr="00D120B0">
                <w:rPr>
                  <w:sz w:val="20"/>
                  <w:szCs w:val="20"/>
                </w:rPr>
                <w:instrText xml:space="preserve"> BIBLIOGRAPHY </w:instrText>
              </w:r>
              <w:r w:rsidRPr="00D120B0">
                <w:rPr>
                  <w:sz w:val="20"/>
                  <w:szCs w:val="20"/>
                </w:rPr>
                <w:fldChar w:fldCharType="separate"/>
              </w:r>
              <w:r w:rsidRPr="00D120B0">
                <w:rPr>
                  <w:noProof/>
                  <w:sz w:val="20"/>
                  <w:szCs w:val="20"/>
                </w:rPr>
                <w:t xml:space="preserve">Amodei, Dario, Chris Olah, Jacob Steinhardt, Paul Christiano, John Schulman, and Dan Mane. 2016. "Concrete problems in </w:t>
              </w:r>
              <w:r w:rsidR="0086707C">
                <w:rPr>
                  <w:noProof/>
                  <w:sz w:val="20"/>
                  <w:szCs w:val="20"/>
                </w:rPr>
                <w:t>AI</w:t>
              </w:r>
              <w:r w:rsidRPr="00D120B0">
                <w:rPr>
                  <w:noProof/>
                  <w:sz w:val="20"/>
                  <w:szCs w:val="20"/>
                </w:rPr>
                <w:t xml:space="preserve"> safety." (arXiv). doi:10.48550/ARXIV.1606.06565.</w:t>
              </w:r>
            </w:p>
            <w:p w14:paraId="7902E07D" w14:textId="77777777" w:rsidR="00D120B0" w:rsidRPr="00D120B0" w:rsidRDefault="00D120B0" w:rsidP="00D120B0">
              <w:pPr>
                <w:pStyle w:val="Bibliography"/>
                <w:ind w:left="720" w:hanging="720"/>
                <w:rPr>
                  <w:noProof/>
                  <w:sz w:val="20"/>
                  <w:szCs w:val="20"/>
                </w:rPr>
              </w:pPr>
              <w:r w:rsidRPr="00D120B0">
                <w:rPr>
                  <w:noProof/>
                  <w:sz w:val="20"/>
                  <w:szCs w:val="20"/>
                </w:rPr>
                <w:t xml:space="preserve">Armbrust, Michael, Armando Fox, Rean Griffith, Anthony D. Joseph, Randy Katz, Andy Konwinski, Gunho Lee, et al. 2010. "A view of cloud computing." </w:t>
              </w:r>
              <w:r w:rsidRPr="00D120B0">
                <w:rPr>
                  <w:i/>
                  <w:iCs/>
                  <w:noProof/>
                  <w:sz w:val="20"/>
                  <w:szCs w:val="20"/>
                </w:rPr>
                <w:t>Communications of the ACM</w:t>
              </w:r>
              <w:r w:rsidRPr="00D120B0">
                <w:rPr>
                  <w:noProof/>
                  <w:sz w:val="20"/>
                  <w:szCs w:val="20"/>
                </w:rPr>
                <w:t xml:space="preserve"> (for Computing Machinery (ACM), Association) 53 (4): 50–58. doi:10.1145/1721654.1721672.</w:t>
              </w:r>
            </w:p>
            <w:p w14:paraId="7E6B208E" w14:textId="38526587" w:rsidR="00D120B0" w:rsidRPr="00D120B0" w:rsidRDefault="00D120B0" w:rsidP="00D120B0">
              <w:pPr>
                <w:pStyle w:val="Bibliography"/>
                <w:ind w:left="720" w:hanging="720"/>
                <w:rPr>
                  <w:noProof/>
                  <w:sz w:val="20"/>
                  <w:szCs w:val="20"/>
                </w:rPr>
              </w:pPr>
              <w:r w:rsidRPr="00D120B0">
                <w:rPr>
                  <w:noProof/>
                  <w:sz w:val="20"/>
                  <w:szCs w:val="20"/>
                </w:rPr>
                <w:t xml:space="preserve">Authors, The Kubernetes. n.d. </w:t>
              </w:r>
              <w:r w:rsidRPr="00D120B0">
                <w:rPr>
                  <w:i/>
                  <w:iCs/>
                  <w:noProof/>
                  <w:sz w:val="20"/>
                  <w:szCs w:val="20"/>
                </w:rPr>
                <w:t xml:space="preserve">Pod security standards | </w:t>
              </w:r>
              <w:r w:rsidR="0010441B">
                <w:rPr>
                  <w:i/>
                  <w:iCs/>
                  <w:noProof/>
                  <w:sz w:val="20"/>
                  <w:szCs w:val="20"/>
                </w:rPr>
                <w:t>Kubernetes</w:t>
              </w:r>
              <w:r w:rsidRPr="00D120B0">
                <w:rPr>
                  <w:i/>
                  <w:iCs/>
                  <w:noProof/>
                  <w:sz w:val="20"/>
                  <w:szCs w:val="20"/>
                </w:rPr>
                <w:t>.</w:t>
              </w:r>
              <w:r w:rsidRPr="00D120B0">
                <w:rPr>
                  <w:noProof/>
                  <w:sz w:val="20"/>
                  <w:szCs w:val="20"/>
                </w:rPr>
                <w:t xml:space="preserve"> https://kubernetes.io/docs/concepts/security/pod-security-standards/.</w:t>
              </w:r>
            </w:p>
            <w:p w14:paraId="6ECCDF3E" w14:textId="0C6139D2" w:rsidR="00D120B0" w:rsidRPr="00D120B0" w:rsidRDefault="00D120B0" w:rsidP="00D120B0">
              <w:pPr>
                <w:pStyle w:val="Bibliography"/>
                <w:ind w:left="720" w:hanging="720"/>
                <w:rPr>
                  <w:noProof/>
                  <w:sz w:val="20"/>
                  <w:szCs w:val="20"/>
                </w:rPr>
              </w:pPr>
              <w:r w:rsidRPr="00D120B0">
                <w:rPr>
                  <w:noProof/>
                  <w:sz w:val="20"/>
                  <w:szCs w:val="20"/>
                </w:rPr>
                <w:t xml:space="preserve">AWS. 2024. "Aws well-architected framework." </w:t>
              </w:r>
              <w:r w:rsidR="0010441B">
                <w:rPr>
                  <w:i/>
                  <w:iCs/>
                  <w:noProof/>
                  <w:sz w:val="20"/>
                  <w:szCs w:val="20"/>
                </w:rPr>
                <w:t>AWS</w:t>
              </w:r>
              <w:r w:rsidRPr="00D120B0">
                <w:rPr>
                  <w:i/>
                  <w:iCs/>
                  <w:noProof/>
                  <w:sz w:val="20"/>
                  <w:szCs w:val="20"/>
                </w:rPr>
                <w:t xml:space="preserve"> well-architected framework.</w:t>
              </w:r>
              <w:r w:rsidRPr="00D120B0">
                <w:rPr>
                  <w:noProof/>
                  <w:sz w:val="20"/>
                  <w:szCs w:val="20"/>
                </w:rPr>
                <w:t xml:space="preserve"> November. https://docs.aws.amazon.com/wellarchitected/latest/framework/welcome.html.</w:t>
              </w:r>
            </w:p>
            <w:p w14:paraId="449D50DF" w14:textId="77777777" w:rsidR="00D120B0" w:rsidRPr="00D120B0" w:rsidRDefault="00D120B0" w:rsidP="00D120B0">
              <w:pPr>
                <w:pStyle w:val="Bibliography"/>
                <w:ind w:left="720" w:hanging="720"/>
                <w:rPr>
                  <w:noProof/>
                  <w:sz w:val="20"/>
                  <w:szCs w:val="20"/>
                </w:rPr>
              </w:pPr>
              <w:r w:rsidRPr="00D120B0">
                <w:rPr>
                  <w:noProof/>
                  <w:sz w:val="20"/>
                  <w:szCs w:val="20"/>
                </w:rPr>
                <w:t xml:space="preserve">Burns, Brendan, Brian Grant, David Oppenheimer, Eric Brewer, and John Wilkes. 2016. "Borg, omega, and kubernetes." </w:t>
              </w:r>
              <w:r w:rsidRPr="00D120B0">
                <w:rPr>
                  <w:i/>
                  <w:iCs/>
                  <w:noProof/>
                  <w:sz w:val="20"/>
                  <w:szCs w:val="20"/>
                </w:rPr>
                <w:t>Communications of the ACM</w:t>
              </w:r>
              <w:r w:rsidRPr="00D120B0">
                <w:rPr>
                  <w:noProof/>
                  <w:sz w:val="20"/>
                  <w:szCs w:val="20"/>
                </w:rPr>
                <w:t xml:space="preserve"> (for Computing Machinery (ACM), Association) 59 (5): 50–57. doi:10.1145/2890784.</w:t>
              </w:r>
            </w:p>
            <w:p w14:paraId="623464E2" w14:textId="0727811B" w:rsidR="00D120B0" w:rsidRPr="00D120B0" w:rsidRDefault="00D120B0" w:rsidP="00D120B0">
              <w:pPr>
                <w:pStyle w:val="Bibliography"/>
                <w:ind w:left="720" w:hanging="720"/>
                <w:rPr>
                  <w:noProof/>
                  <w:sz w:val="20"/>
                  <w:szCs w:val="20"/>
                </w:rPr>
              </w:pPr>
              <w:r w:rsidRPr="00D120B0">
                <w:rPr>
                  <w:noProof/>
                  <w:sz w:val="20"/>
                  <w:szCs w:val="20"/>
                </w:rPr>
                <w:t xml:space="preserve">Carlini, Nicholas, Florian Tramèr, Eric Wallace, Matthew Jagielski, Ariel Herbert-Voss, Katherine Lee, Adam Roberts, et al. 2021. "Extracting training data from large language models." </w:t>
              </w:r>
              <w:r w:rsidRPr="00D120B0">
                <w:rPr>
                  <w:i/>
                  <w:iCs/>
                  <w:noProof/>
                  <w:sz w:val="20"/>
                  <w:szCs w:val="20"/>
                </w:rPr>
                <w:t>30th USENIX Security Symposium (USENIX Security 21).</w:t>
              </w:r>
              <w:r w:rsidRPr="00D120B0">
                <w:rPr>
                  <w:noProof/>
                  <w:sz w:val="20"/>
                  <w:szCs w:val="20"/>
                </w:rPr>
                <w:t xml:space="preserve"> [Berkeley, CA]: Association, USENI</w:t>
              </w:r>
              <w:r w:rsidR="007F5BCF">
                <w:rPr>
                  <w:noProof/>
                  <w:sz w:val="20"/>
                  <w:szCs w:val="20"/>
                </w:rPr>
                <w:t xml:space="preserve"> </w:t>
              </w:r>
              <w:r w:rsidRPr="00D120B0">
                <w:rPr>
                  <w:noProof/>
                  <w:sz w:val="20"/>
                  <w:szCs w:val="20"/>
                </w:rPr>
                <w:t>X. 2633–2650. https://researchr.org/publication/CarliniTWJHLRBS21.</w:t>
              </w:r>
            </w:p>
            <w:p w14:paraId="0F0F2532" w14:textId="77777777" w:rsidR="00D120B0" w:rsidRPr="00D120B0" w:rsidRDefault="00D120B0" w:rsidP="00D120B0">
              <w:pPr>
                <w:pStyle w:val="Bibliography"/>
                <w:ind w:left="720" w:hanging="720"/>
                <w:rPr>
                  <w:noProof/>
                  <w:sz w:val="20"/>
                  <w:szCs w:val="20"/>
                </w:rPr>
              </w:pPr>
              <w:r w:rsidRPr="00D120B0">
                <w:rPr>
                  <w:noProof/>
                  <w:sz w:val="20"/>
                  <w:szCs w:val="20"/>
                </w:rPr>
                <w:t>Cavoukian, Ann. n.d. "Privacy by design (pbd): the 7 foundational principles." https://iapp.org/media/pdf/resource_center/pbd_implement_7found_principles.pdf.</w:t>
              </w:r>
            </w:p>
            <w:p w14:paraId="5312A2A4" w14:textId="77777777" w:rsidR="00D120B0" w:rsidRPr="00D120B0" w:rsidRDefault="00D120B0" w:rsidP="00D120B0">
              <w:pPr>
                <w:pStyle w:val="Bibliography"/>
                <w:ind w:left="720" w:hanging="720"/>
                <w:rPr>
                  <w:noProof/>
                  <w:sz w:val="20"/>
                  <w:szCs w:val="20"/>
                </w:rPr>
              </w:pPr>
              <w:r w:rsidRPr="00D120B0">
                <w:rPr>
                  <w:noProof/>
                  <w:sz w:val="20"/>
                  <w:szCs w:val="20"/>
                </w:rPr>
                <w:t xml:space="preserve">Clarke, Richard A., and Robert K. Knake. 2010. </w:t>
              </w:r>
              <w:r w:rsidRPr="00D120B0">
                <w:rPr>
                  <w:i/>
                  <w:iCs/>
                  <w:noProof/>
                  <w:sz w:val="20"/>
                  <w:szCs w:val="20"/>
                </w:rPr>
                <w:t>Cyber war : the next threat to national security and what to do about it.</w:t>
              </w:r>
              <w:r w:rsidRPr="00D120B0">
                <w:rPr>
                  <w:noProof/>
                  <w:sz w:val="20"/>
                  <w:szCs w:val="20"/>
                </w:rPr>
                <w:t xml:space="preserve"> First. New, York: Ecco.</w:t>
              </w:r>
            </w:p>
            <w:p w14:paraId="0CF63F41" w14:textId="77777777" w:rsidR="00D120B0" w:rsidRPr="00D120B0" w:rsidRDefault="00D120B0" w:rsidP="00D120B0">
              <w:pPr>
                <w:pStyle w:val="Bibliography"/>
                <w:ind w:left="720" w:hanging="720"/>
                <w:rPr>
                  <w:noProof/>
                  <w:sz w:val="20"/>
                  <w:szCs w:val="20"/>
                </w:rPr>
              </w:pPr>
              <w:r w:rsidRPr="00D120B0">
                <w:rPr>
                  <w:noProof/>
                  <w:sz w:val="20"/>
                  <w:szCs w:val="20"/>
                </w:rPr>
                <w:t xml:space="preserve">Cloud, Google. n.d. "Google cloud well-architected framework documentation." </w:t>
              </w:r>
              <w:r w:rsidRPr="00D120B0">
                <w:rPr>
                  <w:i/>
                  <w:iCs/>
                  <w:noProof/>
                  <w:sz w:val="20"/>
                  <w:szCs w:val="20"/>
                </w:rPr>
                <w:t>Google cloud well-architected framework documentation.</w:t>
              </w:r>
              <w:r w:rsidRPr="00D120B0">
                <w:rPr>
                  <w:noProof/>
                  <w:sz w:val="20"/>
                  <w:szCs w:val="20"/>
                </w:rPr>
                <w:t xml:space="preserve"> https://docs.cloud.google.com/architecture/framework/printable.</w:t>
              </w:r>
            </w:p>
            <w:p w14:paraId="5DE553A3" w14:textId="77777777" w:rsidR="00D120B0" w:rsidRPr="00D120B0" w:rsidRDefault="00D120B0" w:rsidP="00D120B0">
              <w:pPr>
                <w:pStyle w:val="Bibliography"/>
                <w:ind w:left="720" w:hanging="720"/>
                <w:rPr>
                  <w:noProof/>
                  <w:sz w:val="20"/>
                  <w:szCs w:val="20"/>
                </w:rPr>
              </w:pPr>
              <w:r w:rsidRPr="00D120B0">
                <w:rPr>
                  <w:noProof/>
                  <w:sz w:val="20"/>
                  <w:szCs w:val="20"/>
                </w:rPr>
                <w:t xml:space="preserve">Developer, HashiCorp. n.d. </w:t>
              </w:r>
              <w:r w:rsidRPr="00D120B0">
                <w:rPr>
                  <w:i/>
                  <w:iCs/>
                  <w:noProof/>
                  <w:sz w:val="20"/>
                  <w:szCs w:val="20"/>
                </w:rPr>
                <w:t>Vault secrets security model.</w:t>
              </w:r>
              <w:r w:rsidRPr="00D120B0">
                <w:rPr>
                  <w:noProof/>
                  <w:sz w:val="20"/>
                  <w:szCs w:val="20"/>
                </w:rPr>
                <w:t xml:space="preserve"> https://developer.hashicorp.com/hcp/docs/vault-secrets/security-model.</w:t>
              </w:r>
            </w:p>
            <w:p w14:paraId="41C688CE" w14:textId="77777777" w:rsidR="00D120B0" w:rsidRPr="00D120B0" w:rsidRDefault="00D120B0" w:rsidP="00D120B0">
              <w:pPr>
                <w:pStyle w:val="Bibliography"/>
                <w:ind w:left="720" w:hanging="720"/>
                <w:rPr>
                  <w:noProof/>
                  <w:sz w:val="20"/>
                  <w:szCs w:val="20"/>
                </w:rPr>
              </w:pPr>
              <w:r w:rsidRPr="00D120B0">
                <w:rPr>
                  <w:noProof/>
                  <w:sz w:val="20"/>
                  <w:szCs w:val="20"/>
                </w:rPr>
                <w:t xml:space="preserve">Dino, Gino. 2023. </w:t>
              </w:r>
              <w:r w:rsidRPr="00D120B0">
                <w:rPr>
                  <w:i/>
                  <w:iCs/>
                  <w:noProof/>
                  <w:sz w:val="20"/>
                  <w:szCs w:val="20"/>
                </w:rPr>
                <w:t>Understanding kubernetes pod security standards.</w:t>
              </w:r>
              <w:r w:rsidRPr="00D120B0">
                <w:rPr>
                  <w:noProof/>
                  <w:sz w:val="20"/>
                  <w:szCs w:val="20"/>
                </w:rPr>
                <w:t xml:space="preserve"> June. https://snyk.io/blog/understanding-kubernetes-pod-security-standards/.</w:t>
              </w:r>
            </w:p>
            <w:p w14:paraId="787B1296" w14:textId="77777777" w:rsidR="00D120B0" w:rsidRPr="00D120B0" w:rsidRDefault="00D120B0" w:rsidP="00D120B0">
              <w:pPr>
                <w:pStyle w:val="Bibliography"/>
                <w:ind w:left="720" w:hanging="720"/>
                <w:rPr>
                  <w:noProof/>
                  <w:sz w:val="20"/>
                  <w:szCs w:val="20"/>
                </w:rPr>
              </w:pPr>
              <w:r w:rsidRPr="00D120B0">
                <w:rPr>
                  <w:noProof/>
                  <w:sz w:val="20"/>
                  <w:szCs w:val="20"/>
                </w:rPr>
                <w:t xml:space="preserve">Doshi-Velez, Finale, and Been Kim. 2017. "Towards a rigorous science of interpretable machine learning." </w:t>
              </w:r>
              <w:r w:rsidRPr="00D120B0">
                <w:rPr>
                  <w:i/>
                  <w:iCs/>
                  <w:noProof/>
                  <w:sz w:val="20"/>
                  <w:szCs w:val="20"/>
                </w:rPr>
                <w:t>arXiv: Machine Learning</w:t>
              </w:r>
              <w:r w:rsidRPr="00D120B0">
                <w:rPr>
                  <w:noProof/>
                  <w:sz w:val="20"/>
                  <w:szCs w:val="20"/>
                </w:rPr>
                <w:t xml:space="preserve"> (arXiv). doi:10.48550/ARXIV.1702.08608.</w:t>
              </w:r>
            </w:p>
            <w:p w14:paraId="2484F6D6" w14:textId="123B1788" w:rsidR="00D120B0" w:rsidRPr="00D120B0" w:rsidRDefault="00D120B0" w:rsidP="00D120B0">
              <w:pPr>
                <w:pStyle w:val="Bibliography"/>
                <w:ind w:left="720" w:hanging="720"/>
                <w:rPr>
                  <w:noProof/>
                  <w:sz w:val="20"/>
                  <w:szCs w:val="20"/>
                </w:rPr>
              </w:pPr>
              <w:r w:rsidRPr="00D120B0">
                <w:rPr>
                  <w:noProof/>
                  <w:sz w:val="20"/>
                  <w:szCs w:val="20"/>
                </w:rPr>
                <w:t xml:space="preserve">Dwork, Cynthia, and Aaron Roth. 2013. "The algorithmic foundations of differential privacy." </w:t>
              </w:r>
              <w:r w:rsidRPr="00D120B0">
                <w:rPr>
                  <w:i/>
                  <w:iCs/>
                  <w:noProof/>
                  <w:sz w:val="20"/>
                  <w:szCs w:val="20"/>
                </w:rPr>
                <w:t>The algorithmic foundations of differential privacy.</w:t>
              </w:r>
              <w:r w:rsidRPr="00D120B0">
                <w:rPr>
                  <w:noProof/>
                  <w:sz w:val="20"/>
                  <w:szCs w:val="20"/>
                </w:rPr>
                <w:t xml:space="preserve"> Vol. 9. no. 3</w:t>
              </w:r>
              <w:r w:rsidR="00B92268">
                <w:rPr>
                  <w:noProof/>
                  <w:sz w:val="20"/>
                  <w:szCs w:val="20"/>
                </w:rPr>
                <w:t>–</w:t>
              </w:r>
              <w:r w:rsidRPr="00D120B0">
                <w:rPr>
                  <w:noProof/>
                  <w:sz w:val="20"/>
                  <w:szCs w:val="20"/>
                </w:rPr>
                <w:t>4. Publishing, Emerald, August. 211–487. doi:10.1561/0400000042.</w:t>
              </w:r>
            </w:p>
            <w:p w14:paraId="1BFE2A6A" w14:textId="77777777" w:rsidR="00D120B0" w:rsidRPr="00D120B0" w:rsidRDefault="00D120B0" w:rsidP="00D120B0">
              <w:pPr>
                <w:pStyle w:val="Bibliography"/>
                <w:ind w:left="720" w:hanging="720"/>
                <w:rPr>
                  <w:noProof/>
                  <w:sz w:val="20"/>
                  <w:szCs w:val="20"/>
                </w:rPr>
              </w:pPr>
              <w:r w:rsidRPr="00D120B0">
                <w:rPr>
                  <w:noProof/>
                  <w:sz w:val="20"/>
                  <w:szCs w:val="20"/>
                </w:rPr>
                <w:t>Everitt, Tom, Marcus Hutter, Ramana Kumar, and Victoria Krakovna. 2019. "Reward tampering problems and solutions in reinforcement learning: a causal influence diagram perspective." (arXiv). doi:10.48550/ARXIV.1908.04734.</w:t>
              </w:r>
            </w:p>
            <w:p w14:paraId="00ADE09B" w14:textId="06E69A02" w:rsidR="00D120B0" w:rsidRPr="00D120B0" w:rsidRDefault="00D120B0" w:rsidP="00D120B0">
              <w:pPr>
                <w:pStyle w:val="Bibliography"/>
                <w:ind w:left="720" w:hanging="720"/>
                <w:rPr>
                  <w:noProof/>
                  <w:sz w:val="20"/>
                  <w:szCs w:val="20"/>
                  <w:lang w:val="it-IT"/>
                </w:rPr>
              </w:pPr>
              <w:r w:rsidRPr="00D120B0">
                <w:rPr>
                  <w:noProof/>
                  <w:sz w:val="20"/>
                  <w:szCs w:val="20"/>
                </w:rPr>
                <w:t>Ewaschuk, Rob. 2021. "Monitoring distributed systems." Edited by Betsy Beyer, Jennifer Jones, Niall Richard Murphy</w:t>
              </w:r>
              <w:r w:rsidR="00B92268">
                <w:rPr>
                  <w:noProof/>
                  <w:sz w:val="20"/>
                  <w:szCs w:val="20"/>
                </w:rPr>
                <w:t>,</w:t>
              </w:r>
              <w:r w:rsidRPr="00D120B0">
                <w:rPr>
                  <w:noProof/>
                  <w:sz w:val="20"/>
                  <w:szCs w:val="20"/>
                </w:rPr>
                <w:t xml:space="preserve"> and Porter. </w:t>
              </w:r>
              <w:r w:rsidRPr="00D120B0">
                <w:rPr>
                  <w:noProof/>
                  <w:sz w:val="20"/>
                  <w:szCs w:val="20"/>
                  <w:lang w:val="it-IT"/>
                </w:rPr>
                <w:t>Liz. (Media, O. Reilly). https://www.oreilly.com/library/view/site-reliability-engineering/9781491929117/ch06.html.</w:t>
              </w:r>
            </w:p>
            <w:p w14:paraId="298E4159" w14:textId="2B83F968" w:rsidR="00D120B0" w:rsidRPr="00D120B0" w:rsidRDefault="00D120B0" w:rsidP="00D120B0">
              <w:pPr>
                <w:pStyle w:val="Bibliography"/>
                <w:ind w:left="720" w:hanging="720"/>
                <w:rPr>
                  <w:noProof/>
                  <w:sz w:val="20"/>
                  <w:szCs w:val="20"/>
                </w:rPr>
              </w:pPr>
              <w:r w:rsidRPr="00D120B0">
                <w:rPr>
                  <w:noProof/>
                  <w:sz w:val="20"/>
                  <w:szCs w:val="20"/>
                </w:rPr>
                <w:t xml:space="preserve">Force, N. I. S. T. Joint Task. 2020. </w:t>
              </w:r>
              <w:r w:rsidR="00B92268">
                <w:rPr>
                  <w:i/>
                  <w:iCs/>
                  <w:noProof/>
                  <w:sz w:val="20"/>
                  <w:szCs w:val="20"/>
                </w:rPr>
                <w:t xml:space="preserve">NIST SP 800-53 rev. 5 . Security and privacy controls for information systems and organizations. of Standards, National Institute of Standards </w:t>
              </w:r>
              <w:r w:rsidRPr="00D120B0">
                <w:rPr>
                  <w:noProof/>
                  <w:sz w:val="20"/>
                  <w:szCs w:val="20"/>
                </w:rPr>
                <w:t>and Technology. doi:10.6028/NIST.SP.800-53r5.</w:t>
              </w:r>
            </w:p>
            <w:p w14:paraId="516DBF29" w14:textId="2F1CBC34" w:rsidR="00D120B0" w:rsidRPr="00D120B0" w:rsidRDefault="00D120B0" w:rsidP="00D120B0">
              <w:pPr>
                <w:pStyle w:val="Bibliography"/>
                <w:ind w:left="720" w:hanging="720"/>
                <w:rPr>
                  <w:noProof/>
                  <w:sz w:val="20"/>
                  <w:szCs w:val="20"/>
                </w:rPr>
              </w:pPr>
              <w:r w:rsidRPr="00D120B0">
                <w:rPr>
                  <w:noProof/>
                  <w:sz w:val="20"/>
                  <w:szCs w:val="20"/>
                </w:rPr>
                <w:t xml:space="preserve">Lampson, B. W. 2004. "Computer security in the real world." </w:t>
              </w:r>
              <w:r w:rsidRPr="00D120B0">
                <w:rPr>
                  <w:i/>
                  <w:iCs/>
                  <w:noProof/>
                  <w:sz w:val="20"/>
                  <w:szCs w:val="20"/>
                </w:rPr>
                <w:t>Computer</w:t>
              </w:r>
              <w:r w:rsidRPr="00D120B0">
                <w:rPr>
                  <w:noProof/>
                  <w:sz w:val="20"/>
                  <w:szCs w:val="20"/>
                </w:rPr>
                <w:t xml:space="preserve"> (of Electrical, Institute and (IEEE), Electronics Engineers) 37 (6): 37–46. doi:10.1109/</w:t>
              </w:r>
              <w:r w:rsidR="00BA45C7">
                <w:rPr>
                  <w:noProof/>
                  <w:sz w:val="20"/>
                  <w:szCs w:val="20"/>
                </w:rPr>
                <w:t xml:space="preserve">mc. </w:t>
              </w:r>
              <w:r w:rsidRPr="00D120B0">
                <w:rPr>
                  <w:noProof/>
                  <w:sz w:val="20"/>
                  <w:szCs w:val="20"/>
                </w:rPr>
                <w:t>2004.17.</w:t>
              </w:r>
            </w:p>
            <w:p w14:paraId="7A4B6657" w14:textId="77777777" w:rsidR="00D120B0" w:rsidRPr="00D120B0" w:rsidRDefault="00D120B0" w:rsidP="00D120B0">
              <w:pPr>
                <w:pStyle w:val="Bibliography"/>
                <w:ind w:left="720" w:hanging="720"/>
                <w:rPr>
                  <w:noProof/>
                  <w:sz w:val="20"/>
                  <w:szCs w:val="20"/>
                </w:rPr>
              </w:pPr>
              <w:r w:rsidRPr="00D120B0">
                <w:rPr>
                  <w:noProof/>
                  <w:sz w:val="20"/>
                  <w:szCs w:val="20"/>
                </w:rPr>
                <w:t xml:space="preserve">Levan, Michael. 2024. </w:t>
              </w:r>
              <w:r w:rsidRPr="00D120B0">
                <w:rPr>
                  <w:i/>
                  <w:iCs/>
                  <w:noProof/>
                  <w:sz w:val="20"/>
                  <w:szCs w:val="20"/>
                </w:rPr>
                <w:t>Implementing kubernetes pod security standards.</w:t>
              </w:r>
              <w:r w:rsidRPr="00D120B0">
                <w:rPr>
                  <w:noProof/>
                  <w:sz w:val="20"/>
                  <w:szCs w:val="20"/>
                </w:rPr>
                <w:t xml:space="preserve"> July. https://dev.to/thenjdevopsguy/implementing-kubernetes-pod-security-standards-4aco.</w:t>
              </w:r>
            </w:p>
            <w:p w14:paraId="39A2030E" w14:textId="77777777" w:rsidR="00D120B0" w:rsidRPr="00D120B0" w:rsidRDefault="00D120B0" w:rsidP="00D120B0">
              <w:pPr>
                <w:pStyle w:val="Bibliography"/>
                <w:ind w:left="720" w:hanging="720"/>
                <w:rPr>
                  <w:noProof/>
                  <w:sz w:val="20"/>
                  <w:szCs w:val="20"/>
                </w:rPr>
              </w:pPr>
              <w:r w:rsidRPr="00D120B0">
                <w:rPr>
                  <w:noProof/>
                  <w:sz w:val="20"/>
                  <w:szCs w:val="20"/>
                </w:rPr>
                <w:t xml:space="preserve">Leveson, Nancy G. 2012. "Engineering a safer world: systems thinking applied to safety." </w:t>
              </w:r>
              <w:r w:rsidRPr="00D120B0">
                <w:rPr>
                  <w:i/>
                  <w:iCs/>
                  <w:noProof/>
                  <w:sz w:val="20"/>
                  <w:szCs w:val="20"/>
                </w:rPr>
                <w:t>Engineering a Safer World</w:t>
              </w:r>
              <w:r w:rsidRPr="00D120B0">
                <w:rPr>
                  <w:noProof/>
                  <w:sz w:val="20"/>
                  <w:szCs w:val="20"/>
                </w:rPr>
                <w:t xml:space="preserve"> (Press, The M. I. T.). doi:10.7551/mitpress/8179.001.0001.</w:t>
              </w:r>
            </w:p>
            <w:p w14:paraId="175BF5D9" w14:textId="006DD1B8" w:rsidR="00D120B0" w:rsidRPr="00D120B0" w:rsidRDefault="00D120B0" w:rsidP="00D120B0">
              <w:pPr>
                <w:pStyle w:val="Bibliography"/>
                <w:ind w:left="720" w:hanging="720"/>
                <w:rPr>
                  <w:noProof/>
                  <w:sz w:val="20"/>
                  <w:szCs w:val="20"/>
                </w:rPr>
              </w:pPr>
              <w:r w:rsidRPr="00D120B0">
                <w:rPr>
                  <w:noProof/>
                  <w:sz w:val="20"/>
                  <w:szCs w:val="20"/>
                </w:rPr>
                <w:t xml:space="preserve">Merkel, Dirk. 2014. "Docker: lightweight </w:t>
              </w:r>
              <w:r w:rsidR="00BA45C7">
                <w:rPr>
                  <w:noProof/>
                  <w:sz w:val="20"/>
                  <w:szCs w:val="20"/>
                </w:rPr>
                <w:t>Linux</w:t>
              </w:r>
              <w:r w:rsidRPr="00D120B0">
                <w:rPr>
                  <w:noProof/>
                  <w:sz w:val="20"/>
                  <w:szCs w:val="20"/>
                </w:rPr>
                <w:t xml:space="preserve"> containers for consistent development and deployment." </w:t>
              </w:r>
              <w:r w:rsidRPr="00D120B0">
                <w:rPr>
                  <w:i/>
                  <w:iCs/>
                  <w:noProof/>
                  <w:sz w:val="20"/>
                  <w:szCs w:val="20"/>
                </w:rPr>
                <w:t>Linux Journal</w:t>
              </w:r>
              <w:r w:rsidRPr="00D120B0">
                <w:rPr>
                  <w:noProof/>
                  <w:sz w:val="20"/>
                  <w:szCs w:val="20"/>
                </w:rPr>
                <w:t xml:space="preserve"> 2. https://api.semanticscholar.org/CorpusID:62479797.</w:t>
              </w:r>
            </w:p>
            <w:p w14:paraId="3DF33D6E" w14:textId="77777777" w:rsidR="00D120B0" w:rsidRPr="00D120B0" w:rsidRDefault="00D120B0" w:rsidP="00D120B0">
              <w:pPr>
                <w:pStyle w:val="Bibliography"/>
                <w:ind w:left="720" w:hanging="720"/>
                <w:rPr>
                  <w:noProof/>
                  <w:sz w:val="20"/>
                  <w:szCs w:val="20"/>
                </w:rPr>
              </w:pPr>
              <w:r w:rsidRPr="00D120B0">
                <w:rPr>
                  <w:noProof/>
                  <w:sz w:val="20"/>
                  <w:szCs w:val="20"/>
                </w:rPr>
                <w:t>Miller, Mark S., Ka-Ping Yee, and Jonathan Shapiro. 2003. "Capability myths demolished." Tech. rep. https://api.semanticscholar.org/CorpusID:9456299.</w:t>
              </w:r>
            </w:p>
            <w:p w14:paraId="37887642" w14:textId="77777777" w:rsidR="00D120B0" w:rsidRPr="00D120B0" w:rsidRDefault="00D120B0" w:rsidP="00D120B0">
              <w:pPr>
                <w:pStyle w:val="Bibliography"/>
                <w:ind w:left="720" w:hanging="720"/>
                <w:rPr>
                  <w:noProof/>
                  <w:sz w:val="20"/>
                  <w:szCs w:val="20"/>
                </w:rPr>
              </w:pPr>
              <w:r w:rsidRPr="00D120B0">
                <w:rPr>
                  <w:noProof/>
                  <w:sz w:val="20"/>
                  <w:szCs w:val="20"/>
                </w:rPr>
                <w:t xml:space="preserve">Saltzer, J. H., and M. D. Schroeder. 1975. "The protection of information in computer systems." </w:t>
              </w:r>
              <w:r w:rsidRPr="00D120B0">
                <w:rPr>
                  <w:i/>
                  <w:iCs/>
                  <w:noProof/>
                  <w:sz w:val="20"/>
                  <w:szCs w:val="20"/>
                </w:rPr>
                <w:t>Proceedings of the IEEE</w:t>
              </w:r>
              <w:r w:rsidRPr="00D120B0">
                <w:rPr>
                  <w:noProof/>
                  <w:sz w:val="20"/>
                  <w:szCs w:val="20"/>
                </w:rPr>
                <w:t xml:space="preserve"> (of Electrical, Institute and (IEEE), Electronics Engineers) 63 (9): 1278–1308. doi:10.1109/PROC.1975.9939.</w:t>
              </w:r>
            </w:p>
            <w:p w14:paraId="092D9EE4" w14:textId="5FC7199C" w:rsidR="00D120B0" w:rsidRPr="00D120B0" w:rsidRDefault="00D120B0" w:rsidP="00D120B0">
              <w:pPr>
                <w:pStyle w:val="Bibliography"/>
                <w:ind w:left="720" w:hanging="720"/>
                <w:rPr>
                  <w:noProof/>
                  <w:sz w:val="20"/>
                  <w:szCs w:val="20"/>
                </w:rPr>
              </w:pPr>
              <w:r w:rsidRPr="00D120B0">
                <w:rPr>
                  <w:noProof/>
                  <w:sz w:val="20"/>
                  <w:szCs w:val="20"/>
                </w:rPr>
                <w:t xml:space="preserve">Shokri, Reza, Marco Stronati, Congzheng Song, and Vitaly Shmatikov. 2017. "Membership inference attacks against machine learning models." </w:t>
              </w:r>
              <w:r w:rsidRPr="00D120B0">
                <w:rPr>
                  <w:i/>
                  <w:iCs/>
                  <w:noProof/>
                  <w:sz w:val="20"/>
                  <w:szCs w:val="20"/>
                </w:rPr>
                <w:t>Proceedings - IEEE Symposium on Security and Privacy</w:t>
              </w:r>
              <w:r w:rsidRPr="00D120B0">
                <w:rPr>
                  <w:noProof/>
                  <w:sz w:val="20"/>
                  <w:szCs w:val="20"/>
                </w:rPr>
                <w:t xml:space="preserve"> (of </w:t>
              </w:r>
              <w:r w:rsidR="00BA45C7">
                <w:rPr>
                  <w:noProof/>
                  <w:sz w:val="20"/>
                  <w:szCs w:val="20"/>
                </w:rPr>
                <w:t xml:space="preserve">the Institute of Electrical and </w:t>
              </w:r>
              <w:r w:rsidRPr="00D120B0">
                <w:rPr>
                  <w:noProof/>
                  <w:sz w:val="20"/>
                  <w:szCs w:val="20"/>
                </w:rPr>
                <w:t>Electronics Engineers) 3–18. doi:10.1109/SP.2017.41.</w:t>
              </w:r>
            </w:p>
            <w:p w14:paraId="36354D4C" w14:textId="3D62B0BC" w:rsidR="00D120B0" w:rsidRPr="00D120B0" w:rsidRDefault="00D120B0" w:rsidP="00D120B0">
              <w:pPr>
                <w:pStyle w:val="Bibliography"/>
                <w:ind w:left="720" w:hanging="720"/>
                <w:rPr>
                  <w:noProof/>
                  <w:sz w:val="20"/>
                  <w:szCs w:val="20"/>
                </w:rPr>
              </w:pPr>
              <w:r w:rsidRPr="00D120B0">
                <w:rPr>
                  <w:noProof/>
                  <w:sz w:val="20"/>
                  <w:szCs w:val="20"/>
                </w:rPr>
                <w:t xml:space="preserve">Sigelman, Benjamin H., Luiz Andre Barroso, Michael Burrows, Patrick Stephenson, Manoj Plakal, Donald Beaver, Chandan Kumar Shanbhag, Saul Jaspan, and Chandan Kumar Shanbhag. 2010. "Dapper, a large-scale distributed systems tracing infrastructure." </w:t>
              </w:r>
              <w:r w:rsidRPr="00D120B0">
                <w:rPr>
                  <w:i/>
                  <w:iCs/>
                  <w:noProof/>
                  <w:sz w:val="20"/>
                  <w:szCs w:val="20"/>
                </w:rPr>
                <w:t>Dapper</w:t>
              </w:r>
              <w:r w:rsidR="00BA45C7">
                <w:rPr>
                  <w:i/>
                  <w:iCs/>
                  <w:noProof/>
                  <w:sz w:val="20"/>
                  <w:szCs w:val="20"/>
                </w:rPr>
                <w:t xml:space="preserve"> is</w:t>
              </w:r>
              <w:r w:rsidRPr="00D120B0">
                <w:rPr>
                  <w:i/>
                  <w:iCs/>
                  <w:noProof/>
                  <w:sz w:val="20"/>
                  <w:szCs w:val="20"/>
                </w:rPr>
                <w:t xml:space="preserve"> a large-scale distributed systems tracing infrastructure.</w:t>
              </w:r>
              <w:r w:rsidRPr="00D120B0">
                <w:rPr>
                  <w:noProof/>
                  <w:sz w:val="20"/>
                  <w:szCs w:val="20"/>
                </w:rPr>
                <w:t xml:space="preserve"> https://www.semanticscholar.org/paper/Dapper,-a-Large-Scale-Distributed-Systems-Tracing-Sigelman-Barroso/003d5a65de0ac72daaf105ded903cb3eb88585b3.</w:t>
              </w:r>
            </w:p>
            <w:p w14:paraId="4E6236B2" w14:textId="02A41976" w:rsidR="00D120B0" w:rsidRDefault="00D120B0" w:rsidP="00D120B0">
              <w:r w:rsidRPr="00D120B0">
                <w:rPr>
                  <w:b/>
                  <w:bCs/>
                  <w:noProof/>
                  <w:sz w:val="20"/>
                  <w:szCs w:val="20"/>
                </w:rPr>
                <w:fldChar w:fldCharType="end"/>
              </w:r>
            </w:p>
          </w:sdtContent>
        </w:sdt>
      </w:sdtContent>
    </w:sdt>
    <w:p w14:paraId="479ED691" w14:textId="77777777" w:rsidR="00B67FE5" w:rsidRPr="002E0D90" w:rsidRDefault="00B67FE5">
      <w:pPr>
        <w:rPr>
          <w:lang w:val="en-GB"/>
        </w:rPr>
      </w:pPr>
    </w:p>
    <w:sectPr w:rsidR="00B67FE5" w:rsidRPr="002E0D90" w:rsidSect="003D4D9A">
      <w:headerReference w:type="even" r:id="rId13"/>
      <w:headerReference w:type="default" r:id="rId14"/>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0B3D" w14:textId="77777777" w:rsidR="004C1968" w:rsidRDefault="004C1968">
      <w:r>
        <w:separator/>
      </w:r>
    </w:p>
  </w:endnote>
  <w:endnote w:type="continuationSeparator" w:id="0">
    <w:p w14:paraId="749E4ECA" w14:textId="77777777" w:rsidR="004C1968" w:rsidRDefault="004C1968">
      <w:r>
        <w:continuationSeparator/>
      </w:r>
    </w:p>
  </w:endnote>
  <w:endnote w:type="continuationNotice" w:id="1">
    <w:p w14:paraId="03D8CAD6" w14:textId="77777777" w:rsidR="004C1968" w:rsidRDefault="004C19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42FCB" w14:textId="77777777" w:rsidR="004C1968" w:rsidRDefault="004C1968">
      <w:r>
        <w:separator/>
      </w:r>
    </w:p>
  </w:footnote>
  <w:footnote w:type="continuationSeparator" w:id="0">
    <w:p w14:paraId="74CD56D7" w14:textId="77777777" w:rsidR="004C1968" w:rsidRDefault="004C1968">
      <w:r>
        <w:continuationSeparator/>
      </w:r>
    </w:p>
  </w:footnote>
  <w:footnote w:type="continuationNotice" w:id="1">
    <w:p w14:paraId="281C6B6B" w14:textId="77777777" w:rsidR="004C1968" w:rsidRDefault="004C19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1BDE2B9E"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C51F90">
      <w:rPr>
        <w:rStyle w:val="PageNumber"/>
        <w:sz w:val="18"/>
      </w:rPr>
      <w:t>8</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02749B2E" w:rsidR="003D4D9A" w:rsidRPr="003D4D9A" w:rsidRDefault="00960121" w:rsidP="003D4D9A">
    <w:pPr>
      <w:pStyle w:val="Header"/>
      <w:ind w:right="360" w:firstLine="360"/>
      <w:jc w:val="center"/>
      <w:rPr>
        <w:sz w:val="18"/>
      </w:rPr>
    </w:pPr>
    <w:r w:rsidRPr="00960121">
      <w:rPr>
        <w:sz w:val="18"/>
      </w:rPr>
      <w:t>Platforms, Privacy, Vaults, Execution Surfaces</w:t>
    </w:r>
  </w:p>
  <w:p w14:paraId="34131276" w14:textId="77777777" w:rsidR="003D4D9A" w:rsidRPr="003D4D9A" w:rsidRDefault="003D4D9A" w:rsidP="003D4D9A">
    <w:pPr>
      <w:pStyle w:val="Header"/>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524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78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66B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AC55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815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860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A26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862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6"/>
  </w:num>
  <w:num w:numId="2" w16cid:durableId="1064913591">
    <w:abstractNumId w:val="0"/>
  </w:num>
  <w:num w:numId="3" w16cid:durableId="1333532073">
    <w:abstractNumId w:val="4"/>
  </w:num>
  <w:num w:numId="4" w16cid:durableId="2008097957">
    <w:abstractNumId w:val="3"/>
  </w:num>
  <w:num w:numId="5" w16cid:durableId="1182625820">
    <w:abstractNumId w:val="1"/>
  </w:num>
  <w:num w:numId="6" w16cid:durableId="1431122106">
    <w:abstractNumId w:val="11"/>
  </w:num>
  <w:num w:numId="7" w16cid:durableId="2006476343">
    <w:abstractNumId w:val="7"/>
  </w:num>
  <w:num w:numId="8" w16cid:durableId="1930001135">
    <w:abstractNumId w:val="8"/>
  </w:num>
  <w:num w:numId="9" w16cid:durableId="500243916">
    <w:abstractNumId w:val="9"/>
  </w:num>
  <w:num w:numId="10" w16cid:durableId="241528035">
    <w:abstractNumId w:val="10"/>
  </w:num>
  <w:num w:numId="11" w16cid:durableId="142627372">
    <w:abstractNumId w:val="2"/>
  </w:num>
  <w:num w:numId="12" w16cid:durableId="1613246508">
    <w:abstractNumId w:val="5"/>
  </w:num>
  <w:num w:numId="13" w16cid:durableId="697436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3822"/>
    <w:rsid w:val="00020FAA"/>
    <w:rsid w:val="00023C9C"/>
    <w:rsid w:val="00026198"/>
    <w:rsid w:val="000323B7"/>
    <w:rsid w:val="00034AD1"/>
    <w:rsid w:val="00046EC1"/>
    <w:rsid w:val="000575BA"/>
    <w:rsid w:val="00064A22"/>
    <w:rsid w:val="00073AF4"/>
    <w:rsid w:val="000752B4"/>
    <w:rsid w:val="000765D5"/>
    <w:rsid w:val="00080F7A"/>
    <w:rsid w:val="0008542A"/>
    <w:rsid w:val="00094274"/>
    <w:rsid w:val="000A0C5B"/>
    <w:rsid w:val="000C3F9E"/>
    <w:rsid w:val="000D4AAB"/>
    <w:rsid w:val="000D7483"/>
    <w:rsid w:val="000F5CE3"/>
    <w:rsid w:val="0010441B"/>
    <w:rsid w:val="00106A54"/>
    <w:rsid w:val="00120A19"/>
    <w:rsid w:val="001307C4"/>
    <w:rsid w:val="00132087"/>
    <w:rsid w:val="00132822"/>
    <w:rsid w:val="00150125"/>
    <w:rsid w:val="00153FA8"/>
    <w:rsid w:val="00171ABB"/>
    <w:rsid w:val="00175A57"/>
    <w:rsid w:val="00176CAF"/>
    <w:rsid w:val="00180360"/>
    <w:rsid w:val="00191CC3"/>
    <w:rsid w:val="00192383"/>
    <w:rsid w:val="00192ED2"/>
    <w:rsid w:val="001A0DA1"/>
    <w:rsid w:val="001A1249"/>
    <w:rsid w:val="001A6A83"/>
    <w:rsid w:val="001C7C3B"/>
    <w:rsid w:val="001D2603"/>
    <w:rsid w:val="001D5B90"/>
    <w:rsid w:val="00203F4A"/>
    <w:rsid w:val="00240B38"/>
    <w:rsid w:val="00247CFD"/>
    <w:rsid w:val="00251CBA"/>
    <w:rsid w:val="002655F5"/>
    <w:rsid w:val="002736D3"/>
    <w:rsid w:val="00274CB8"/>
    <w:rsid w:val="0028076D"/>
    <w:rsid w:val="002839F1"/>
    <w:rsid w:val="002904A3"/>
    <w:rsid w:val="00295B4C"/>
    <w:rsid w:val="002A05FE"/>
    <w:rsid w:val="002D4FFD"/>
    <w:rsid w:val="002E0D90"/>
    <w:rsid w:val="002E1A13"/>
    <w:rsid w:val="00306BB6"/>
    <w:rsid w:val="00312C0C"/>
    <w:rsid w:val="003146F8"/>
    <w:rsid w:val="00351F60"/>
    <w:rsid w:val="003520A9"/>
    <w:rsid w:val="00364594"/>
    <w:rsid w:val="00364884"/>
    <w:rsid w:val="003666D5"/>
    <w:rsid w:val="0037187B"/>
    <w:rsid w:val="003772DA"/>
    <w:rsid w:val="0039515D"/>
    <w:rsid w:val="003A65ED"/>
    <w:rsid w:val="003C1FC0"/>
    <w:rsid w:val="003C2DE0"/>
    <w:rsid w:val="003D3C53"/>
    <w:rsid w:val="003D4D9A"/>
    <w:rsid w:val="003F16F2"/>
    <w:rsid w:val="003F1919"/>
    <w:rsid w:val="004029F4"/>
    <w:rsid w:val="0042483F"/>
    <w:rsid w:val="0043181D"/>
    <w:rsid w:val="0043675C"/>
    <w:rsid w:val="0045170B"/>
    <w:rsid w:val="00460604"/>
    <w:rsid w:val="0046131A"/>
    <w:rsid w:val="004719D5"/>
    <w:rsid w:val="00473582"/>
    <w:rsid w:val="00484A0E"/>
    <w:rsid w:val="004C1968"/>
    <w:rsid w:val="004C34DA"/>
    <w:rsid w:val="004C78B0"/>
    <w:rsid w:val="004E5825"/>
    <w:rsid w:val="004E6AD7"/>
    <w:rsid w:val="004F1697"/>
    <w:rsid w:val="00503DC6"/>
    <w:rsid w:val="0050623F"/>
    <w:rsid w:val="0051483C"/>
    <w:rsid w:val="00524B24"/>
    <w:rsid w:val="005403CA"/>
    <w:rsid w:val="005514A4"/>
    <w:rsid w:val="00555664"/>
    <w:rsid w:val="00556D60"/>
    <w:rsid w:val="00557FE6"/>
    <w:rsid w:val="0056220D"/>
    <w:rsid w:val="005862B4"/>
    <w:rsid w:val="00593AD1"/>
    <w:rsid w:val="005B59AC"/>
    <w:rsid w:val="005C4E85"/>
    <w:rsid w:val="005D1FAE"/>
    <w:rsid w:val="005E28C8"/>
    <w:rsid w:val="005E5B0E"/>
    <w:rsid w:val="006006DA"/>
    <w:rsid w:val="00602953"/>
    <w:rsid w:val="0060730B"/>
    <w:rsid w:val="00620DDA"/>
    <w:rsid w:val="00623F09"/>
    <w:rsid w:val="00633DFF"/>
    <w:rsid w:val="0064375C"/>
    <w:rsid w:val="00657D16"/>
    <w:rsid w:val="0067416D"/>
    <w:rsid w:val="00675D38"/>
    <w:rsid w:val="00681000"/>
    <w:rsid w:val="00681E5A"/>
    <w:rsid w:val="00682DC6"/>
    <w:rsid w:val="006871DE"/>
    <w:rsid w:val="00687B0F"/>
    <w:rsid w:val="006A379B"/>
    <w:rsid w:val="006A4F69"/>
    <w:rsid w:val="006B1B15"/>
    <w:rsid w:val="006B203C"/>
    <w:rsid w:val="006B3EF2"/>
    <w:rsid w:val="006B6134"/>
    <w:rsid w:val="006C1907"/>
    <w:rsid w:val="006C72D3"/>
    <w:rsid w:val="006D60C7"/>
    <w:rsid w:val="006D79DB"/>
    <w:rsid w:val="006E060B"/>
    <w:rsid w:val="006F597E"/>
    <w:rsid w:val="007102D3"/>
    <w:rsid w:val="007112B0"/>
    <w:rsid w:val="00712590"/>
    <w:rsid w:val="00724006"/>
    <w:rsid w:val="00737093"/>
    <w:rsid w:val="00754A10"/>
    <w:rsid w:val="0076370E"/>
    <w:rsid w:val="00777157"/>
    <w:rsid w:val="00780118"/>
    <w:rsid w:val="00781EB2"/>
    <w:rsid w:val="007938D8"/>
    <w:rsid w:val="00797D3A"/>
    <w:rsid w:val="007A53A6"/>
    <w:rsid w:val="007B1035"/>
    <w:rsid w:val="007B2A8D"/>
    <w:rsid w:val="007C1CFE"/>
    <w:rsid w:val="007F1719"/>
    <w:rsid w:val="007F3FF8"/>
    <w:rsid w:val="007F5BCF"/>
    <w:rsid w:val="0081498C"/>
    <w:rsid w:val="00820455"/>
    <w:rsid w:val="00823FB0"/>
    <w:rsid w:val="008246FE"/>
    <w:rsid w:val="00834EA6"/>
    <w:rsid w:val="00837254"/>
    <w:rsid w:val="0084073F"/>
    <w:rsid w:val="00860D2D"/>
    <w:rsid w:val="00861EFF"/>
    <w:rsid w:val="0086707C"/>
    <w:rsid w:val="008709C2"/>
    <w:rsid w:val="008748FA"/>
    <w:rsid w:val="00896E0C"/>
    <w:rsid w:val="008A3B97"/>
    <w:rsid w:val="008A44D5"/>
    <w:rsid w:val="008C4079"/>
    <w:rsid w:val="008E63EA"/>
    <w:rsid w:val="008F57B0"/>
    <w:rsid w:val="009031DD"/>
    <w:rsid w:val="00920ECB"/>
    <w:rsid w:val="009210B6"/>
    <w:rsid w:val="009420F5"/>
    <w:rsid w:val="00943897"/>
    <w:rsid w:val="00943F0C"/>
    <w:rsid w:val="009517CA"/>
    <w:rsid w:val="00954D00"/>
    <w:rsid w:val="00960121"/>
    <w:rsid w:val="00973650"/>
    <w:rsid w:val="009862E1"/>
    <w:rsid w:val="0099065F"/>
    <w:rsid w:val="009A0CDB"/>
    <w:rsid w:val="009A5B88"/>
    <w:rsid w:val="009C2339"/>
    <w:rsid w:val="009F619E"/>
    <w:rsid w:val="00A031B3"/>
    <w:rsid w:val="00A0484A"/>
    <w:rsid w:val="00A07A32"/>
    <w:rsid w:val="00A230AC"/>
    <w:rsid w:val="00A24F62"/>
    <w:rsid w:val="00A27FAB"/>
    <w:rsid w:val="00A35453"/>
    <w:rsid w:val="00A354DD"/>
    <w:rsid w:val="00A355AD"/>
    <w:rsid w:val="00A36A16"/>
    <w:rsid w:val="00A37002"/>
    <w:rsid w:val="00A4116F"/>
    <w:rsid w:val="00A631CD"/>
    <w:rsid w:val="00A6548C"/>
    <w:rsid w:val="00A84116"/>
    <w:rsid w:val="00A9534A"/>
    <w:rsid w:val="00AC016B"/>
    <w:rsid w:val="00AC457E"/>
    <w:rsid w:val="00AE580D"/>
    <w:rsid w:val="00AE69C9"/>
    <w:rsid w:val="00AF3DF4"/>
    <w:rsid w:val="00AF4CAC"/>
    <w:rsid w:val="00AF5610"/>
    <w:rsid w:val="00B029CC"/>
    <w:rsid w:val="00B10471"/>
    <w:rsid w:val="00B11390"/>
    <w:rsid w:val="00B25D7D"/>
    <w:rsid w:val="00B269D3"/>
    <w:rsid w:val="00B26A8B"/>
    <w:rsid w:val="00B27794"/>
    <w:rsid w:val="00B33E69"/>
    <w:rsid w:val="00B36521"/>
    <w:rsid w:val="00B5598B"/>
    <w:rsid w:val="00B55D59"/>
    <w:rsid w:val="00B67FE5"/>
    <w:rsid w:val="00B86D15"/>
    <w:rsid w:val="00B92268"/>
    <w:rsid w:val="00B93437"/>
    <w:rsid w:val="00B95715"/>
    <w:rsid w:val="00BA45C7"/>
    <w:rsid w:val="00BB67B6"/>
    <w:rsid w:val="00BD703A"/>
    <w:rsid w:val="00BE3730"/>
    <w:rsid w:val="00C0728E"/>
    <w:rsid w:val="00C235DA"/>
    <w:rsid w:val="00C30C45"/>
    <w:rsid w:val="00C33A70"/>
    <w:rsid w:val="00C35A05"/>
    <w:rsid w:val="00C40257"/>
    <w:rsid w:val="00C402DB"/>
    <w:rsid w:val="00C42092"/>
    <w:rsid w:val="00C43677"/>
    <w:rsid w:val="00C50F54"/>
    <w:rsid w:val="00C51F90"/>
    <w:rsid w:val="00C62F15"/>
    <w:rsid w:val="00C727CF"/>
    <w:rsid w:val="00C84D12"/>
    <w:rsid w:val="00C91C9B"/>
    <w:rsid w:val="00CA4735"/>
    <w:rsid w:val="00CA5834"/>
    <w:rsid w:val="00CA61AD"/>
    <w:rsid w:val="00CB0377"/>
    <w:rsid w:val="00CB06D5"/>
    <w:rsid w:val="00CB6B03"/>
    <w:rsid w:val="00CC11A6"/>
    <w:rsid w:val="00CC43A4"/>
    <w:rsid w:val="00CC75EA"/>
    <w:rsid w:val="00CD4F86"/>
    <w:rsid w:val="00CE7ED3"/>
    <w:rsid w:val="00CF0A28"/>
    <w:rsid w:val="00CF4CCF"/>
    <w:rsid w:val="00CF5790"/>
    <w:rsid w:val="00CF5856"/>
    <w:rsid w:val="00D01CBC"/>
    <w:rsid w:val="00D0584B"/>
    <w:rsid w:val="00D1101A"/>
    <w:rsid w:val="00D120B0"/>
    <w:rsid w:val="00D41FE3"/>
    <w:rsid w:val="00D53D53"/>
    <w:rsid w:val="00D57A04"/>
    <w:rsid w:val="00D60406"/>
    <w:rsid w:val="00D807A3"/>
    <w:rsid w:val="00D868CC"/>
    <w:rsid w:val="00D93B4B"/>
    <w:rsid w:val="00D95557"/>
    <w:rsid w:val="00D95E1C"/>
    <w:rsid w:val="00DA04AC"/>
    <w:rsid w:val="00DB7473"/>
    <w:rsid w:val="00DC4CD0"/>
    <w:rsid w:val="00DD14C4"/>
    <w:rsid w:val="00E3783F"/>
    <w:rsid w:val="00E5115E"/>
    <w:rsid w:val="00E52FF2"/>
    <w:rsid w:val="00E71637"/>
    <w:rsid w:val="00E75CD4"/>
    <w:rsid w:val="00E76D13"/>
    <w:rsid w:val="00E822E3"/>
    <w:rsid w:val="00EA4DB8"/>
    <w:rsid w:val="00EB28A5"/>
    <w:rsid w:val="00EB32DF"/>
    <w:rsid w:val="00EC2AA0"/>
    <w:rsid w:val="00ED137A"/>
    <w:rsid w:val="00EE151A"/>
    <w:rsid w:val="00EE4A7D"/>
    <w:rsid w:val="00F019C8"/>
    <w:rsid w:val="00F076C8"/>
    <w:rsid w:val="00F3542E"/>
    <w:rsid w:val="00F62D3F"/>
    <w:rsid w:val="00F7080C"/>
    <w:rsid w:val="00F7355D"/>
    <w:rsid w:val="00F73643"/>
    <w:rsid w:val="00F941E0"/>
    <w:rsid w:val="00FA7BBE"/>
    <w:rsid w:val="00FC1DB6"/>
    <w:rsid w:val="00FC6381"/>
    <w:rsid w:val="00FD6791"/>
    <w:rsid w:val="00FD6F0C"/>
    <w:rsid w:val="00FD74F3"/>
    <w:rsid w:val="00FF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7355D"/>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96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character" w:customStyle="1" w:styleId="Heading1Char">
    <w:name w:val="Heading 1 Char"/>
    <w:basedOn w:val="DefaultParagraphFont"/>
    <w:link w:val="Heading1"/>
    <w:uiPriority w:val="9"/>
    <w:rsid w:val="00F7355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F7355D"/>
  </w:style>
  <w:style w:type="character" w:customStyle="1" w:styleId="Heading2Char">
    <w:name w:val="Heading 2 Char"/>
    <w:basedOn w:val="DefaultParagraphFont"/>
    <w:link w:val="Heading2"/>
    <w:uiPriority w:val="9"/>
    <w:semiHidden/>
    <w:rsid w:val="00896E0C"/>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180360"/>
    <w:pPr>
      <w:spacing w:before="100" w:beforeAutospacing="1" w:after="100" w:afterAutospacing="1"/>
    </w:pPr>
    <w:rPr>
      <w:rFonts w:eastAsiaTheme="minorEastAsia"/>
    </w:rPr>
  </w:style>
  <w:style w:type="character" w:styleId="Strong">
    <w:name w:val="Strong"/>
    <w:basedOn w:val="DefaultParagraphFont"/>
    <w:uiPriority w:val="22"/>
    <w:qFormat/>
    <w:rsid w:val="00180360"/>
    <w:rPr>
      <w:b/>
      <w:bCs/>
    </w:rPr>
  </w:style>
  <w:style w:type="character" w:styleId="Emphasis">
    <w:name w:val="Emphasis"/>
    <w:basedOn w:val="DefaultParagraphFont"/>
    <w:uiPriority w:val="20"/>
    <w:qFormat/>
    <w:rsid w:val="00D41FE3"/>
    <w:rPr>
      <w:i/>
      <w:iCs/>
    </w:rPr>
  </w:style>
  <w:style w:type="character" w:customStyle="1" w:styleId="katex-mathml">
    <w:name w:val="katex-mathml"/>
    <w:basedOn w:val="DefaultParagraphFont"/>
    <w:rsid w:val="00D41FE3"/>
  </w:style>
  <w:style w:type="character" w:customStyle="1" w:styleId="mord">
    <w:name w:val="mord"/>
    <w:basedOn w:val="DefaultParagraphFont"/>
    <w:rsid w:val="00D41FE3"/>
  </w:style>
  <w:style w:type="character" w:customStyle="1" w:styleId="vlist-s">
    <w:name w:val="vlist-s"/>
    <w:basedOn w:val="DefaultParagraphFont"/>
    <w:rsid w:val="00D41FE3"/>
  </w:style>
  <w:style w:type="character" w:customStyle="1" w:styleId="mrel">
    <w:name w:val="mrel"/>
    <w:basedOn w:val="DefaultParagraphFont"/>
    <w:rsid w:val="00D41FE3"/>
  </w:style>
  <w:style w:type="character" w:customStyle="1" w:styleId="mopen">
    <w:name w:val="mopen"/>
    <w:basedOn w:val="DefaultParagraphFont"/>
    <w:rsid w:val="00D41FE3"/>
  </w:style>
  <w:style w:type="character" w:customStyle="1" w:styleId="mclose">
    <w:name w:val="mclose"/>
    <w:basedOn w:val="DefaultParagraphFont"/>
    <w:rsid w:val="00D41FE3"/>
  </w:style>
  <w:style w:type="character" w:customStyle="1" w:styleId="mbin">
    <w:name w:val="mbin"/>
    <w:basedOn w:val="DefaultParagraphFont"/>
    <w:rsid w:val="00D41FE3"/>
  </w:style>
  <w:style w:type="character" w:customStyle="1" w:styleId="mpunct">
    <w:name w:val="mpunct"/>
    <w:basedOn w:val="DefaultParagraphFont"/>
    <w:rsid w:val="00D41FE3"/>
  </w:style>
  <w:style w:type="character" w:customStyle="1" w:styleId="mtight">
    <w:name w:val="mtight"/>
    <w:basedOn w:val="DefaultParagraphFont"/>
    <w:rsid w:val="00D41FE3"/>
  </w:style>
  <w:style w:type="paragraph" w:styleId="HTMLPreformatted">
    <w:name w:val="HTML Preformatted"/>
    <w:basedOn w:val="Normal"/>
    <w:link w:val="HTMLPreformattedChar"/>
    <w:uiPriority w:val="99"/>
    <w:unhideWhenUsed/>
    <w:rsid w:val="00797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797D3A"/>
    <w:rPr>
      <w:rFonts w:ascii="Courier New" w:eastAsiaTheme="minorEastAsia" w:hAnsi="Courier New" w:cs="Courier New"/>
    </w:rPr>
  </w:style>
  <w:style w:type="character" w:styleId="HTMLCode">
    <w:name w:val="HTML Code"/>
    <w:basedOn w:val="DefaultParagraphFont"/>
    <w:uiPriority w:val="99"/>
    <w:unhideWhenUsed/>
    <w:rsid w:val="00797D3A"/>
    <w:rPr>
      <w:rFonts w:ascii="Courier New" w:eastAsiaTheme="minorEastAsia" w:hAnsi="Courier New" w:cs="Courier New"/>
      <w:sz w:val="20"/>
      <w:szCs w:val="20"/>
    </w:rPr>
  </w:style>
  <w:style w:type="character" w:customStyle="1" w:styleId="hljs-keyword">
    <w:name w:val="hljs-keyword"/>
    <w:basedOn w:val="DefaultParagraphFont"/>
    <w:rsid w:val="00797D3A"/>
  </w:style>
  <w:style w:type="character" w:customStyle="1" w:styleId="hljs-title">
    <w:name w:val="hljs-title"/>
    <w:basedOn w:val="DefaultParagraphFont"/>
    <w:rsid w:val="00797D3A"/>
  </w:style>
  <w:style w:type="character" w:customStyle="1" w:styleId="hljs-params">
    <w:name w:val="hljs-params"/>
    <w:basedOn w:val="DefaultParagraphFont"/>
    <w:rsid w:val="00797D3A"/>
  </w:style>
  <w:style w:type="character" w:customStyle="1" w:styleId="hljs-comment">
    <w:name w:val="hljs-comment"/>
    <w:basedOn w:val="DefaultParagraphFont"/>
    <w:rsid w:val="00797D3A"/>
  </w:style>
  <w:style w:type="paragraph" w:styleId="Caption">
    <w:name w:val="caption"/>
    <w:basedOn w:val="Normal"/>
    <w:next w:val="Normal"/>
    <w:unhideWhenUsed/>
    <w:qFormat/>
    <w:rsid w:val="00623F09"/>
    <w:pPr>
      <w:spacing w:after="200"/>
    </w:pPr>
    <w:rPr>
      <w:b/>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4792">
      <w:bodyDiv w:val="1"/>
      <w:marLeft w:val="0"/>
      <w:marRight w:val="0"/>
      <w:marTop w:val="0"/>
      <w:marBottom w:val="0"/>
      <w:divBdr>
        <w:top w:val="none" w:sz="0" w:space="0" w:color="auto"/>
        <w:left w:val="none" w:sz="0" w:space="0" w:color="auto"/>
        <w:bottom w:val="none" w:sz="0" w:space="0" w:color="auto"/>
        <w:right w:val="none" w:sz="0" w:space="0" w:color="auto"/>
      </w:divBdr>
    </w:div>
    <w:div w:id="101724451">
      <w:bodyDiv w:val="1"/>
      <w:marLeft w:val="0"/>
      <w:marRight w:val="0"/>
      <w:marTop w:val="0"/>
      <w:marBottom w:val="0"/>
      <w:divBdr>
        <w:top w:val="none" w:sz="0" w:space="0" w:color="auto"/>
        <w:left w:val="none" w:sz="0" w:space="0" w:color="auto"/>
        <w:bottom w:val="none" w:sz="0" w:space="0" w:color="auto"/>
        <w:right w:val="none" w:sz="0" w:space="0" w:color="auto"/>
      </w:divBdr>
    </w:div>
    <w:div w:id="280722072">
      <w:bodyDiv w:val="1"/>
      <w:marLeft w:val="0"/>
      <w:marRight w:val="0"/>
      <w:marTop w:val="0"/>
      <w:marBottom w:val="0"/>
      <w:divBdr>
        <w:top w:val="none" w:sz="0" w:space="0" w:color="auto"/>
        <w:left w:val="none" w:sz="0" w:space="0" w:color="auto"/>
        <w:bottom w:val="none" w:sz="0" w:space="0" w:color="auto"/>
        <w:right w:val="none" w:sz="0" w:space="0" w:color="auto"/>
      </w:divBdr>
      <w:divsChild>
        <w:div w:id="1628005669">
          <w:marLeft w:val="0"/>
          <w:marRight w:val="0"/>
          <w:marTop w:val="0"/>
          <w:marBottom w:val="0"/>
          <w:divBdr>
            <w:top w:val="none" w:sz="0" w:space="0" w:color="auto"/>
            <w:left w:val="none" w:sz="0" w:space="0" w:color="auto"/>
            <w:bottom w:val="none" w:sz="0" w:space="0" w:color="auto"/>
            <w:right w:val="none" w:sz="0" w:space="0" w:color="auto"/>
          </w:divBdr>
        </w:div>
      </w:divsChild>
    </w:div>
    <w:div w:id="435904277">
      <w:bodyDiv w:val="1"/>
      <w:marLeft w:val="0"/>
      <w:marRight w:val="0"/>
      <w:marTop w:val="0"/>
      <w:marBottom w:val="0"/>
      <w:divBdr>
        <w:top w:val="none" w:sz="0" w:space="0" w:color="auto"/>
        <w:left w:val="none" w:sz="0" w:space="0" w:color="auto"/>
        <w:bottom w:val="none" w:sz="0" w:space="0" w:color="auto"/>
        <w:right w:val="none" w:sz="0" w:space="0" w:color="auto"/>
      </w:divBdr>
    </w:div>
    <w:div w:id="718744020">
      <w:bodyDiv w:val="1"/>
      <w:marLeft w:val="0"/>
      <w:marRight w:val="0"/>
      <w:marTop w:val="0"/>
      <w:marBottom w:val="0"/>
      <w:divBdr>
        <w:top w:val="none" w:sz="0" w:space="0" w:color="auto"/>
        <w:left w:val="none" w:sz="0" w:space="0" w:color="auto"/>
        <w:bottom w:val="none" w:sz="0" w:space="0" w:color="auto"/>
        <w:right w:val="none" w:sz="0" w:space="0" w:color="auto"/>
      </w:divBdr>
    </w:div>
    <w:div w:id="799960644">
      <w:bodyDiv w:val="1"/>
      <w:marLeft w:val="0"/>
      <w:marRight w:val="0"/>
      <w:marTop w:val="0"/>
      <w:marBottom w:val="0"/>
      <w:divBdr>
        <w:top w:val="none" w:sz="0" w:space="0" w:color="auto"/>
        <w:left w:val="none" w:sz="0" w:space="0" w:color="auto"/>
        <w:bottom w:val="none" w:sz="0" w:space="0" w:color="auto"/>
        <w:right w:val="none" w:sz="0" w:space="0" w:color="auto"/>
      </w:divBdr>
    </w:div>
    <w:div w:id="1244220138">
      <w:bodyDiv w:val="1"/>
      <w:marLeft w:val="0"/>
      <w:marRight w:val="0"/>
      <w:marTop w:val="0"/>
      <w:marBottom w:val="0"/>
      <w:divBdr>
        <w:top w:val="none" w:sz="0" w:space="0" w:color="auto"/>
        <w:left w:val="none" w:sz="0" w:space="0" w:color="auto"/>
        <w:bottom w:val="none" w:sz="0" w:space="0" w:color="auto"/>
        <w:right w:val="none" w:sz="0" w:space="0" w:color="auto"/>
      </w:divBdr>
    </w:div>
    <w:div w:id="1603881383">
      <w:bodyDiv w:val="1"/>
      <w:marLeft w:val="0"/>
      <w:marRight w:val="0"/>
      <w:marTop w:val="0"/>
      <w:marBottom w:val="0"/>
      <w:divBdr>
        <w:top w:val="none" w:sz="0" w:space="0" w:color="auto"/>
        <w:left w:val="none" w:sz="0" w:space="0" w:color="auto"/>
        <w:bottom w:val="none" w:sz="0" w:space="0" w:color="auto"/>
        <w:right w:val="none" w:sz="0" w:space="0" w:color="auto"/>
      </w:divBdr>
    </w:div>
    <w:div w:id="1707287827">
      <w:bodyDiv w:val="1"/>
      <w:marLeft w:val="0"/>
      <w:marRight w:val="0"/>
      <w:marTop w:val="0"/>
      <w:marBottom w:val="0"/>
      <w:divBdr>
        <w:top w:val="none" w:sz="0" w:space="0" w:color="auto"/>
        <w:left w:val="none" w:sz="0" w:space="0" w:color="auto"/>
        <w:bottom w:val="none" w:sz="0" w:space="0" w:color="auto"/>
        <w:right w:val="none" w:sz="0" w:space="0" w:color="auto"/>
      </w:divBdr>
    </w:div>
    <w:div w:id="1898394616">
      <w:bodyDiv w:val="1"/>
      <w:marLeft w:val="0"/>
      <w:marRight w:val="0"/>
      <w:marTop w:val="0"/>
      <w:marBottom w:val="0"/>
      <w:divBdr>
        <w:top w:val="none" w:sz="0" w:space="0" w:color="auto"/>
        <w:left w:val="none" w:sz="0" w:space="0" w:color="auto"/>
        <w:bottom w:val="none" w:sz="0" w:space="0" w:color="auto"/>
        <w:right w:val="none" w:sz="0" w:space="0" w:color="auto"/>
      </w:divBdr>
    </w:div>
    <w:div w:id="2033921694">
      <w:bodyDiv w:val="1"/>
      <w:marLeft w:val="0"/>
      <w:marRight w:val="0"/>
      <w:marTop w:val="0"/>
      <w:marBottom w:val="0"/>
      <w:divBdr>
        <w:top w:val="none" w:sz="0" w:space="0" w:color="auto"/>
        <w:left w:val="none" w:sz="0" w:space="0" w:color="auto"/>
        <w:bottom w:val="none" w:sz="0" w:space="0" w:color="auto"/>
        <w:right w:val="none" w:sz="0" w:space="0" w:color="auto"/>
      </w:divBdr>
    </w:div>
    <w:div w:id="2039305844">
      <w:bodyDiv w:val="1"/>
      <w:marLeft w:val="0"/>
      <w:marRight w:val="0"/>
      <w:marTop w:val="0"/>
      <w:marBottom w:val="0"/>
      <w:divBdr>
        <w:top w:val="none" w:sz="0" w:space="0" w:color="auto"/>
        <w:left w:val="none" w:sz="0" w:space="0" w:color="auto"/>
        <w:bottom w:val="none" w:sz="0" w:space="0" w:color="auto"/>
        <w:right w:val="none" w:sz="0" w:space="0" w:color="auto"/>
      </w:divBdr>
    </w:div>
    <w:div w:id="2057194109">
      <w:bodyDiv w:val="1"/>
      <w:marLeft w:val="0"/>
      <w:marRight w:val="0"/>
      <w:marTop w:val="0"/>
      <w:marBottom w:val="0"/>
      <w:divBdr>
        <w:top w:val="none" w:sz="0" w:space="0" w:color="auto"/>
        <w:left w:val="none" w:sz="0" w:space="0" w:color="auto"/>
        <w:bottom w:val="none" w:sz="0" w:space="0" w:color="auto"/>
        <w:right w:val="none" w:sz="0" w:space="0" w:color="auto"/>
      </w:divBdr>
    </w:div>
    <w:div w:id="2144078474">
      <w:bodyDiv w:val="1"/>
      <w:marLeft w:val="0"/>
      <w:marRight w:val="0"/>
      <w:marTop w:val="0"/>
      <w:marBottom w:val="0"/>
      <w:divBdr>
        <w:top w:val="none" w:sz="0" w:space="0" w:color="auto"/>
        <w:left w:val="none" w:sz="0" w:space="0" w:color="auto"/>
        <w:bottom w:val="none" w:sz="0" w:space="0" w:color="auto"/>
        <w:right w:val="none" w:sz="0" w:space="0" w:color="auto"/>
      </w:divBdr>
      <w:divsChild>
        <w:div w:id="1735394557">
          <w:marLeft w:val="0"/>
          <w:marRight w:val="0"/>
          <w:marTop w:val="0"/>
          <w:marBottom w:val="0"/>
          <w:divBdr>
            <w:top w:val="none" w:sz="0" w:space="0" w:color="auto"/>
            <w:left w:val="none" w:sz="0" w:space="0" w:color="auto"/>
            <w:bottom w:val="none" w:sz="0" w:space="0" w:color="auto"/>
            <w:right w:val="none" w:sz="0" w:space="0" w:color="auto"/>
          </w:divBdr>
        </w:div>
        <w:div w:id="980039704">
          <w:marLeft w:val="0"/>
          <w:marRight w:val="0"/>
          <w:marTop w:val="0"/>
          <w:marBottom w:val="0"/>
          <w:divBdr>
            <w:top w:val="none" w:sz="0" w:space="0" w:color="auto"/>
            <w:left w:val="none" w:sz="0" w:space="0" w:color="auto"/>
            <w:bottom w:val="none" w:sz="0" w:space="0" w:color="auto"/>
            <w:right w:val="none" w:sz="0" w:space="0" w:color="auto"/>
          </w:divBdr>
        </w:div>
        <w:div w:id="186913375">
          <w:marLeft w:val="0"/>
          <w:marRight w:val="0"/>
          <w:marTop w:val="0"/>
          <w:marBottom w:val="0"/>
          <w:divBdr>
            <w:top w:val="none" w:sz="0" w:space="0" w:color="auto"/>
            <w:left w:val="none" w:sz="0" w:space="0" w:color="auto"/>
            <w:bottom w:val="none" w:sz="0" w:space="0" w:color="auto"/>
            <w:right w:val="none" w:sz="0" w:space="0" w:color="auto"/>
          </w:divBdr>
        </w:div>
        <w:div w:id="255987570">
          <w:marLeft w:val="0"/>
          <w:marRight w:val="0"/>
          <w:marTop w:val="0"/>
          <w:marBottom w:val="0"/>
          <w:divBdr>
            <w:top w:val="none" w:sz="0" w:space="0" w:color="auto"/>
            <w:left w:val="none" w:sz="0" w:space="0" w:color="auto"/>
            <w:bottom w:val="none" w:sz="0" w:space="0" w:color="auto"/>
            <w:right w:val="none" w:sz="0" w:space="0" w:color="auto"/>
          </w:divBdr>
          <w:divsChild>
            <w:div w:id="1044250760">
              <w:marLeft w:val="0"/>
              <w:marRight w:val="0"/>
              <w:marTop w:val="0"/>
              <w:marBottom w:val="0"/>
              <w:divBdr>
                <w:top w:val="none" w:sz="0" w:space="0" w:color="auto"/>
                <w:left w:val="none" w:sz="0" w:space="0" w:color="auto"/>
                <w:bottom w:val="none" w:sz="0" w:space="0" w:color="auto"/>
                <w:right w:val="none" w:sz="0" w:space="0" w:color="auto"/>
              </w:divBdr>
              <w:divsChild>
                <w:div w:id="6460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2010</b:Year>
    <b:BIBTEX_Entry>misc</b:BIBTEX_Entry>
    <b:SourceType>Misc</b:SourceType>
    <b:Title>Dapper, a large-scale distributed systems tracing infrastructure</b:Title>
    <b:Tag>Sigelman2010</b:Tag>
    <b:URL>https://www.semanticscholar.org/paper/Dapper,-a-Large-Scale-Distributed-Systems-Tracing-Sigelman-Barroso/003d5a65de0ac72daaf105ded903cb3eb88585b3</b:URL>
    <b:Author>
      <b:Author>
        <b:NameList>
          <b:Person>
            <b:Last>Sigelman</b:Last>
            <b:Middle>H.</b:Middle>
            <b:First>Benjamin</b:First>
          </b:Person>
          <b:Person>
            <b:Last>Barroso</b:Last>
            <b:Middle>Andre</b:Middle>
            <b:First>Luiz</b:First>
          </b:Person>
          <b:Person>
            <b:Last>Burrows</b:Last>
            <b:First>Michael</b:First>
          </b:Person>
          <b:Person>
            <b:Last>Stephenson</b:Last>
            <b:First>Patrick</b:First>
          </b:Person>
          <b:Person>
            <b:Last>Plakal</b:Last>
            <b:First>Manoj</b:First>
          </b:Person>
          <b:Person>
            <b:Last>Beaver</b:Last>
            <b:First>Donald</b:First>
          </b:Person>
          <b:Person>
            <b:Last>Shanbhag</b:Last>
            <b:Middle>Kumar</b:Middle>
            <b:First>Chandan</b:First>
          </b:Person>
          <b:Person>
            <b:Last>Jaspan</b:Last>
            <b:First>Saul</b:First>
          </b:Person>
          <b:Person>
            <b:Last>Shanbhag</b:Last>
            <b:Middle>Kumar</b:Middle>
            <b:First>Chandan</b:First>
          </b:Person>
        </b:NameList>
      </b:Author>
    </b:Author>
    <b:PublicationTitle>Dapper, a large-scale distributed systems tracing infrastructure</b:PublicationTitle>
    <b:RefOrder>1</b:RefOrder>
  </b:Source>
  <b:Source>
    <b:Year>2017</b:Year>
    <b:BIBTEX_Entry>article</b:BIBTEX_Entry>
    <b:SourceType>JournalArticle</b:SourceType>
    <b:Title>Membership inference attacks against machine learning models</b:Title>
    <b:BIBTEX_Abstract>We quantitatively investigate how machine learning models leak information about the individual data records on which they were trained. We focus on the basic membership inference attack: given a data record and black-box access to a model, determine if the record was in the model's training dataset. To perform membership inference against a target model, we make adversarial use of machine learning and train our own inference model to recognize differences in the target model's predictions on the inputs that it trained on versus the inputs that it did not train on. We empirically evaluate our inference techniques on classification models trained by commercial 'machine learning as a service' providers such as Google and Amazon. Using realistic datasets and classification tasks, including a hospital discharge dataset whose membership is sensitive from the privacy perspective, we show that these models can be vulnerable to membership inference attacks. We then investigate the factors that influence this leakage and evaluate mitigation strategies.</b:BIBTEX_Abstract>
    <b:Tag>Shokri2017</b:Tag>
    <b:Publisher>of Electrical, Institute and Inc., Electronics Engineers</b:Publisher>
    <b:DOI>10.1109/SP.2017.41</b:DOI>
    <b:Author>
      <b:Author>
        <b:NameList>
          <b:Person>
            <b:Last>Shokri</b:Last>
            <b:First>Reza</b:First>
          </b:Person>
          <b:Person>
            <b:Last>Stronati</b:Last>
            <b:First>Marco</b:First>
          </b:Person>
          <b:Person>
            <b:Last>Song</b:Last>
            <b:First>Congzheng</b:First>
          </b:Person>
          <b:Person>
            <b:Last>Shmatikov</b:Last>
            <b:First>Vitaly</b:First>
          </b:Person>
        </b:NameList>
      </b:Author>
    </b:Author>
    <b:Pages>3–18</b:Pages>
    <b:Month>March</b:Month>
    <b:JournalName>Proceedings - IEEE Symposium on Security and Privacy</b:JournalName>
    <b:StandardNumber> ISBN: 9781509055326 ISSN: 1081-6011</b:StandardNumber>
    <b:RefOrder>2</b:RefOrder>
  </b:Source>
  <b:Source>
    <b:Issue>9</b:Issue>
    <b:Year>1975</b:Year>
    <b:Volume>63</b:Volume>
    <b:BIBTEX_Entry>article</b:BIBTEX_Entry>
    <b:SourceType>JournalArticle</b:SourceType>
    <b:Title>The protection of information in computer systems</b:Title>
    <b:BIBTEX_Abstract>This tutorial paper explores the mechanics of protecting computer-stored information from unauthorized use or modification. It concentrates on those architectural structures-whether hardware or software-that are necessary to support information protection. The paper develops in three main sections. Section I describes desired functions, design principles, and examples of elementary protection and authentication mechanisms. Any reader familiar with computers should find the first section to be reasonably accessible. Section II requires some familiarity with descriptor-based computer architecture. It examines in depth the principles of modern protection architectures and the relation between capability systems and access control list systems, and ends with a brief analysis of protected subsystems and protected objects. The reader who is dismayed by either the prerequisites or the level of detail in the second section may wish to skip to Section III, which reviews the state of the art and current research projects and provides suggestions for further reading. © 1975, IEEE. All rights reserved.</b:BIBTEX_Abstract>
    <b:Tag>Saltzer1975</b:Tag>
    <b:Publisher>of Electrical, Institute and (IEEE), Electronics Engineers</b:Publisher>
    <b:BIBTEX_KeyWords>Protection;Authorization;Permission;Access control;Terminology;Data security;Information security;Computer architecture;Modems</b:BIBTEX_KeyWords>
    <b:URL>http://ieeexplore.ieee.org/document/1451869/</b:URL>
    <b:DOI>10.1109/PROC.1975.9939</b:DOI>
    <b:Author>
      <b:Author>
        <b:NameList>
          <b:Person>
            <b:Last>Saltzer</b:Last>
            <b:Middle>H.</b:Middle>
            <b:First>J.</b:First>
          </b:Person>
          <b:Person>
            <b:Last>Schroeder</b:Last>
            <b:Middle>D.</b:Middle>
            <b:First>M.</b:First>
          </b:Person>
        </b:NameList>
      </b:Author>
    </b:Author>
    <b:Pages>1278–1308</b:Pages>
    <b:JournalName>Proceedings of the IEEE</b:JournalName>
    <b:Number>9</b:Number>
    <b:StandardNumber> ISSN: 0018-9219</b:StandardNumber>
    <b:RefOrder>3</b:RefOrder>
  </b:Source>
  <b:Source>
    <b:Year>2003</b:Year>
    <b:BIBTEX_Entry>techreport</b:BIBTEX_Entry>
    <b:SourceType>Report</b:SourceType>
    <b:Title>Capability myths demolished</b:Title>
    <b:BIBTEX_Abstract>We address three common misconceptions about capability-based systems: the Equivalence Myth (access control list systems and capability systems are formally equivalent), the Confinement Myth (capability systems cannot enforce confinement), and the Irrevocability Myth (capability-based access cannot be revoked). The Equivalence Myth obscures the benefits of capabilities as compared to access control lists, while the Confinement Myth and the Irrevocability Myth lead people to see problems with capabilities that do not actually exist. The prevalence of these myths is due to differing interpretations of the capability security model. To clear up the confusion, we examine three different models that have been used to describe capabilities, and define a set of seven security properties that capture the distinctions among them. Our analysis in terms of these properties shows that pure capability systems have significant advantages over access control list systems: capabilities provide much better support for least-privilege operation and for avoiding confused deputy problems.</b:BIBTEX_Abstract>
    <b:Tag>Miller2003</b:Tag>
    <b:URL>https://api.semanticscholar.org/CorpusID:9456299</b:URL>
    <b:Author>
      <b:Author>
        <b:NameList>
          <b:Person>
            <b:Last>Miller</b:Last>
            <b:Middle>S.</b:Middle>
            <b:First>Mark</b:First>
          </b:Person>
          <b:Person>
            <b:Last>Yee</b:Last>
            <b:First>Ka-Ping</b:First>
          </b:Person>
          <b:Person>
            <b:Last>Shapiro</b:Last>
            <b:First>Jonathan</b:First>
          </b:Person>
        </b:NameList>
      </b:Author>
    </b:Author>
    <b:ThesisType>Tech. rep.</b:ThesisType>
    <b:RefOrder>4</b:RefOrder>
  </b:Source>
  <b:Source>
    <b:Year>2014</b:Year>
    <b:BIBTEX_Entry>article</b:BIBTEX_Entry>
    <b:SourceType>JournalArticle</b:SourceType>
    <b:Title>Docker: lightweight linux containers for consistent development and deployment</b:Title>
    <b:Tag>Merkel2014</b:Tag>
    <b:URL>https://api.semanticscholar.org/CorpusID:62479797</b:URL>
    <b:Author>
      <b:Author>
        <b:NameList>
          <b:Person>
            <b:Last>Merkel</b:Last>
            <b:First>Dirk</b:First>
          </b:Person>
        </b:NameList>
      </b:Author>
    </b:Author>
    <b:Pages>2</b:Pages>
    <b:JournalName>Linux Journal</b:JournalName>
    <b:RefOrder>5</b:RefOrder>
  </b:Source>
  <b:Source>
    <b:Year>2012</b:Year>
    <b:BIBTEX_Series>Engineering systems</b:BIBTEX_Series>
    <b:BIBTEX_Entry>article</b:BIBTEX_Entry>
    <b:Comments>Literaturverzeichnis: Seiten [521]-529</b:Comments>
    <b:SourceType>JournalArticle</b:SourceType>
    <b:Title>Engineering a safer world: systems thinking applied to safety</b:Title>
    <b:BIBTEX_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b:BIBTEX_Abstract>
    <b:Tag>Leveson2012</b:Tag>
    <b:Publisher>Press, The M. I. T.</b:Publisher>
    <b:Edition>New paperback edition</b:Edition>
    <b:URL>https://direct.mit.edu/books/oa-monograph/2908/Engineering-a-Safer-WorldSystems-Thinking-Applied</b:URL>
    <b:DOI>10.7551/mitpress/8179.001.0001</b:DOI>
    <b:Author>
      <b:Author>
        <b:NameList>
          <b:Person>
            <b:Last>Leveson</b:Last>
            <b:Middle>G.</b:Middle>
            <b:First>Nancy</b:First>
          </b:Person>
        </b:NameList>
      </b:Author>
    </b:Author>
    <b:Month>January</b:Month>
    <b:JournalName>Engineering a Safer World</b:JournalName>
    <b:StandardNumber> ISBN: 9780262298247</b:StandardNumber>
    <b:City>Cambridge</b:City>
    <b:StateProvince>Massachusetts</b:StateProvince>
    <b:CountryRegion/>
    <b:RefOrder>6</b:RefOrder>
  </b:Source>
  <b:Source>
    <b:Year>2024</b:Year>
    <b:BIBTEX_Entry>electronic</b:BIBTEX_Entry>
    <b:SourceType>ElectronicSource</b:SourceType>
    <b:Title>Implementing kubernetes pod security standards</b:Title>
    <b:BIBTEX_HowPublished>DEV Community</b:BIBTEX_HowPublished>
    <b:Tag>Levan2024</b:Tag>
    <b:BIBTEX_KeyWords>programming,cybersecurity,kubernetes</b:BIBTEX_KeyWords>
    <b:URL>https://dev.to/thenjdevopsguy/implementing-kubernetes-pod-security-standards-4aco</b:URL>
    <b:Author>
      <b:Author>
        <b:NameList>
          <b:Person>
            <b:Last>Levan</b:Last>
            <b:First>Michael</b:First>
          </b:Person>
        </b:NameList>
      </b:Author>
    </b:Author>
    <b:Month>July</b:Month>
    <b:RefOrder>7</b:RefOrder>
  </b:Source>
  <b:Source>
    <b:Issue>6</b:Issue>
    <b:Year>2004</b:Year>
    <b:Volume>37</b:Volume>
    <b:BIBTEX_Entry>article</b:BIBTEX_Entry>
    <b:SourceType>JournalArticle</b:SourceType>
    <b:Title>Computer security in the real world</b:Title>
    <b:Tag>Lampson2004</b:Tag>
    <b:Publisher>of Electrical, Institute and (IEEE), Electronics Engineers</b:Publisher>
    <b:URL>https://ieeexplore.ieee.org/document/1306384</b:URL>
    <b:DOI>10.1109/mc.2004.17</b:DOI>
    <b:Author>
      <b:Author>
        <b:NameList>
          <b:Person>
            <b:Last>Lampson</b:Last>
            <b:Middle>W.</b:Middle>
            <b:First>B.</b:First>
          </b:Person>
        </b:NameList>
      </b:Author>
    </b:Author>
    <b:Pages>37–46</b:Pages>
    <b:Month>June</b:Month>
    <b:JournalName>Computer</b:JournalName>
    <b:Number>6</b:Number>
    <b:StandardNumber> ISSN: 0018-9162</b:StandardNumber>
    <b:RefOrder>8</b:RefOrder>
  </b:Source>
  <b:Source>
    <b:Year>2020</b:Year>
    <b:BIBTEX_Entry>book</b:BIBTEX_Entry>
    <b:SourceType>Book</b:SourceType>
    <b:Title>Nist sp 800-53 rev. 5 . Security and privacy controls for information systems and organizations</b:Title>
    <b:BIBTEX_Abstract>This publication provides a catalog of security and privacy controls for information systems and organizations to protect organizational operations and assets, individuals, other organizations, and the Nation from a diverse set of threats and risks, including hostile attacks, human errors, natural disasters, structural failures, foreign intelligence entities, and privacy risks. The controls are flexible and customizable and implemented as part of an organization-wide process to manage risk. The controls address diverse requirements derived from mission and business needs, laws, executive orders, directives, regulations, policies, standards, and guidelines. Finally, the consolidated control catalog addresses security and privacy from a functionality perspective (i.e., the strength of functions and mechanisms provided by the controls) and from an assurance perspective (i.e., the measure of confidence in the security or privacy capability provided by the controls). Addressing functionality and assurance helps to ensure that information technology products and the systems that rely on those products are sufficiently trustworthy.</b:BIBTEX_Abstract>
    <b:Tag>Force2020</b:Tag>
    <b:Publisher>of Standards, National Institute and Technology</b:Publisher>
    <b:BIBTEX_KeyWords>FISMA,Privacy Act,Risk Management Framework,assurance,availability,computer security,confidentiality,control,cybersecurity,information security,information system,integrity,personally identifiable information,privacy controls,privacy functions,privacy requirements,security controls,security functions,security requirements,system,system security</b:BIBTEX_KeyWords>
    <b:URL>https://csrc.nist.gov/pubs/sp/800/53/r5/upd1/final</b:URL>
    <b:DOI>10.6028/NIST.SP.800-53r5</b:DOI>
    <b:Author>
      <b:Author>
        <b:NameList>
          <b:Person>
            <b:Last>Force</b:Last>
            <b:Middle>I. S. T. Joint Task</b:Middle>
            <b:First>N.</b:First>
          </b:Person>
        </b:NameList>
      </b:Author>
    </b:Author>
    <b:Month>September</b:Month>
    <b:JournalName>National Institute of Standards and Technology</b:JournalName>
    <b:RefOrder>9</b:RefOrder>
  </b:Source>
  <b:Source>
    <b:Year>2021</b:Year>
    <b:BIBTEX_Entry>article</b:BIBTEX_Entry>
    <b:Comments>Online resource; title from title details screen (O'Reilly, viewed February 28, 2023)</b:Comments>
    <b:SourceType>JournalArticle</b:SourceType>
    <b:Title>Monitoring distributed systems</b:Title>
    <b:ChapterNumber>6</b:ChapterNumber>
    <b:BIBTEX_Abstract>Monitoring is an essential part of a modern production system. If you can't monitor a service, you don't know what's happening, and if you're blind to what's happening, your service can't be reliable. In this excerpt from O'Reilly's book Site Reliability Engineering , you'll learn how and what to monitor, using implementation-agnostic best practices. Author Rob Ewaschuk explains basic principles and best practices that he and other members of Google's Site Reliability Engineering (SRE) teams use for building successful monitoring and alerting systems. You'll learn guidelines for determining which issues are serious enough to involve human intervention, and how to deal with issues that aren't. Complete with case studies describing monitoring efforts with Bigtable and Gmail, this article helps you ask the right questions–regardless of your organization's size or the complexity of your service or system. About the author: Rob Ewaschuk is a Staff Software Engineer at Google. He has a strong working background in high-availability, low-latency, many-petabyte globally distributed data storage and serving systems. About Site Reliability Engineering : This book is a collection of essays and articles written by key members of Google's Site Reliability Teams (SRT). You'll learn the principles and practices that enable Google engineers to make systems more scalable, reliable, and efficient–lessons you can apply directly to your organization.</b:BIBTEX_Abstract>
    <b:Tag>Ewaschuk2021</b:Tag>
    <b:Publisher>Media, O. Reilly</b:Publisher>
    <b:BookTitle>Site Reliability Engineering</b:BookTitle>
    <b:Edition>First</b:Edition>
    <b:URL>https://www.oreilly.com/library/view/site-reliability-engineering/9781491929117/ch06.html</b:URL>
    <b:Author>
      <b:Author>
        <b:NameList>
          <b:Person>
            <b:Last>Ewaschuk</b:Last>
            <b:First>Rob</b:First>
          </b:Person>
        </b:NameList>
      </b:Author>
      <b:Editor>
        <b:NameList>
          <b:Person>
            <b:Last>Beyer</b:Last>
            <b:First>Betsy</b:First>
          </b:Person>
          <b:Person>
            <b:Last>Jones</b:Last>
            <b:First>Jennifer</b:First>
          </b:Person>
          <b:Person>
            <b:Last>Murphy</b:Last>
            <b:Middle>Richard</b:Middle>
            <b:First>Niall</b:First>
          </b:Person>
          <b:Person>
            <b:Last>Liz</b:Last>
            <b:First>Porter.</b:First>
          </b:Person>
        </b:NameList>
      </b:Editor>
    </b:Author>
    <b:StandardNumber> ISBN: 9781491929117</b:StandardNumber>
    <b:ConferenceName>Site Reliability Engineering</b:ConferenceName>
    <b:RefOrder>10</b:RefOrder>
  </b:Source>
  <b:Source>
    <b:BIBTEX_Copyright>Creative Commons Attribution 4.0 International</b:BIBTEX_Copyright>
    <b:Year>2019</b:Year>
    <b:BIBTEX_Entry>article</b:BIBTEX_Entry>
    <b:SourceType>JournalArticle</b:SourceType>
    <b:Title>Reward tampering problems and solutions in reinforcement learning: a causal influence diagram perspective</b:Title>
    <b:BIBTEX_Abstract>Can humans get arbitrarily capable reinforcement learning (RL) agents to do their bidding? Or will sufficiently capable RL agents always find ways to bypass their intended objectives by shortcutting their reward signal? This question impacts how far RL can be scaled, and whether alternative paradigms must be developed in order to build safe artificial general intelligence. In this paper, we study when an RL agent has an instrumental goal to tamper with its reward process, and describe design principles that prevent instrumental goals for two different types of reward tampering (reward function tampering and RF-input tampering). Combined, the design principles can prevent both types of reward tampering from being instrumental goals. The analysis benefits from causal influence diagrams to provide intuitive yet precise formalizations.</b:BIBTEX_Abstract>
    <b:Tag>Everitt2019</b:Tag>
    <b:Publisher>arXiv</b:Publisher>
    <b:BIBTEX_KeyWords>Artificial Intelligence (cs.AI), Machine Learning (cs.LG), FOS: Computer and information sciences</b:BIBTEX_KeyWords>
    <b:DOI>10.48550/ARXIV.1908.04734</b:DOI>
    <b:Author>
      <b:Author>
        <b:NameList>
          <b:Person>
            <b:Last>Everitt</b:Last>
            <b:First>Tom</b:First>
          </b:Person>
          <b:Person>
            <b:Last>Hutter</b:Last>
            <b:First>Marcus</b:First>
          </b:Person>
          <b:Person>
            <b:Last>Kumar</b:Last>
            <b:First>Ramana</b:First>
          </b:Person>
          <b:Person>
            <b:Last>Krakovna</b:Last>
            <b:First>Victoria</b:First>
          </b:Person>
        </b:NameList>
      </b:Author>
    </b:Author>
    <b:Month>August</b:Month>
    <b:RefOrder>11</b:RefOrder>
  </b:Source>
  <b:Source>
    <b:Issue>3-4</b:Issue>
    <b:Year>2013</b:Year>
    <b:Volume>9</b:Volume>
    <b:BIBTEX_Entry>misc</b:BIBTEX_Entry>
    <b:SourceType>Misc</b:SourceType>
    <b:Title>The algorithmic foundations of differential privacy</b:Title>
    <b:BIBTEX_Abstract>The problem of privacy-preserving data analysis has a long history spanning multiple disciplines. As electronic data about individuals becomes increasingly detailed, and as technology enables ever more powerful collection and curation of these data, the need increases for a robust, meaningful, and mathematically rigorous definition of privacy, together with a computationally rich class of algorithms that satisfy this definition. Differential Privacy is such a definition. After motivating and discussing the meaning of differential privacy, the preponderance of this monograph is devoted to fundamental techniques for achieving differential privacy, and application of these techniques in creative combinations, using the query-release problem as an ongoing example. A key point is that, by rethinking the computational goal, one can often obtain far better results than would be achieved by methodically replacing each step of a non-private computation with a differentially private implementation. Despite some astonishingly powerful computational results, there are still fundamental limitations - not just on what can be achieved with differential privacy but on what can be achieved with any method that protects against a complete breakdown in privacy. Virtually all the algorithms discussed herein maintain differential privacy against adversaries of arbitrary computational power. Certain algorithms are computationally intensive, others are efficient. Computational complexity for the adversary and the algorithm are both discussed. We then turn from fundamentals to applications other than queryrelease, discussing differentially private methods for mechanism design and machine learning. The vast majority of the literature on differentially private algorithms considers a single, static, database that is subject to many analyses. Differential privacy in other models, including distributed databases and computations on data streams is discussed. Finally, we note that this work is meant as a thorough introduction to the problems and techniques of differential privacy, but is not intended to be an exhaustive survey- there is by now a vast amount of work in differential privacy, and we can cover only a small portion of it. © 2014 C. Dwork and A. Roth.</b:BIBTEX_Abstract>
    <b:Tag>Dwork2013</b:Tag>
    <b:Publisher>Publishing, Emerald</b:Publisher>
    <b:DOI>10.1561/0400000042</b:DOI>
    <b:Author>
      <b:Author>
        <b:NameList>
          <b:Person>
            <b:Last>Dwork</b:Last>
            <b:First>Cynthia</b:First>
          </b:Person>
          <b:Person>
            <b:Last>Roth</b:Last>
            <b:First>Aaron</b:First>
          </b:Person>
        </b:NameList>
      </b:Author>
    </b:Author>
    <b:Pages>211–487</b:Pages>
    <b:Month>August</b:Month>
    <b:JournalName>Foundations and Trends in Theoretical Computer Science</b:JournalName>
    <b:StandardNumber> ISSN: 1551-3068</b:StandardNumber>
    <b:PublicationTitle>The algorithmic foundations of differential privacy</b:PublicationTitle>
    <b:RefOrder>12</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b:BIBTEX_KeyWords>
    <b:DOI>10.48550/ARXIV.1702.08608</b:DOI>
    <b:Author>
      <b:Author>
        <b:NameList>
          <b:Person>
            <b:Last>Doshi-Velez</b:Last>
            <b:First>Finale</b:First>
          </b:Person>
          <b:Person>
            <b:Last>Kim</b:Last>
            <b:First>Been</b:First>
          </b:Person>
        </b:NameList>
      </b:Author>
    </b:Author>
    <b:Month>February</b:Month>
    <b:JournalName>arXiv: Machine Learning</b:JournalName>
    <b:RefOrder>13</b:RefOrder>
  </b:Source>
  <b:Source>
    <b:Year>2023</b:Year>
    <b:BIBTEX_Entry>electronic</b:BIBTEX_Entry>
    <b:SourceType>ElectronicSource</b:SourceType>
    <b:Title>Understanding kubernetes pod security standards</b:Title>
    <b:BIBTEX_Abstract>Kubernetes “crossed the adoption chasm” in 2021 after 5.6 million developers used it to orchestrate their containers, according to the Cloud Native Computing Federation (CNCF). The annual CNCF survey recorded that an impressive 96% of organizations were either contemplating or outright using Kubernetes.
However, Kubernetes becomes more appealing to hackers and malefactors as it becomes more popular. As developers flock to Kubernetes as the go-to container orchestration platform, they must also make sure to use it securely.
Kubernetes Pod Security Standards are a key way to maintain Kubernetes security, containing three cumulative policies spanning from completely strict to fairly open security measures. Let’s delve into what the Kubernetes Pod Security Standards are, examine how the Pod Security admission controller enforces the standards, and explore use cases for each policy.</b:BIBTEX_Abstract>
    <b:Tag>Dino2023</b:Tag>
    <b:URL>https://snyk.io/blog/understanding-kubernetes-pod-security-standards/</b:URL>
    <b:Author>
      <b:Author>
        <b:NameList>
          <b:Person>
            <b:Last>Dino</b:Last>
            <b:First>Gino</b:First>
          </b:Person>
        </b:NameList>
      </b:Author>
    </b:Author>
    <b:Month>June</b:Month>
    <b:RefOrder>14</b:RefOrder>
  </b:Source>
  <b:Source>
    <b:BIBTEX_Entry>electronic</b:BIBTEX_Entry>
    <b:SourceType>ElectronicSource</b:SourceType>
    <b:Title>Vault secrets security model</b:Title>
    <b:BIBTEX_HowPublished>HashiCorp Cloud Platform</b:BIBTEX_HowPublished>
    <b:Tag>Developer</b:Tag>
    <b:URL>https://developer.hashicorp.com/hcp/docs/vault-secrets/security-model</b:URL>
    <b:Author>
      <b:Author>
        <b:NameList>
          <b:Person>
            <b:Last>Developer</b:Last>
            <b:First>HashiCorp</b:First>
          </b:Person>
        </b:NameList>
      </b:Author>
    </b:Author>
    <b:RefOrder>15</b:RefOrder>
  </b:Source>
  <b:Source>
    <b:BIBTEX_Entry>misc</b:BIBTEX_Entry>
    <b:SourceType>Misc</b:SourceType>
    <b:Title>Google cloud well-architected framework documentation</b:Title>
    <b:BIBTEX_Abstract>The Well-Architected Framework provides recommendations to help architects, developers, administrators, and other cloud practitioners design and operate a cloud topology that's secure, efficient, resilient, high-performing, cost-effective, and sustainable.
A cross-functional team of experts at Google validates the recommendations in the Well-Architected Framework. The team curates the Well-Architected Framework to reflect the expanding capabilities of Google Cloud, industry best practices, community knowledge, and feedback from you. For a summary of the significant changes to the Well-Architected Framework, see What's new.
The Well-Architected Framework is relevant to applications built for the cloud and for workloads migrated from on-premises to Google Cloud, hybrid cloud deployments, and multi-cloud environments.</b:BIBTEX_Abstract>
    <b:Tag>Cloud</b:Tag>
    <b:URL>https://docs.cloud.google.com/architecture/framework/printable</b:URL>
    <b:Author>
      <b:Author>
        <b:NameList>
          <b:Person>
            <b:Last>Cloud</b:Last>
            <b:First>Google</b:First>
          </b:Person>
        </b:NameList>
      </b:Author>
    </b:Author>
    <b:JournalName>Cloud Architecture Center</b:JournalName>
    <b:PublicationTitle>Google cloud well-architected framework documentation</b:PublicationTitle>
    <b:RefOrder>16</b:RefOrder>
  </b:Source>
  <b:Source>
    <b:Year>2010</b:Year>
    <b:BIBTEX_Entry>book</b:BIBTEX_Entry>
    <b:SourceType>Book</b:SourceType>
    <b:Title>Cyber war : the next threat to national security and what to do about it</b:Title>
    <b:BIBTEX_Abstract>First edition. Security expert Richard A. Clarke goes beyond "geek talk" to succinctly explain how cyber weapons work and how vulnerable America is to the new world of nearly untraceable cyber criminals and spies. This sobering story of technology, government, and military strategy involving criminals, spies, soldiers, and hackers begins the much needed public policy debate about what America's doctrine and strategy should be, not just for waging, but for preventing the First Cyber War. Trial runs – Cyber warriors – The battlespace – The defense fails – Toward a defensive strategy – How offensive? – Cyber peace – The agenda.</b:BIBTEX_Abstract>
    <b:Tag>Clarke2010</b:Tag>
    <b:Publisher>Ecco</b:Publisher>
    <b:Edition>First</b:Edition>
    <b:Author>
      <b:Author>
        <b:NameList>
          <b:Person>
            <b:Last>Clarke</b:Last>
            <b:Middle>A.</b:Middle>
            <b:First>Richard</b:First>
          </b:Person>
          <b:Person>
            <b:Last>Knake</b:Last>
            <b:Middle>K.</b:Middle>
            <b:First>Robert</b:First>
          </b:Person>
        </b:NameList>
      </b:Author>
    </b:Author>
    <b:Pages>290</b:Pages>
    <b:StandardNumber> ISBN: 9780061962233</b:StandardNumber>
    <b:City>New</b:City>
    <b:StateProvince>York</b:StateProvince>
    <b:CountryRegion>NY</b:CountryRegion>
    <b:RefOrder>17</b:RefOrder>
  </b:Source>
  <b:Source>
    <b:BIBTEX_Entry>article</b:BIBTEX_Entry>
    <b:SourceType>JournalArticle</b:SourceType>
    <b:Title>Privacy by design (pbd): the 7 foundational principles</b:Title>
    <b:BIBTEX_Abstract>With the shift from industrial manufacturing to knowledge creation and service delivery, the value of information and the need to manage it responsibly have grown dramatically. At the same time, rapid innovation, global competition and increasing system complexity present profound challenges for informational privacy. While we would like to enjoy the benefits of innovation − new conveniences and efficiencies − we must also preserve our freedom of choice and personal control over our data flows. Always a social norm, privacy has nonetheless evolved over the years, beyond being viewed solely as a legal compliance requirement, to also being recognized as a market imperative and critical enabler of trust and freedoms in our present-day information society. There is a growing understanding that innovation, creativity and competitiveness must be approached from a “design-thinking” perspective − namely, a way of viewing the world and overcoming constraints that is at once holistic, interdisciplinary, integrative, innovative, and inspiring. Privacy, too, must be approached from the same design-thinking perspective. Privacy must be incorporated into networked data systems and technologies, by default. Privacy must become integral to organizational priorities, project objectives, design processes, and planning operations. Privacy must be embedded into every standard, protocol and process that touches our lives. This document seeks to make this possible by striving to establish a universal framework for the strongest protection of privacy available in the modern era. The 7 Foundational Principles of Privacy by Design are presented below in Bold, followed by the FIPs principles that map onto each one.</b:BIBTEX_Abstract>
    <b:Tag>Cavoukian</b:Tag>
    <b:URL>https://iapp.org/media/pdf/resource_center/pbd_implement_7found_principles.pdf</b:URL>
    <b:Author>
      <b:Author>
        <b:NameList>
          <b:Person>
            <b:Last>Cavoukian</b:Last>
            <b:First>Ann</b:First>
          </b:Person>
        </b:NameList>
      </b:Author>
    </b:Author>
    <b:RefOrder>18</b:RefOrder>
  </b:Source>
  <b:Source>
    <b:Year>2021</b:Year>
    <b:BIBTEX_Entry>inproceedings</b:BIBTEX_Entry>
    <b:Comments>Literaturangaben</b:Comments>
    <b:SourceType>ConferenceProceedings</b:SourceType>
    <b:Title>Extracting training data from large language models</b:Title>
    <b:Tag>Carlini2021</b:Tag>
    <b:Publisher>Association, U. S. E. N. I. X.</b:Publisher>
    <b:BookTitle>30th USENIX Security Symposium (USENIX Security 21)</b:BookTitle>
    <b:URL>https://researchr.org/publication/CarliniTWJHLRBS21</b:URL>
    <b:Author>
      <b:Author>
        <b:NameList>
          <b:Person>
            <b:Last>Carlini</b:Last>
            <b:First>Nicholas</b:First>
          </b:Person>
          <b:Person>
            <b:Last>Tramèr</b:Last>
            <b:First>Florian</b:First>
          </b:Person>
          <b:Person>
            <b:Last>Wallace</b:Last>
            <b:First>Eric</b:First>
          </b:Person>
          <b:Person>
            <b:Last>Jagielski</b:Last>
            <b:First>Matthew</b:First>
          </b:Person>
          <b:Person>
            <b:Last>Herbert-Voss</b:Last>
            <b:First>Ariel</b:First>
          </b:Person>
          <b:Person>
            <b:Last>Lee</b:Last>
            <b:First>Katherine</b:First>
          </b:Person>
          <b:Person>
            <b:Last>Roberts</b:Last>
            <b:First>Adam</b:First>
          </b:Person>
          <b:Person>
            <b:Last>Brown</b:Last>
            <b:First>Tom</b:First>
          </b:Person>
          <b:Person>
            <b:Last>Song</b:Last>
            <b:First>Dawn</b:First>
          </b:Person>
          <b:Person>
            <b:Last>Erlingsson</b:Last>
            <b:First>Úlfar</b:First>
          </b:Person>
          <b:Person>
            <b:Last>Oprea</b:Last>
            <b:First>Alina</b:First>
          </b:Person>
          <b:Person>
            <b:Last>Raffel</b:Last>
            <b:First>Colin</b:First>
          </b:Person>
        </b:NameList>
      </b:Author>
    </b:Author>
    <b:Pages>2633–2650</b:Pages>
    <b:Month>August</b:Month>
    <b:StandardNumber> ISBN: 9781939133243</b:StandardNumber>
    <b:ConferenceName>30th USENIX Security Symposium (USENIX Security 21)</b:ConferenceName>
    <b:City>[Berkeley, CA]</b:City>
    <b:RefOrder>19</b:RefOrder>
  </b:Source>
  <b:Source>
    <b:Issue>5</b:Issue>
    <b:Year>2016</b:Year>
    <b:Volume>59</b:Volume>
    <b:BIBTEX_Entry>article</b:BIBTEX_Entry>
    <b:SourceType>JournalArticle</b:SourceType>
    <b:Title>Borg, omega, and kubernetes</b:Title>
    <b:BIBTEX_Abstract>Lessons learned from three container-management systems over a decade.</b:BIBTEX_Abstract>
    <b:Tag>Burns2016</b:Tag>
    <b:Publisher>for Computing Machinery (ACM), Association</b:Publisher>
    <b:URL>http://queue.acm.org/detail.cfm?id=2898444</b:URL>
    <b:DOI>10.1145/2890784</b:DOI>
    <b:Author>
      <b:Author>
        <b:NameList>
          <b:Person>
            <b:Last>Burns</b:Last>
            <b:First>Brendan</b:First>
          </b:Person>
          <b:Person>
            <b:Last>Grant</b:Last>
            <b:First>Brian</b:First>
          </b:Person>
          <b:Person>
            <b:Last>Oppenheimer</b:Last>
            <b:First>David</b:First>
          </b:Person>
          <b:Person>
            <b:Last>Brewer</b:Last>
            <b:First>Eric</b:First>
          </b:Person>
          <b:Person>
            <b:Last>Wilkes</b:Last>
            <b:First>John</b:First>
          </b:Person>
        </b:NameList>
      </b:Author>
    </b:Author>
    <b:Pages>50–57</b:Pages>
    <b:Month>April</b:Month>
    <b:JournalName>Communications of the ACM</b:JournalName>
    <b:Number>5</b:Number>
    <b:StandardNumber> ISSN: 1557-7317</b:StandardNumber>
    <b:RefOrder>20</b:RefOrder>
  </b:Source>
  <b:Source>
    <b:Year>2024</b:Year>
    <b:BIBTEX_Entry>misc</b:BIBTEX_Entry>
    <b:SourceType>Misc</b:SourceType>
    <b:Title>Aws well-architected framework</b:Title>
    <b:BIBTEX_Abstract>The AWS Well-Architected Framework helps you understand the pros and cons of decisions you make while building systems on AWS. Using the Framework helps you learn architectural best practices for designing and operating secure, reliable, efficient, cost-effective, and sustainable workloads in the AWS Cloud. It provides a way for you to consistently measure your architectures against best practices and identify areas for improvement. The process for reviewing an architecture is a constructive conversation about architectural decisions, and is not an audit mechanism. We believe that having well-architected systems greatly increases the likelihood of business success.
AWS Solutions Architects have years of experience architecting solutions across a wide variety of business verticals and use cases. We have helped design and review thousands of customers’ architectures on AWS. From this experience, we have identified best practices and core strategies for architecting systems in the cloud.
The AWS Well-Architected Framework documents a set of foundational questions that help you to understand if a specific architecture aligns well with cloud best practices. The framework provides a consistent approach to evaluating systems against the qualities you expect from modern cloud-based systems, and the remediation that would be required to achieve those qualities. As AWS continues to evolve, and we continue to learn more from working with our customers, we will continue to refine the definition of well-architected.
This framework is intended for those in technology roles, such as chief technology officers (CTOs), architects, developers, and operations team members. It describes AWS best practices and strategies to use when designing and operating a cloud workload, and provides links to further implementation details and architectural patterns. For more information, see the AWS Well-Architected homepage.
AWS also provides a service for reviewing your workloads at no charge. The AWS Well-Architected Tool (AWS WA Tool) is a service in the cloud that provides a consistent process for you to review and measure your architecture using the AWS Well-Architected Framework. The AWS WA Tool provides recommendations for making your workloads more reliable, secure, efficient, and cost-effective.
To help you apply best practices, we have created AWS Well-Architected Labs, which provides you with a repository of code and documentation to give you hands-on experience implementing best practices. We also have teamed up with select AWS Partner Network (APN) Partners, who are members of the AWS Well-Architected Partner program. These AWS Partners have deep AWS knowledge, and can help you review and improve your workloads.</b:BIBTEX_Abstract>
    <b:Tag>AWS2024</b:Tag>
    <b:URL>https://docs.aws.amazon.com/wellarchitected/latest/framework/welcome.html</b:URL>
    <b:Author>
      <b:Author>
        <b:NameList>
          <b:Person>
            <b:Last>AWS</b:Last>
          </b:Person>
        </b:NameList>
      </b:Author>
    </b:Author>
    <b:Month>November</b:Month>
    <b:JournalName>AWS Documentation</b:JournalName>
    <b:PublicationTitle>Aws well-architected framework</b:PublicationTitle>
    <b:RefOrder>21</b:RefOrder>
  </b:Source>
  <b:Source>
    <b:BIBTEX_Entry>electronic</b:BIBTEX_Entry>
    <b:SourceType>ElectronicSource</b:SourceType>
    <b:Title>Pod security standards | kubernetes</b:Title>
    <b:Tag>Authors</b:Tag>
    <b:URL>https://kubernetes.io/docs/concepts/security/pod-security-standards/</b:URL>
    <b:Author>
      <b:Author>
        <b:NameList>
          <b:Person>
            <b:Last>Authors</b:Last>
            <b:Middle>Kubernetes</b:Middle>
            <b:First>The</b:First>
          </b:Person>
        </b:NameList>
      </b:Author>
    </b:Author>
    <b:RefOrder>22</b:RefOrder>
  </b:Source>
  <b:Source>
    <b:Issue>4</b:Issue>
    <b:Year>2010</b:Year>
    <b:Volume>53</b:Volume>
    <b:BIBTEX_Entry>article</b:BIBTEX_Entry>
    <b:SourceType>JournalArticle</b:SourceType>
    <b:Title>A view of cloud computing</b:Title>
    <b:BIBTEX_Abstract>Clearing the clouds away from the true potential and obstacles posed by this computing capability.</b:BIBTEX_Abstract>
    <b:Tag>Armbrust2010</b:Tag>
    <b:Publisher>for Computing Machinery (ACM), Association</b:Publisher>
    <b:DOI>10.1145/1721654.1721672</b:DOI>
    <b:Author>
      <b:Author>
        <b:NameList>
          <b:Person>
            <b:Last>Armbrust</b:Last>
            <b:First>Michael</b:First>
          </b:Person>
          <b:Person>
            <b:Last>Fox</b:Last>
            <b:First>Armando</b:First>
          </b:Person>
          <b:Person>
            <b:Last>Griffith</b:Last>
            <b:First>Rean</b:First>
          </b:Person>
          <b:Person>
            <b:Last>Joseph</b:Last>
            <b:Middle>D.</b:Middle>
            <b:First>Anthony</b:First>
          </b:Person>
          <b:Person>
            <b:Last>Katz</b:Last>
            <b:First>Randy</b:First>
          </b:Person>
          <b:Person>
            <b:Last>Konwinski</b:Last>
            <b:First>Andy</b:First>
          </b:Person>
          <b:Person>
            <b:Last>Lee</b:Last>
            <b:First>Gunho</b:First>
          </b:Person>
          <b:Person>
            <b:Last>Patterson</b:Last>
            <b:First>David</b:First>
          </b:Person>
          <b:Person>
            <b:Last>Rabkin</b:Last>
            <b:First>Ariel</b:First>
          </b:Person>
          <b:Person>
            <b:Last>Stoica</b:Last>
            <b:First>Ion</b:First>
          </b:Person>
          <b:Person>
            <b:Last>Zaharia</b:Last>
            <b:First>Matei</b:First>
          </b:Person>
        </b:NameList>
      </b:Author>
    </b:Author>
    <b:Pages>50–58</b:Pages>
    <b:Month>April</b:Month>
    <b:JournalName>Communications of the ACM</b:JournalName>
    <b:Number>4</b:Number>
    <b:StandardNumber> ISSN: 1557-7317</b:StandardNumber>
    <b:RefOrder>23</b:RefOrder>
  </b:Source>
  <b:Source>
    <b:BIBTEX_Copyright>arXiv.org perpetual, non-exclusive license</b:BIBTEX_Copyright>
    <b:Year>2016</b:Year>
    <b:BIBTEX_Entry>article</b:BIBTEX_Entry>
    <b:SourceType>JournalArticle</b:SourceType>
    <b:Title>Concrete problems in ai safety</b:Title>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Tag>Amodei2016</b:Tag>
    <b:Publisher>arXiv</b:Publisher>
    <b:BIBTEX_KeyWords>Artificial Intelligence (cs.AI), Machine Learning (cs.LG), FOS: Computer and information sciences</b:BIBTEX_KeyWords>
    <b:DOI>10.48550/ARXIV.1606.06565</b:DOI>
    <b:Author>
      <b:Author>
        <b:NameList>
          <b:Person>
            <b:Last>Amodei</b:Last>
            <b:First>Dario</b:First>
          </b:Person>
          <b:Person>
            <b:Last>Olah</b:Last>
            <b:First>Chris</b:First>
          </b:Person>
          <b:Person>
            <b:Last>Steinhardt</b:Last>
            <b:First>Jacob</b:First>
          </b:Person>
          <b:Person>
            <b:Last>Christiano</b:Last>
            <b:First>Paul</b:First>
          </b:Person>
          <b:Person>
            <b:Last>Schulman</b:Last>
            <b:First>John</b:First>
          </b:Person>
          <b:Person>
            <b:Last>Mane</b:Last>
            <b:First>Dan</b:First>
          </b:Person>
        </b:NameList>
      </b:Author>
    </b:Author>
    <b:Month>June</b:Month>
    <b:RefOrder>24</b:RefOrder>
  </b:Source>
</b:Sources>
</file>

<file path=customXml/itemProps1.xml><?xml version="1.0" encoding="utf-8"?>
<ds:datastoreItem xmlns:ds="http://schemas.openxmlformats.org/officeDocument/2006/customXml" ds:itemID="{366F8EF7-13C2-9B48-BDEA-11EEAAEEC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20</Pages>
  <Words>5298</Words>
  <Characters>30203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35431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269</cp:revision>
  <dcterms:created xsi:type="dcterms:W3CDTF">2026-02-05T23:29:00Z</dcterms:created>
  <dcterms:modified xsi:type="dcterms:W3CDTF">2026-02-27T21:39:00Z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ies>
</file>