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18"/>
          <w:szCs w:val="18"/>
        </w:rPr>
        <w:t xml:space="preserve">EXPERT REVIEW COPY v0.1 | NOT APPROVED FOR DISTRIBUTION</w:t>
      </w:r>
    </w:p>
    <w:p>
      <w:pPr>
        <w:spacing w:after="0"/>
        <w:jc w:val="center"/>
      </w:pPr>
      <w:r>
        <w:drawing>
          <wp:inline distT="0" distB="0" distL="0" distR="0">
            <wp:extent cx="5238750" cy="8296275"/>
            <wp:effectExtent t="0" r="0" b="0" l="0"/>
            <wp:docPr id="1" name="Review flowchart" descr="Yes/no pathway for briefing, selection, authorisation, scope changes, delivery review and escalation. Review instructions and issue register follow." title="Client decision flowchart under expert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140"/>
      </w:pPr>
      <w:r>
        <w:t xml:space="preserve">Expert review: evidence and policy audit</w:t>
      </w:r>
    </w:p>
    <w:p>
      <w:pPr>
        <w:spacing w:after="100"/>
      </w:pPr>
      <w:r>
        <w:rPr>
          <w:sz w:val="20"/>
          <w:szCs w:val="20"/>
        </w:rPr>
        <w:t xml:space="preserve">Purpose: review the client-facing flowchart, not endorse the paper or certify legal compliance. All items below are OPEN; this packet prepares a review and does not claim one has occurred.</w:t>
      </w:r>
    </w:p>
    <w:p>
      <w:pPr>
        <w:spacing w:after="70"/>
      </w:pPr>
      <w:r>
        <w:rPr>
          <w:sz w:val="18"/>
          <w:szCs w:val="18"/>
        </w:rPr>
        <w:t xml:space="preserve">Version under review: client flowchart v0.1, 28 October 2026. Source: Leocadio, Navigating Upwork, DOI 10.2139/ssrn.6031034. The PDF is dated 15 July 2024; task metadata says 2026. Confirm the citation before release.</w:t>
      </w:r>
    </w:p>
    <w:p>
      <w:pPr>
        <w:spacing w:after="70"/>
      </w:pPr>
      <w:r>
        <w:rPr>
          <w:sz w:val="18"/>
          <w:szCs w:val="18"/>
        </w:rPr>
        <w:t xml:space="preserve">Reviewer: ____________________  Role/organisation: ____________________  Date: __________</w:t>
      </w:r>
    </w:p>
    <w:p>
      <w:pPr>
        <w:spacing w:after="70"/>
      </w:pPr>
      <w:r>
        <w:rPr>
          <w:sz w:val="18"/>
          <w:szCs w:val="18"/>
        </w:rPr>
        <w:t xml:space="preserve">For each row, record Accept / Revise / Unable to verify, the supporting source and access date, and exact replacement wording if needed. Open release blockers must be resolved or the affected claim removed.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400"/>
        <w:gridCol w:w="3060"/>
      </w:tblGrid>
      <w:tr>
        <w:trPr>
          <w:cantSplit/>
          <w:tblHeader/>
        </w:trPr>
        <w:tc>
          <w:tcPr>
            <w:tcW w:type="dxa" w:w="162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 / owner</w:t>
            </w:r>
          </w:p>
        </w:tc>
        <w:tc>
          <w:tcPr>
            <w:tcW w:type="dxa" w:w="540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Target and release-blocking check</w:t>
            </w:r>
          </w:p>
        </w:tc>
        <w:tc>
          <w:tcPr>
            <w:tcW w:type="dxa" w:w="306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Decision / evidence / correction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R1 — Author / methods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footer: verify 218 studies/reports, 495 perspectives and 50 enforcement sources (paper pp. 2–4); explain overlap. Supply included-source inventory, search/extraction details and bias assessment, or retain the low-confidence caveat. Confirm 2024/2026 version.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R2 — Policy adviser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1: verify client fees against source [2] and the relevant plan/account. Check taxes, initiation fees and exceptions. Keep “use live fees”; do not import historical freelancer fee tiers.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R3 — Policy adviser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3: verify active-contract and milestone funding workflow; confirm hourly rate, weekly-limit and time-recording guidance. Ensure no box implies guaranteed quality, payment recovery or a refund. Sources [3–4].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R4 — Policy adviser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 the clock: verify the 14-day fixed-price window, trigger, change-request/resubmission effects and automatic-release exceptions. Check the client contract workflow. Source [3].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R5 — Policy adviser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6: verify hourly dispute filing deadline, timezone, eligible grounds and filing method. Distinguish formal disputes from support messages and refund requests. Review fixed-price escalation too. Sources [3–4].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  <w:tr>
        <w:trPr>
          <w:cantSplit/>
          <w:tblHeader w:val="off"/>
        </w:trPr>
        <w:tc>
          <w:tcPr>
            <w:tcW w:type="dxa" w:w="162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R6 — Policy / legal adviser</w:t>
            </w:r>
          </w:p>
        </w:tc>
        <w:tc>
          <w:tcPr>
            <w:tcW w:type="dxa" w:w="54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 override: verify conversion requirements, permitted exceptions and off-platform restrictions [5]. Check access/privacy advice and local legal implications; avoid implying an exception or guaranteed remedy.</w:t>
            </w:r>
          </w:p>
        </w:tc>
        <w:tc>
          <w:tcPr>
            <w:tcW w:type="dxa" w:w="306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
Decision: __________
Source/date: __________
Change: __________</w:t>
            </w:r>
          </w:p>
        </w:tc>
      </w:tr>
    </w:tbl>
    <w:p>
      <w:pPr>
        <w:spacing w:after="70"/>
      </w:pPr>
      <w:r>
        <w:rPr>
          <w:sz w:val="18"/>
          <w:szCs w:val="18"/>
        </w:rPr>
        <w:t xml:space="preserve">Verification limitation: earlier checks used search-indexed official text; direct official-page retrieval returned HTTP 403. No new live-policy verification or external expert approval was completed for this packet.</w:t>
      </w:r>
    </w:p>
    <w:p>
      <w:r>
        <w:br w:type="page"/>
      </w:r>
    </w:p>
    <w:p>
      <w:pPr>
        <w:pStyle w:val="Heading1"/>
        <w:spacing w:after="140" w:before="140"/>
      </w:pPr>
      <w:r>
        <w:t xml:space="preserve">Usability, issue log and release decision</w:t>
      </w:r>
    </w:p>
    <w:p>
      <w:pPr>
        <w:spacing w:after="70"/>
      </w:pPr>
      <w:r>
        <w:rPr>
          <w:sz w:val="18"/>
          <w:szCs w:val="18"/>
        </w:rPr>
        <w:t xml:space="preserve">R = paper-reported, low confidence for generalising. P = stated platform rule, not independent proof of fairness. J = practical judgement, not tested by the paper. These labels are not formal GRADE ratings.</w:t>
      </w:r>
    </w:p>
    <w:p>
      <w:pPr>
        <w:spacing w:after="100"/>
      </w:pPr>
      <w:r>
        <w:rPr>
          <w:sz w:val="20"/>
          <w:szCs w:val="20"/>
        </w:rPr>
        <w:t xml:space="preserve">Client and freelancer reviewers: walk through (a) an unfunded milestone, (b) an extra deliverable beyond scope, (c) defective work against the original brief, and (d) disputed hourly time near a deadline. Record the route taken and whether the next action is clear.</w:t>
      </w:r>
    </w:p>
    <w:p>
      <w:pPr>
        <w:spacing w:after="70"/>
      </w:pPr>
      <w:r>
        <w:rPr>
          <w:sz w:val="18"/>
          <w:szCs w:val="18"/>
        </w:rPr>
        <w:t xml:space="preserve">R7 — Flow and fairness: Can a reviewer distinguish new scope from an agreed correction? Does the return arrow lead to the right gate? Does any correction loop risk missing a dispute deadline? Are “continue” and access close-out clear? Confirm protection against unpaid extras and feedback pressure.</w:t>
      </w:r>
    </w:p>
    <w:p>
      <w:pPr>
        <w:spacing w:after="70"/>
      </w:pPr>
      <w:r>
        <w:rPr>
          <w:sz w:val="18"/>
          <w:szCs w:val="18"/>
        </w:rPr>
        <w:t xml:space="preserve">R8 — Accessibility: Check at intended print size and on a phone; confirm text size, contrast, arrow direction and meaning without colour. The chart is a large-format graphic, not a validated hiring instrument. Add an accessible text companion if needed; the existing client guide provides the full narrative.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800"/>
        <w:gridCol w:w="2930"/>
      </w:tblGrid>
      <w:tr>
        <w:trPr>
          <w:cantSplit/>
          <w:tblHeader/>
        </w:trPr>
        <w:tc>
          <w:tcPr>
            <w:tcW w:type="dxa" w:w="235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Issue / gate</w:t>
            </w:r>
          </w:p>
        </w:tc>
        <w:tc>
          <w:tcPr>
            <w:tcW w:type="dxa" w:w="480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Proposed change + source/date</w:t>
            </w:r>
          </w:p>
        </w:tc>
        <w:tc>
          <w:tcPr>
            <w:tcW w:type="dxa" w:w="293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Owner / resolution</w:t>
            </w:r>
          </w:p>
        </w:tc>
      </w:tr>
      <w:tr>
        <w:trPr>
          <w:cantSplit/>
          <w:tblHeader w:val="off"/>
        </w:trPr>
        <w:tc>
          <w:tcPr>
            <w:tcW w:type="dxa" w:w="23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R7 / usability: __________</w:t>
            </w:r>
          </w:p>
        </w:tc>
        <w:tc>
          <w:tcPr>
            <w:tcW w:type="dxa" w:w="48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________________________________
________________________________</w:t>
            </w:r>
          </w:p>
        </w:tc>
        <w:tc>
          <w:tcPr>
            <w:tcW w:type="dxa" w:w="293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Owner: __________
Resolved/date: __________</w:t>
            </w:r>
          </w:p>
        </w:tc>
      </w:tr>
      <w:tr>
        <w:trPr>
          <w:cantSplit/>
          <w:tblHeader w:val="off"/>
        </w:trPr>
        <w:tc>
          <w:tcPr>
            <w:tcW w:type="dxa" w:w="23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R8 / accessibility: __________</w:t>
            </w:r>
          </w:p>
        </w:tc>
        <w:tc>
          <w:tcPr>
            <w:tcW w:type="dxa" w:w="48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________________________________
________________________________</w:t>
            </w:r>
          </w:p>
        </w:tc>
        <w:tc>
          <w:tcPr>
            <w:tcW w:type="dxa" w:w="293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Owner: __________
Resolved/date: __________</w:t>
            </w:r>
          </w:p>
        </w:tc>
      </w:tr>
      <w:tr>
        <w:trPr>
          <w:cantSplit/>
          <w:tblHeader w:val="off"/>
        </w:trPr>
        <w:tc>
          <w:tcPr>
            <w:tcW w:type="dxa" w:w="23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Other: __________</w:t>
            </w:r>
          </w:p>
        </w:tc>
        <w:tc>
          <w:tcPr>
            <w:tcW w:type="dxa" w:w="480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________________________________
________________________________</w:t>
            </w:r>
          </w:p>
        </w:tc>
        <w:tc>
          <w:tcPr>
            <w:tcW w:type="dxa" w:w="293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Owner: __________
Resolved/date: __________</w:t>
            </w:r>
          </w:p>
        </w:tc>
      </w:tr>
    </w:tbl>
    <w:p>
      <w:pPr>
        <w:pStyle w:val="Heading1"/>
        <w:spacing w:after="140" w:before="140"/>
      </w:pPr>
      <w:r>
        <w:t xml:space="preserve">Sign-off — complete after corrections</w:t>
      </w:r>
    </w:p>
    <w:p>
      <w:pPr>
        <w:spacing w:after="70"/>
      </w:pPr>
      <w:r>
        <w:rPr>
          <w:sz w:val="18"/>
          <w:szCs w:val="18"/>
        </w:rPr>
        <w:t xml:space="preserve">Each reviewer approves only their scope. “Revise” is not permission to distribute. Final release requires closed blockers, a checked final version and a named release owner.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850"/>
        <w:gridCol w:w="3480"/>
      </w:tblGrid>
      <w:tr>
        <w:trPr>
          <w:cantSplit/>
          <w:tblHeader/>
        </w:trPr>
        <w:tc>
          <w:tcPr>
            <w:tcW w:type="dxa" w:w="275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385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Name / signature / date</w:t>
            </w:r>
          </w:p>
        </w:tc>
        <w:tc>
          <w:tcPr>
            <w:tcW w:type="dxa" w:w="3480"/>
            <w:shd w:fill="E0EEF0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  <w:tblHeader w:val="off"/>
        </w:trPr>
        <w:tc>
          <w:tcPr>
            <w:tcW w:type="dxa" w:w="27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 / methods</w:t>
            </w:r>
          </w:p>
        </w:tc>
        <w:tc>
          <w:tcPr>
            <w:tcW w:type="dxa" w:w="38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48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/ Revise / Cannot verify</w:t>
            </w:r>
          </w:p>
        </w:tc>
      </w:tr>
      <w:tr>
        <w:trPr>
          <w:cantSplit/>
          <w:tblHeader w:val="off"/>
        </w:trPr>
        <w:tc>
          <w:tcPr>
            <w:tcW w:type="dxa" w:w="27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policy / legal</w:t>
            </w:r>
          </w:p>
        </w:tc>
        <w:tc>
          <w:tcPr>
            <w:tcW w:type="dxa" w:w="38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48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/ Revise / Cannot verify</w:t>
            </w:r>
          </w:p>
        </w:tc>
      </w:tr>
      <w:tr>
        <w:trPr>
          <w:cantSplit/>
          <w:tblHeader w:val="off"/>
        </w:trPr>
        <w:tc>
          <w:tcPr>
            <w:tcW w:type="dxa" w:w="27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usability</w:t>
            </w:r>
          </w:p>
        </w:tc>
        <w:tc>
          <w:tcPr>
            <w:tcW w:type="dxa" w:w="38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48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/ Revise / Cannot verify</w:t>
            </w:r>
          </w:p>
        </w:tc>
      </w:tr>
      <w:tr>
        <w:trPr>
          <w:cantSplit/>
          <w:tblHeader w:val="off"/>
        </w:trPr>
        <w:tc>
          <w:tcPr>
            <w:tcW w:type="dxa" w:w="27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Freelancer fairness / usability</w:t>
            </w:r>
          </w:p>
        </w:tc>
        <w:tc>
          <w:tcPr>
            <w:tcW w:type="dxa" w:w="385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3480"/>
            <w:shd w:fill="FFFFFF" w:val="clear"/>
            <w:tcMar>
              <w:top w:type="dxa" w:w="85"/>
              <w:left w:type="dxa" w:w="100"/>
              <w:bottom w:type="dxa" w:w="85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Accept / Revise / Cannot verify</w:t>
            </w:r>
          </w:p>
        </w:tc>
      </w:tr>
    </w:tbl>
    <w:p>
      <w:pPr>
        <w:spacing w:after="70"/>
      </w:pPr>
      <w:r>
        <w:rPr>
          <w:sz w:val="18"/>
          <w:szCs w:val="18"/>
        </w:rPr>
        <w:t xml:space="preserve">Final disposition: HOLD / APPROVE FOR DEFINED USE / DO NOT USE. Release owner: ____________________</w:t>
      </w:r>
    </w:p>
    <w:p>
      <w:pPr>
        <w:spacing w:after="70"/>
      </w:pPr>
      <w:r>
        <w:rPr>
          <w:sz w:val="18"/>
          <w:szCs w:val="18"/>
        </w:rPr>
        <w:t xml:space="preserve">Approved version/date: ____________________  Audience/jurisdiction/format: ____________________</w:t>
      </w:r>
    </w:p>
    <w:p>
      <w:pPr>
        <w:spacing w:after="70"/>
      </w:pPr>
      <w:r>
        <w:rPr>
          <w:sz w:val="18"/>
          <w:szCs w:val="18"/>
        </w:rPr>
        <w:t xml:space="preserve">Next policy recheck: ____________________  Outstanding limitations to retain: ____________________</w:t>
      </w:r>
    </w:p>
    <w:p>
      <w:pPr>
        <w:spacing w:after="70"/>
      </w:pPr>
      <w:r>
        <w:rPr>
          <w:sz w:val="18"/>
          <w:szCs w:val="18"/>
        </w:rPr>
        <w:t xml:space="preserve">Source index (same numbering as chart): [1] https://doi.org/10.2139/ssrn.6031034; [2] https://support.upwork.com/hc/en-us/articles/4660220468499; [3] https://support.upwork.com/hc/en-us/articles/17974824831507; [4] https://support.upwork.com/hc/en-us/articles/17976540792467; [5] https://support.upwork.com/hc/en-us/articles/360048105134</w:t>
      </w:r>
    </w:p>
    <w:p>
      <w:pPr>
        <w:spacing w:after="70"/>
      </w:pPr>
      <w:r>
        <w:rPr>
          <w:sz w:val="18"/>
          <w:szCs w:val="18"/>
        </w:rPr>
        <w:t xml:space="preserve">Prepared for expert review only. No expert has signed this copy. Not legal advice; not endorsed by Upwork.</w:t>
      </w:r>
    </w:p>
    <w:sectPr>
      <w:footerReference w:type="default" r:id="rId6"/>
      <w:pgSz w:w="12240" w:h="15840" w:orient="portrait"/>
      <w:pgMar w:top="700" w:right="1080" w:bottom="7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REVIEW v0.1 — NOT APPROVED |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8384E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ff2e514d48e9500278e4357ba66e66a0ebd8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2026-10-28T05:38:44.840Z</dcterms:created>
  <dcterms:modified xsi:type="dcterms:W3CDTF">2026-10-28T05:38:44.841Z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