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60"/>
        </w:rPr>
        <w:t>LoteDiretor Brasil</w:t>
      </w:r>
    </w:p>
    <w:p>
      <w:pPr>
        <w:jc w:val="center"/>
      </w:pPr>
      <w:r>
        <w:rPr>
          <w:b/>
          <w:sz w:val="30"/>
        </w:rPr>
        <w:t>Plataforma Nacional de Inteligência Urbanística, Territorial e Imobiliária</w:t>
      </w:r>
    </w:p>
    <w:p>
      <w:pPr>
        <w:spacing w:before="360"/>
        <w:jc w:val="center"/>
      </w:pPr>
      <w:r>
        <w:rPr>
          <w:sz w:val="24"/>
        </w:rPr>
        <w:t>Especificação Mestre de Produto, Dados, Relatório e Arquitetura</w:t>
      </w:r>
    </w:p>
    <w:p>
      <w:pPr>
        <w:spacing w:before="600"/>
        <w:jc w:val="center"/>
      </w:pPr>
      <w:r>
        <w:t>Escopo final: LoteDiretor + Imóvel 360 + RE Rural + Condomínio + Energia Solar + A.I TEC + Prefeitura + 3 IAs especializadas + Painel Admin SaaS + arquitetura definitiva de dados, software, UX e operação</w:t>
      </w:r>
    </w:p>
    <w:p>
      <w:pPr>
        <w:spacing w:before="2400"/>
        <w:jc w:val="center"/>
      </w:pPr>
      <w:r>
        <w:t>Versão 2.0 FINAL — 20 de agosto de 2026 | Blueprint de implementação e referência única de arquitetura</w:t>
      </w:r>
    </w:p>
    <w:p>
      <w:r>
        <w:br w:type="page"/>
      </w:r>
    </w:p>
    <w:p>
      <w:pPr>
        <w:pStyle w:val="Heading1"/>
      </w:pPr>
      <w:r>
        <w:rPr>
          <w:b w:val="0"/>
        </w:rPr>
        <w:t>0. Status final, regra de prevalência e mapa do documento</w:t>
      </w:r>
    </w:p>
    <w:p>
      <w:r>
        <w:rPr>
          <w:b w:val="0"/>
        </w:rPr>
        <w:t>Este arquivo é a baseline final de arquitetura. As seções 1–31 preservam a especificação funcional acumulada. A Seção 32 consolida as decisões definitivas de implementação e prevalece sobre alternativas tecnológicas antigas como “X ou Y”. Provas de conceito locais permanecem como evidência técnica, não como obrigação de stack.</w:t>
      </w:r>
    </w:p>
    <w:p>
      <w:pPr>
        <w:pStyle w:val="Heading2"/>
      </w:pPr>
      <w:r>
        <w:rPr>
          <w:b w:val="0"/>
        </w:rPr>
        <w:t>0.1 Entradas auditadas</w:t>
      </w:r>
    </w:p>
    <w:p>
      <w:r>
        <w:rPr>
          <w:b w:val="0"/>
        </w:rPr>
        <w:t>Foram cruzados: o documento mestre v1.8; o site público e o frontend autenticado Urbit; a auditoria funcional do frontend; as reconstruções LoteDiretor v0.5.x; os arquivos públicos/painel do Registro Rural e as reconstruções locais; além das especificações já consolidadas de RE Rural, Condomínio, Energia Solar, A.I TEC, Prefeitura, IA e Admin SaaS.</w:t>
      </w:r>
    </w:p>
    <w:p>
      <w:pPr>
        <w:pStyle w:val="Heading2"/>
      </w:pPr>
      <w:r>
        <w:rPr>
          <w:b w:val="0"/>
        </w:rPr>
        <w:t>0.2 O que é referência visual e o que é arquitetura</w:t>
      </w:r>
    </w:p>
    <w:p>
      <w:r>
        <w:rPr>
          <w:b w:val="0"/>
        </w:rPr>
        <w:t>Site e login: seguir a hierarquia visual e a linguagem de conversão do Urbit. Interface do cliente: usar a ergonomia compacta do Registro Rural. A.I TEC: adotar a facilidade de configuração, geração e comparação de cenários observada em produtos como Arqgen, sem depender de código proprietário. Infraestrutura e segurança são próprias e independentes dos backends originais.</w:t>
      </w:r>
    </w:p>
    <w:p>
      <w:pPr>
        <w:pStyle w:val="Heading2"/>
      </w:pPr>
      <w:r>
        <w:rPr>
          <w:b w:val="0"/>
        </w:rPr>
        <w:t>0.3 Mapa do documento</w:t>
      </w:r>
    </w:p>
    <w:p>
      <w:r>
        <w:rPr>
          <w:b w:val="0"/>
        </w:rPr>
        <w:t>Parte A — Seções 1–23: produto territorial, fontes, evidência, regras, banco e APIs.</w:t>
      </w:r>
    </w:p>
    <w:p>
      <w:r>
        <w:rPr>
          <w:b w:val="0"/>
        </w:rPr>
        <w:t>Parte B — Seções 24–31: Imóvel 360, RE Rural, Condomínio, Energia Solar, A.I TEC, Prefeitura, Arquitetura de IA e Painel Admin SaaS.</w:t>
      </w:r>
    </w:p>
    <w:p>
      <w:r>
        <w:rPr>
          <w:b w:val="0"/>
        </w:rPr>
        <w:t>Parte C — Seção 32: blueprint final de implementação, visual, software, banco, fluxos, pastas, segurança, deploy e critérios de aceite.</w:t>
      </w:r>
    </w:p>
    <w:p>
      <w:r>
        <w:rPr>
          <w:b w:val="0"/>
        </w:rPr>
        <w:t>Parte D — Seção 33: referências oficiais e técnicas.</w:t>
      </w:r>
    </w:p>
    <w:p>
      <w:pPr>
        <w:pStyle w:val="Heading1"/>
        <w:keepNext/>
      </w:pPr>
      <w:r>
        <w:t>1. Visão e objetivo</w:t>
      </w:r>
    </w:p>
    <w:p>
      <w:r>
        <w:rPr>
          <w:b/>
        </w:rPr>
        <w:t xml:space="preserve">Objetivo do produto. </w:t>
      </w:r>
      <w:r>
        <w:t>Transformar qualquer endereço, lote, gleba ou polígono do Brasil em uma análise territorial auditável: o que pode ser construído, quais restrições incidem, quais custos urbanísticos são previsíveis, quais aprovações serão necessárias, quais infraestruturas existem, quais riscos devem ser investigados e qual é a evidência de cada conclusão.</w:t>
      </w:r>
    </w:p>
    <w:p>
      <w:r>
        <w:rPr>
          <w:b/>
        </w:rPr>
        <w:t xml:space="preserve">Premissa central. </w:t>
      </w:r>
      <w:r>
        <w:t>O Plano Diretor é apenas uma camada. Uma resposta tecnicamente confiável depende da combinação entre Plano Diretor, zoneamento/uso e ocupação, parcelamento do solo, código de obras, planos setoriais, mapas e anexos, legislação ambiental, cadastro fiscal, registro imobiliário, infraestrutura, mobilidade, patrimônio, risco, dados econômicos e fontes estaduais/federais. O Estatuto da Cidade trata o Plano Diretor como instrumento básico, mas lista vários outros instrumentos urbanísticos, tributários, jurídicos e ambientais que precisam ser considerados [R1].</w:t>
      </w:r>
    </w:p>
    <w:p>
      <w:pPr>
        <w:pStyle w:val="Small"/>
        <w:spacing w:before="80" w:after="120"/>
        <w:ind w:left="259" w:right="259"/>
      </w:pPr>
      <w:r>
        <w:rPr>
          <w:b/>
        </w:rPr>
        <w:t xml:space="preserve">Nota técnica: </w:t>
      </w:r>
      <w:r>
        <w:t>A cobertura nacional não deve depender de uma contagem fixa de municípios. O cadastro mestre deve ser sincronizado com os códigos e malhas oficiais do IBGE, incluindo alterações territoriais e novas unidades. O produto deve usar geocódigo IBGE + tipo de unidade territorial como chave canônica.</w:t>
      </w:r>
    </w:p>
    <w:p>
      <w:pPr>
        <w:jc w:val="center"/>
      </w:pPr>
      <w:r>
        <w:drawing>
          <wp:inline xmlns:a="http://schemas.openxmlformats.org/drawingml/2006/main" xmlns:pic="http://schemas.openxmlformats.org/drawingml/2006/picture">
            <wp:extent cx="5669280" cy="2638595"/>
            <wp:docPr id="1" name="Picture 1" descr="Figura 1 — Fluxo desejado: do imóvel identificado ao relatório técnico com evidência." title="Figura 1 — Fluxo desejado: do imóvel identificado ao relatório técnico com evidência."/>
            <wp:cNvGraphicFramePr>
              <a:graphicFrameLocks noChangeAspect="1"/>
            </wp:cNvGraphicFramePr>
            <a:graphic>
              <a:graphicData uri="http://schemas.openxmlformats.org/drawingml/2006/picture">
                <pic:pic>
                  <pic:nvPicPr>
                    <pic:cNvPr id="0" name="parcel_flow.png"/>
                    <pic:cNvPicPr/>
                  </pic:nvPicPr>
                  <pic:blipFill>
                    <a:blip r:embed="rId10"/>
                    <a:stretch>
                      <a:fillRect/>
                    </a:stretch>
                  </pic:blipFill>
                  <pic:spPr>
                    <a:xfrm>
                      <a:off x="0" y="0"/>
                      <a:ext cx="5669280" cy="2638595"/>
                    </a:xfrm>
                    <a:prstGeom prst="rect"/>
                  </pic:spPr>
                </pic:pic>
              </a:graphicData>
            </a:graphic>
          </wp:inline>
        </w:drawing>
      </w:r>
    </w:p>
    <w:p>
      <w:pPr>
        <w:pStyle w:val="CaptionLD"/>
        <w:spacing w:after="160"/>
        <w:jc w:val="center"/>
      </w:pPr>
      <w:r>
        <w:t>Figura 1 — Fluxo desejado: do imóvel identificado ao relatório técnico com evidência.</w:t>
      </w:r>
    </w:p>
    <w:p>
      <w:pPr>
        <w:pStyle w:val="Heading1"/>
        <w:keepNext/>
      </w:pPr>
      <w:r>
        <w:t>2. Quem usa e qual decisão precisa tomar</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376"/>
            <w:shd w:fill="EDEDED"/>
            <w:vAlign w:val="center"/>
          </w:tcPr>
          <w:p>
            <w:r>
              <w:rPr>
                <w:rFonts w:ascii="Arial" w:hAnsi="Arial"/>
                <w:b/>
                <w:sz w:val="16"/>
              </w:rPr>
              <w:t>Usuário</w:t>
            </w:r>
          </w:p>
        </w:tc>
        <w:tc>
          <w:tcPr>
            <w:tcW w:type="dxa" w:w="6984"/>
            <w:shd w:fill="EDEDED"/>
            <w:vAlign w:val="center"/>
          </w:tcPr>
          <w:p>
            <w:r>
              <w:rPr>
                <w:rFonts w:ascii="Arial" w:hAnsi="Arial"/>
                <w:b/>
                <w:sz w:val="16"/>
              </w:rPr>
              <w:t>Decisões apoiadas</w:t>
            </w:r>
          </w:p>
        </w:tc>
      </w:tr>
      <w:tr>
        <w:trPr>
          <w:cantSplit/>
        </w:trPr>
        <w:tc>
          <w:tcPr>
            <w:tcW w:type="dxa" w:w="2376"/>
            <w:vAlign w:val="top"/>
          </w:tcPr>
          <w:p>
            <w:pPr>
              <w:spacing w:after="0"/>
            </w:pPr>
            <w:r>
              <w:rPr>
                <w:rFonts w:ascii="Arial" w:hAnsi="Arial"/>
                <w:sz w:val="16"/>
              </w:rPr>
              <w:t>Arquiteto</w:t>
            </w:r>
          </w:p>
        </w:tc>
        <w:tc>
          <w:tcPr>
            <w:tcW w:type="dxa" w:w="6984"/>
            <w:vAlign w:val="top"/>
          </w:tcPr>
          <w:p>
            <w:pPr>
              <w:spacing w:after="0"/>
            </w:pPr>
            <w:r>
              <w:rPr>
                <w:rFonts w:ascii="Arial" w:hAnsi="Arial"/>
                <w:sz w:val="16"/>
              </w:rPr>
              <w:t>Viabilidade, implantação, volumetria, uso, envelope, recuos, fachadas, vagas, licenciamento e projeto legal.</w:t>
            </w:r>
          </w:p>
        </w:tc>
      </w:tr>
      <w:tr>
        <w:trPr>
          <w:cantSplit/>
        </w:trPr>
        <w:tc>
          <w:tcPr>
            <w:tcW w:type="dxa" w:w="2376"/>
            <w:vAlign w:val="top"/>
          </w:tcPr>
          <w:p>
            <w:pPr>
              <w:spacing w:after="0"/>
            </w:pPr>
            <w:r>
              <w:rPr>
                <w:rFonts w:ascii="Arial" w:hAnsi="Arial"/>
                <w:sz w:val="16"/>
              </w:rPr>
              <w:t>Engenheiro civil</w:t>
            </w:r>
          </w:p>
        </w:tc>
        <w:tc>
          <w:tcPr>
            <w:tcW w:type="dxa" w:w="6984"/>
            <w:vAlign w:val="top"/>
          </w:tcPr>
          <w:p>
            <w:pPr>
              <w:spacing w:after="0"/>
            </w:pPr>
            <w:r>
              <w:rPr>
                <w:rFonts w:ascii="Arial" w:hAnsi="Arial"/>
                <w:sz w:val="16"/>
              </w:rPr>
              <w:t>Implantação, parcelamento, terraplenagem, drenagem, infraestrutura, pavimentação, fundações e compatibilidade com restrições.</w:t>
            </w:r>
          </w:p>
        </w:tc>
      </w:tr>
      <w:tr>
        <w:trPr>
          <w:cantSplit/>
        </w:trPr>
        <w:tc>
          <w:tcPr>
            <w:tcW w:type="dxa" w:w="2376"/>
            <w:vAlign w:val="top"/>
          </w:tcPr>
          <w:p>
            <w:pPr>
              <w:spacing w:after="0"/>
            </w:pPr>
            <w:r>
              <w:rPr>
                <w:rFonts w:ascii="Arial" w:hAnsi="Arial"/>
                <w:sz w:val="16"/>
              </w:rPr>
              <w:t>Engenheiro estrutural</w:t>
            </w:r>
          </w:p>
        </w:tc>
        <w:tc>
          <w:tcPr>
            <w:tcW w:type="dxa" w:w="6984"/>
            <w:vAlign w:val="top"/>
          </w:tcPr>
          <w:p>
            <w:pPr>
              <w:spacing w:after="0"/>
            </w:pPr>
            <w:r>
              <w:rPr>
                <w:rFonts w:ascii="Arial" w:hAnsi="Arial"/>
                <w:sz w:val="16"/>
              </w:rPr>
              <w:t>Altura, número de pavimentos, cargas, embasamento, subsolo e condicionantes da volumetria legal.</w:t>
            </w:r>
          </w:p>
        </w:tc>
      </w:tr>
      <w:tr>
        <w:trPr>
          <w:cantSplit/>
        </w:trPr>
        <w:tc>
          <w:tcPr>
            <w:tcW w:type="dxa" w:w="2376"/>
            <w:vAlign w:val="top"/>
          </w:tcPr>
          <w:p>
            <w:pPr>
              <w:spacing w:after="0"/>
            </w:pPr>
            <w:r>
              <w:rPr>
                <w:rFonts w:ascii="Arial" w:hAnsi="Arial"/>
                <w:sz w:val="16"/>
              </w:rPr>
              <w:t>Engenheiro geotécnico/geólogo</w:t>
            </w:r>
          </w:p>
        </w:tc>
        <w:tc>
          <w:tcPr>
            <w:tcW w:type="dxa" w:w="6984"/>
            <w:vAlign w:val="top"/>
          </w:tcPr>
          <w:p>
            <w:pPr>
              <w:spacing w:after="0"/>
            </w:pPr>
            <w:r>
              <w:rPr>
                <w:rFonts w:ascii="Arial" w:hAnsi="Arial"/>
                <w:sz w:val="16"/>
              </w:rPr>
              <w:t>Declividade, suscetibilidade, risco, solos, contenções, aterros, cavidades e condicionantes de fundação.</w:t>
            </w:r>
          </w:p>
        </w:tc>
      </w:tr>
      <w:tr>
        <w:trPr>
          <w:cantSplit/>
        </w:trPr>
        <w:tc>
          <w:tcPr>
            <w:tcW w:type="dxa" w:w="2376"/>
            <w:vAlign w:val="top"/>
          </w:tcPr>
          <w:p>
            <w:pPr>
              <w:spacing w:after="0"/>
            </w:pPr>
            <w:r>
              <w:rPr>
                <w:rFonts w:ascii="Arial" w:hAnsi="Arial"/>
                <w:sz w:val="16"/>
              </w:rPr>
              <w:t>Engenheiro ambiental</w:t>
            </w:r>
          </w:p>
        </w:tc>
        <w:tc>
          <w:tcPr>
            <w:tcW w:type="dxa" w:w="6984"/>
            <w:vAlign w:val="top"/>
          </w:tcPr>
          <w:p>
            <w:pPr>
              <w:spacing w:after="0"/>
            </w:pPr>
            <w:r>
              <w:rPr>
                <w:rFonts w:ascii="Arial" w:hAnsi="Arial"/>
                <w:sz w:val="16"/>
              </w:rPr>
              <w:t>APP, vegetação, UC, licenciamento, embargos, CAR, áreas contaminadas, compensações e restrições.</w:t>
            </w:r>
          </w:p>
        </w:tc>
      </w:tr>
      <w:tr>
        <w:trPr>
          <w:cantSplit/>
        </w:trPr>
        <w:tc>
          <w:tcPr>
            <w:tcW w:type="dxa" w:w="2376"/>
            <w:vAlign w:val="top"/>
          </w:tcPr>
          <w:p>
            <w:pPr>
              <w:spacing w:after="0"/>
            </w:pPr>
            <w:r>
              <w:rPr>
                <w:rFonts w:ascii="Arial" w:hAnsi="Arial"/>
                <w:sz w:val="16"/>
              </w:rPr>
              <w:t>Engenheiro de transportes</w:t>
            </w:r>
          </w:p>
        </w:tc>
        <w:tc>
          <w:tcPr>
            <w:tcW w:type="dxa" w:w="6984"/>
            <w:vAlign w:val="top"/>
          </w:tcPr>
          <w:p>
            <w:pPr>
              <w:spacing w:after="0"/>
            </w:pPr>
            <w:r>
              <w:rPr>
                <w:rFonts w:ascii="Arial" w:hAnsi="Arial"/>
                <w:sz w:val="16"/>
              </w:rPr>
              <w:t>Classificação viária, acessos, geração de viagens, PGT, transporte coletivo, carga/descarga e EIV.</w:t>
            </w:r>
          </w:p>
        </w:tc>
      </w:tr>
      <w:tr>
        <w:trPr>
          <w:cantSplit/>
        </w:trPr>
        <w:tc>
          <w:tcPr>
            <w:tcW w:type="dxa" w:w="2376"/>
            <w:vAlign w:val="top"/>
          </w:tcPr>
          <w:p>
            <w:pPr>
              <w:spacing w:after="0"/>
            </w:pPr>
            <w:r>
              <w:rPr>
                <w:rFonts w:ascii="Arial" w:hAnsi="Arial"/>
                <w:sz w:val="16"/>
              </w:rPr>
              <w:t>Incorporador/loteador</w:t>
            </w:r>
          </w:p>
        </w:tc>
        <w:tc>
          <w:tcPr>
            <w:tcW w:type="dxa" w:w="6984"/>
            <w:vAlign w:val="top"/>
          </w:tcPr>
          <w:p>
            <w:pPr>
              <w:spacing w:after="0"/>
            </w:pPr>
            <w:r>
              <w:rPr>
                <w:rFonts w:ascii="Arial" w:hAnsi="Arial"/>
                <w:sz w:val="16"/>
              </w:rPr>
              <w:t>Potencial construtivo, área vendável estimada, outorga, CEPAC, custos urbanísticos, prazo de aprovação e risco jurídico.</w:t>
            </w:r>
          </w:p>
        </w:tc>
      </w:tr>
      <w:tr>
        <w:trPr>
          <w:cantSplit/>
        </w:trPr>
        <w:tc>
          <w:tcPr>
            <w:tcW w:type="dxa" w:w="2376"/>
            <w:vAlign w:val="top"/>
          </w:tcPr>
          <w:p>
            <w:pPr>
              <w:spacing w:after="0"/>
            </w:pPr>
            <w:r>
              <w:rPr>
                <w:rFonts w:ascii="Arial" w:hAnsi="Arial"/>
                <w:sz w:val="16"/>
              </w:rPr>
              <w:t>Corretor/imobiliária</w:t>
            </w:r>
          </w:p>
        </w:tc>
        <w:tc>
          <w:tcPr>
            <w:tcW w:type="dxa" w:w="6984"/>
            <w:vAlign w:val="top"/>
          </w:tcPr>
          <w:p>
            <w:pPr>
              <w:spacing w:after="0"/>
            </w:pPr>
            <w:r>
              <w:rPr>
                <w:rFonts w:ascii="Arial" w:hAnsi="Arial"/>
                <w:sz w:val="16"/>
              </w:rPr>
              <w:t>Qualificação do imóvel, vocação de uso, argumentos de venda, restrições, comparáveis e riscos antes da captação.</w:t>
            </w:r>
          </w:p>
        </w:tc>
      </w:tr>
      <w:tr>
        <w:trPr>
          <w:cantSplit/>
        </w:trPr>
        <w:tc>
          <w:tcPr>
            <w:tcW w:type="dxa" w:w="2376"/>
            <w:vAlign w:val="top"/>
          </w:tcPr>
          <w:p>
            <w:pPr>
              <w:spacing w:after="0"/>
            </w:pPr>
            <w:r>
              <w:rPr>
                <w:rFonts w:ascii="Arial" w:hAnsi="Arial"/>
                <w:sz w:val="16"/>
              </w:rPr>
              <w:t>Avaliador/perito</w:t>
            </w:r>
          </w:p>
        </w:tc>
        <w:tc>
          <w:tcPr>
            <w:tcW w:type="dxa" w:w="6984"/>
            <w:vAlign w:val="top"/>
          </w:tcPr>
          <w:p>
            <w:pPr>
              <w:spacing w:after="0"/>
            </w:pPr>
            <w:r>
              <w:rPr>
                <w:rFonts w:ascii="Arial" w:hAnsi="Arial"/>
                <w:sz w:val="16"/>
              </w:rPr>
              <w:t>Situação urbanística na data-base, parâmetros históricos, comparáveis, limitações, servidões e evidência documental.</w:t>
            </w:r>
          </w:p>
        </w:tc>
      </w:tr>
      <w:tr>
        <w:trPr>
          <w:cantSplit/>
        </w:trPr>
        <w:tc>
          <w:tcPr>
            <w:tcW w:type="dxa" w:w="2376"/>
            <w:vAlign w:val="top"/>
          </w:tcPr>
          <w:p>
            <w:pPr>
              <w:spacing w:after="0"/>
            </w:pPr>
            <w:r>
              <w:rPr>
                <w:rFonts w:ascii="Arial" w:hAnsi="Arial"/>
                <w:sz w:val="16"/>
              </w:rPr>
              <w:t>Advogado/registro</w:t>
            </w:r>
          </w:p>
        </w:tc>
        <w:tc>
          <w:tcPr>
            <w:tcW w:type="dxa" w:w="6984"/>
            <w:vAlign w:val="top"/>
          </w:tcPr>
          <w:p>
            <w:pPr>
              <w:spacing w:after="0"/>
            </w:pPr>
            <w:r>
              <w:rPr>
                <w:rFonts w:ascii="Arial" w:hAnsi="Arial"/>
                <w:sz w:val="16"/>
              </w:rPr>
              <w:t>Matrícula, ônus, indisponibilidades, servidões, regularização, conflitos cadastrais, REURB e cadeia documental.</w:t>
            </w:r>
          </w:p>
        </w:tc>
      </w:tr>
      <w:tr>
        <w:trPr>
          <w:cantSplit/>
        </w:trPr>
        <w:tc>
          <w:tcPr>
            <w:tcW w:type="dxa" w:w="2376"/>
            <w:vAlign w:val="top"/>
          </w:tcPr>
          <w:p>
            <w:pPr>
              <w:spacing w:after="0"/>
            </w:pPr>
            <w:r>
              <w:rPr>
                <w:rFonts w:ascii="Arial" w:hAnsi="Arial"/>
                <w:sz w:val="16"/>
              </w:rPr>
              <w:t>Banco/fundo/investidor</w:t>
            </w:r>
          </w:p>
        </w:tc>
        <w:tc>
          <w:tcPr>
            <w:tcW w:type="dxa" w:w="6984"/>
            <w:vAlign w:val="top"/>
          </w:tcPr>
          <w:p>
            <w:pPr>
              <w:spacing w:after="0"/>
            </w:pPr>
            <w:r>
              <w:rPr>
                <w:rFonts w:ascii="Arial" w:hAnsi="Arial"/>
                <w:sz w:val="16"/>
              </w:rPr>
              <w:t>Due diligence, liquidez, risco legal/ambiental, garantia, viabilidade, custos de regularização e cenários.</w:t>
            </w:r>
          </w:p>
        </w:tc>
      </w:tr>
      <w:tr>
        <w:trPr>
          <w:cantSplit/>
        </w:trPr>
        <w:tc>
          <w:tcPr>
            <w:tcW w:type="dxa" w:w="2376"/>
            <w:vAlign w:val="top"/>
          </w:tcPr>
          <w:p>
            <w:pPr>
              <w:spacing w:after="0"/>
            </w:pPr>
            <w:r>
              <w:rPr>
                <w:rFonts w:ascii="Arial" w:hAnsi="Arial"/>
                <w:sz w:val="16"/>
              </w:rPr>
              <w:t>Seguradora</w:t>
            </w:r>
          </w:p>
        </w:tc>
        <w:tc>
          <w:tcPr>
            <w:tcW w:type="dxa" w:w="6984"/>
            <w:vAlign w:val="top"/>
          </w:tcPr>
          <w:p>
            <w:pPr>
              <w:spacing w:after="0"/>
            </w:pPr>
            <w:r>
              <w:rPr>
                <w:rFonts w:ascii="Arial" w:hAnsi="Arial"/>
                <w:sz w:val="16"/>
              </w:rPr>
              <w:t>Riscos físicos, geológicos, hidrológicos, ambientais, de infraestrutura e exposição do empreendimento.</w:t>
            </w:r>
          </w:p>
        </w:tc>
      </w:tr>
      <w:tr>
        <w:trPr>
          <w:cantSplit/>
        </w:trPr>
        <w:tc>
          <w:tcPr>
            <w:tcW w:type="dxa" w:w="2376"/>
            <w:vAlign w:val="top"/>
          </w:tcPr>
          <w:p>
            <w:pPr>
              <w:spacing w:after="0"/>
            </w:pPr>
            <w:r>
              <w:rPr>
                <w:rFonts w:ascii="Arial" w:hAnsi="Arial"/>
                <w:sz w:val="16"/>
              </w:rPr>
              <w:t>Prefeitura</w:t>
            </w:r>
          </w:p>
        </w:tc>
        <w:tc>
          <w:tcPr>
            <w:tcW w:type="dxa" w:w="6984"/>
            <w:vAlign w:val="top"/>
          </w:tcPr>
          <w:p>
            <w:pPr>
              <w:spacing w:after="0"/>
            </w:pPr>
            <w:r>
              <w:rPr>
                <w:rFonts w:ascii="Arial" w:hAnsi="Arial"/>
                <w:sz w:val="16"/>
              </w:rPr>
              <w:t>Planejamento, fiscalização, aprovação, cadastro, arrecadação, gestão territorial, expansão urbana e transparência.</w:t>
            </w:r>
          </w:p>
        </w:tc>
      </w:tr>
      <w:tr>
        <w:trPr>
          <w:cantSplit/>
        </w:trPr>
        <w:tc>
          <w:tcPr>
            <w:tcW w:type="dxa" w:w="2376"/>
            <w:vAlign w:val="top"/>
          </w:tcPr>
          <w:p>
            <w:pPr>
              <w:spacing w:after="0"/>
            </w:pPr>
            <w:r>
              <w:rPr>
                <w:rFonts w:ascii="Arial" w:hAnsi="Arial"/>
                <w:sz w:val="16"/>
              </w:rPr>
              <w:t>Concessionária/utility</w:t>
            </w:r>
          </w:p>
        </w:tc>
        <w:tc>
          <w:tcPr>
            <w:tcW w:type="dxa" w:w="6984"/>
            <w:vAlign w:val="top"/>
          </w:tcPr>
          <w:p>
            <w:pPr>
              <w:spacing w:after="0"/>
            </w:pPr>
            <w:r>
              <w:rPr>
                <w:rFonts w:ascii="Arial" w:hAnsi="Arial"/>
                <w:sz w:val="16"/>
              </w:rPr>
              <w:t>Demanda, interferências, disponibilidade de rede, expansão e compatibilização com obras.</w:t>
            </w:r>
          </w:p>
        </w:tc>
      </w:tr>
      <w:tr>
        <w:trPr>
          <w:cantSplit/>
        </w:trPr>
        <w:tc>
          <w:tcPr>
            <w:tcW w:type="dxa" w:w="2376"/>
            <w:vAlign w:val="top"/>
          </w:tcPr>
          <w:p>
            <w:pPr>
              <w:spacing w:after="0"/>
            </w:pPr>
            <w:r>
              <w:rPr>
                <w:rFonts w:ascii="Arial" w:hAnsi="Arial"/>
                <w:sz w:val="16"/>
              </w:rPr>
              <w:t>Cidadão/proprietário</w:t>
            </w:r>
          </w:p>
        </w:tc>
        <w:tc>
          <w:tcPr>
            <w:tcW w:type="dxa" w:w="6984"/>
            <w:vAlign w:val="top"/>
          </w:tcPr>
          <w:p>
            <w:pPr>
              <w:spacing w:after="0"/>
            </w:pPr>
            <w:r>
              <w:rPr>
                <w:rFonts w:ascii="Arial" w:hAnsi="Arial"/>
                <w:sz w:val="16"/>
              </w:rPr>
              <w:t>Entender o imóvel, restrições, obrigações, regularização, valorização e caminho para aprovar uma intervenção.</w:t>
            </w:r>
          </w:p>
        </w:tc>
      </w:tr>
    </w:tbl>
    <w:p>
      <w:pPr>
        <w:spacing w:after="20"/>
      </w:pPr>
    </w:p>
    <w:p>
      <w:pPr>
        <w:pStyle w:val="Heading1"/>
        <w:keepNext/>
      </w:pPr>
      <w:r>
        <w:t>3. Estrutura do relatório completo do imóvel</w:t>
      </w:r>
    </w:p>
    <w:p>
      <w:r>
        <w:t>A ficha deve ser modular: nenhum município terá todas as fontes disponíveis, mas o schema do relatório deve ser o mesmo em todo o País. Cada campo deve informar valor, unidade, data de vigência, fonte, status de confiança e observação de cobertura.</w:t>
      </w:r>
    </w:p>
    <w:p>
      <w:pPr>
        <w:pStyle w:val="Heading2"/>
        <w:keepNext/>
      </w:pPr>
      <w:r>
        <w:t>3.1 Identificação física e territorial</w:t>
      </w:r>
    </w:p>
    <w:p>
      <w:pPr>
        <w:spacing w:after="30"/>
        <w:ind w:left="259" w:hanging="173"/>
      </w:pPr>
      <w:r>
        <w:t xml:space="preserve">• </w:t>
      </w:r>
      <w:r>
        <w:t>Endereço completo, CEP, coordenadas, geocódigo IBGE, distrito, subdistrito, bairro e setor censitário.</w:t>
      </w:r>
    </w:p>
    <w:p>
      <w:pPr>
        <w:spacing w:after="30"/>
        <w:ind w:left="259" w:hanging="173"/>
      </w:pPr>
      <w:r>
        <w:t xml:space="preserve">• </w:t>
      </w:r>
      <w:r>
        <w:t>Polígono do lote/gleba; ponto de referência; centroide; área geodésica calculada; perímetro.</w:t>
      </w:r>
    </w:p>
    <w:p>
      <w:pPr>
        <w:spacing w:after="30"/>
        <w:ind w:left="259" w:hanging="173"/>
      </w:pPr>
      <w:r>
        <w:t xml:space="preserve">• </w:t>
      </w:r>
      <w:r>
        <w:t>Inscrição imobiliária/SQL/cadastro municipal; CIB quando disponível; código do lote fiscal; setor/quadra/lote.</w:t>
      </w:r>
    </w:p>
    <w:p>
      <w:pPr>
        <w:spacing w:after="30"/>
        <w:ind w:left="259" w:hanging="173"/>
      </w:pPr>
      <w:r>
        <w:t xml:space="preserve">• </w:t>
      </w:r>
      <w:r>
        <w:t>Matrícula(s), transcrição(ões), cartório e CNS quando informados ou obtidos por integração autorizada.</w:t>
      </w:r>
    </w:p>
    <w:p>
      <w:pPr>
        <w:spacing w:after="30"/>
        <w:ind w:left="259" w:hanging="173"/>
      </w:pPr>
      <w:r>
        <w:t xml:space="preserve">• </w:t>
      </w:r>
      <w:r>
        <w:t>Área registral, área cadastral, área levantada e área GIS; divergência absoluta e percentual entre elas.</w:t>
      </w:r>
    </w:p>
    <w:p>
      <w:pPr>
        <w:spacing w:after="30"/>
        <w:ind w:left="259" w:hanging="173"/>
      </w:pPr>
      <w:r>
        <w:t xml:space="preserve">• </w:t>
      </w:r>
      <w:r>
        <w:t>Testada(s), profundidade, confrontações, lote de esquina, número de frentes e geometria irregular.</w:t>
      </w:r>
    </w:p>
    <w:p>
      <w:pPr>
        <w:spacing w:after="30"/>
        <w:ind w:left="259" w:hanging="173"/>
      </w:pPr>
      <w:r>
        <w:t xml:space="preserve">• </w:t>
      </w:r>
      <w:r>
        <w:t>Altimetria, cota média, amplitude altimétrica, declividade mínima/média/máxima, orientação e modelo digital de terreno.</w:t>
      </w:r>
    </w:p>
    <w:p>
      <w:pPr>
        <w:spacing w:after="30"/>
        <w:ind w:left="259" w:hanging="173"/>
      </w:pPr>
      <w:r>
        <w:t xml:space="preserve">• </w:t>
      </w:r>
      <w:r>
        <w:t>Situação urbano/rural/periurbano; perímetro urbano, expansão urbana, urbanização específica e zona rural.</w:t>
      </w:r>
    </w:p>
    <w:p>
      <w:pPr>
        <w:spacing w:after="30"/>
        <w:ind w:left="259" w:hanging="173"/>
      </w:pPr>
      <w:r>
        <w:t xml:space="preserve">• </w:t>
      </w:r>
      <w:r>
        <w:t>Data-base da análise e coordenada temporal: “vigente em” para permitir perícias e estudos históricos.</w:t>
      </w:r>
    </w:p>
    <w:p>
      <w:pPr>
        <w:pStyle w:val="Heading2"/>
        <w:keepNext/>
      </w:pPr>
      <w:r>
        <w:t>3.2 Situação registral, dominial e cadastral</w:t>
      </w:r>
    </w:p>
    <w:p>
      <w:pPr>
        <w:spacing w:after="30"/>
        <w:ind w:left="259" w:hanging="173"/>
      </w:pPr>
      <w:r>
        <w:t xml:space="preserve">• </w:t>
      </w:r>
      <w:r>
        <w:t>Referência da matrícula, situação da matrícula, cartório competente e visualização/certidão quando o usuário tiver autorização via SREI/ONR [R11].</w:t>
      </w:r>
    </w:p>
    <w:p>
      <w:pPr>
        <w:spacing w:after="30"/>
        <w:ind w:left="259" w:hanging="173"/>
      </w:pPr>
      <w:r>
        <w:t xml:space="preserve">• </w:t>
      </w:r>
      <w:r>
        <w:t>Proprietário/titular somente sob base legal e perfil de acesso compatível; dados pessoais minimizados.</w:t>
      </w:r>
    </w:p>
    <w:p>
      <w:pPr>
        <w:spacing w:after="30"/>
        <w:ind w:left="259" w:hanging="173"/>
      </w:pPr>
      <w:r>
        <w:t xml:space="preserve">• </w:t>
      </w:r>
      <w:r>
        <w:t>Ônus, hipotecas, alienação fiduciária, usufruto, servidões, penhoras, indisponibilidades, averbações e cláusulas restritivas quando documentadas.</w:t>
      </w:r>
    </w:p>
    <w:p>
      <w:pPr>
        <w:spacing w:after="30"/>
        <w:ind w:left="259" w:hanging="173"/>
      </w:pPr>
      <w:r>
        <w:t xml:space="preserve">• </w:t>
      </w:r>
      <w:r>
        <w:t>Divergências entre matrícula, cadastro fiscal, levantamento e geometria municipal.</w:t>
      </w:r>
    </w:p>
    <w:p>
      <w:pPr>
        <w:spacing w:after="30"/>
        <w:ind w:left="259" w:hanging="173"/>
      </w:pPr>
      <w:r>
        <w:t xml:space="preserve">• </w:t>
      </w:r>
      <w:r>
        <w:t>Origem dominial, parcelamento registrado, condomínio/loteamento, incorporação, patrimônio de afetação quando aplicável.</w:t>
      </w:r>
    </w:p>
    <w:p>
      <w:pPr>
        <w:spacing w:after="30"/>
        <w:ind w:left="259" w:hanging="173"/>
      </w:pPr>
      <w:r>
        <w:t xml:space="preserve">• </w:t>
      </w:r>
      <w:r>
        <w:t>Reurb-S/Reurb-E, legitimação fundiária, demarcação urbanística, usucapião e regularização em andamento.</w:t>
      </w:r>
    </w:p>
    <w:p>
      <w:pPr>
        <w:spacing w:after="30"/>
        <w:ind w:left="259" w:hanging="173"/>
      </w:pPr>
      <w:r>
        <w:t xml:space="preserve">• </w:t>
      </w:r>
      <w:r>
        <w:t>Terrenos públicos, da União, faixa de marinha, áreas militares ou outras dominialidades especiais quando houver fonte.</w:t>
      </w:r>
    </w:p>
    <w:p>
      <w:pPr>
        <w:spacing w:after="30"/>
        <w:ind w:left="259" w:hanging="173"/>
      </w:pPr>
      <w:r>
        <w:t xml:space="preserve">• </w:t>
      </w:r>
      <w:r>
        <w:t>Para imóvel rural/periurbano: SIGEF/SNCR/CCIR, CAR/SICAR, código do imóvel rural e conflitos de sobreposição quando aplicável [R12][R13].</w:t>
      </w:r>
    </w:p>
    <w:p>
      <w:pPr>
        <w:pStyle w:val="Heading2"/>
        <w:keepNext/>
      </w:pPr>
      <w:r>
        <w:t>3.3 Hierarquia urbanística e legislação vigente</w:t>
      </w:r>
    </w:p>
    <w:p>
      <w:pPr>
        <w:spacing w:after="30"/>
        <w:ind w:left="259" w:hanging="173"/>
      </w:pPr>
      <w:r>
        <w:t xml:space="preserve">• </w:t>
      </w:r>
      <w:r>
        <w:t>Plano Diretor: lei, número, data, vigência, revisão, versão consolidada, anexos e mapas.</w:t>
      </w:r>
    </w:p>
    <w:p>
      <w:pPr>
        <w:spacing w:after="30"/>
        <w:ind w:left="259" w:hanging="173"/>
      </w:pPr>
      <w:r>
        <w:t xml:space="preserve">• </w:t>
      </w:r>
      <w:r>
        <w:t>Lei de parcelamento, uso e ocupação do solo/zoneamento; mapas de zonas e quadros de parâmetros.</w:t>
      </w:r>
    </w:p>
    <w:p>
      <w:pPr>
        <w:spacing w:after="30"/>
        <w:ind w:left="259" w:hanging="173"/>
      </w:pPr>
      <w:r>
        <w:t xml:space="preserve">• </w:t>
      </w:r>
      <w:r>
        <w:t>Código de Obras/Edificações; Código de Posturas; legislação de calçadas, acessibilidade e publicidade.</w:t>
      </w:r>
    </w:p>
    <w:p>
      <w:pPr>
        <w:spacing w:after="30"/>
        <w:ind w:left="259" w:hanging="173"/>
      </w:pPr>
      <w:r>
        <w:t xml:space="preserve">• </w:t>
      </w:r>
      <w:r>
        <w:t>Plano de Mobilidade, plano viário, plano cicloviário, plano de drenagem, saneamento, habitação, meio ambiente e patrimônio.</w:t>
      </w:r>
    </w:p>
    <w:p>
      <w:pPr>
        <w:spacing w:after="30"/>
        <w:ind w:left="259" w:hanging="173"/>
      </w:pPr>
      <w:r>
        <w:t xml:space="preserve">• </w:t>
      </w:r>
      <w:r>
        <w:t>Leis específicas de ZEIS/AEIS, operações urbanas, áreas de intervenção, eixos, centralidades e setores especiais.</w:t>
      </w:r>
    </w:p>
    <w:p>
      <w:pPr>
        <w:spacing w:after="30"/>
        <w:ind w:left="259" w:hanging="173"/>
      </w:pPr>
      <w:r>
        <w:t xml:space="preserve">• </w:t>
      </w:r>
      <w:r>
        <w:t>Decretos, portarias, resoluções, instruções, erratas e regras de transição.</w:t>
      </w:r>
    </w:p>
    <w:p>
      <w:pPr>
        <w:spacing w:after="30"/>
        <w:ind w:left="259" w:hanging="173"/>
      </w:pPr>
      <w:r>
        <w:t xml:space="preserve">• </w:t>
      </w:r>
      <w:r>
        <w:t>Lei vigente na data-base + histórico de leis anteriores, revogações e alterações.</w:t>
      </w:r>
    </w:p>
    <w:p>
      <w:pPr>
        <w:spacing w:after="30"/>
        <w:ind w:left="259" w:hanging="173"/>
      </w:pPr>
      <w:r>
        <w:t xml:space="preserve">• </w:t>
      </w:r>
      <w:r>
        <w:t>Artigo, quadro, tabela, anexo e mapa exatos que fundamentam cada parâmetro.</w:t>
      </w:r>
    </w:p>
    <w:p>
      <w:pPr>
        <w:pStyle w:val="Heading2"/>
        <w:keepNext/>
      </w:pPr>
      <w:r>
        <w:t>3.4 Enquadramento territorial</w:t>
      </w:r>
    </w:p>
    <w:p>
      <w:pPr>
        <w:spacing w:after="30"/>
        <w:ind w:left="259" w:hanging="173"/>
      </w:pPr>
      <w:r>
        <w:t xml:space="preserve">• </w:t>
      </w:r>
      <w:r>
        <w:t>Macrozona, macroárea, zona, subzona, setor, eixo, corredor, centralidade, área de transformação ou categoria equivalente.</w:t>
      </w:r>
    </w:p>
    <w:p>
      <w:pPr>
        <w:spacing w:after="30"/>
        <w:ind w:left="259" w:hanging="173"/>
      </w:pPr>
      <w:r>
        <w:t xml:space="preserve">• </w:t>
      </w:r>
      <w:r>
        <w:t>ZEIS/AEIS e subtipo; operação urbana; área de intervenção; perímetro de incentivo; zona de preservação.</w:t>
      </w:r>
    </w:p>
    <w:p>
      <w:pPr>
        <w:spacing w:after="30"/>
        <w:ind w:left="259" w:hanging="173"/>
      </w:pPr>
      <w:r>
        <w:t xml:space="preserve">• </w:t>
      </w:r>
      <w:r>
        <w:t>Área de proteção a mananciais; área ambiental especial; paisagem cultural; entorno de tombamento.</w:t>
      </w:r>
    </w:p>
    <w:p>
      <w:pPr>
        <w:spacing w:after="30"/>
        <w:ind w:left="259" w:hanging="173"/>
      </w:pPr>
      <w:r>
        <w:t xml:space="preserve">• </w:t>
      </w:r>
      <w:r>
        <w:t>Área de risco; área sujeita a inundação; suscetibilidade geológica; área contaminada; área de reabilitação urbana.</w:t>
      </w:r>
    </w:p>
    <w:p>
      <w:pPr>
        <w:spacing w:after="30"/>
        <w:ind w:left="259" w:hanging="173"/>
      </w:pPr>
      <w:r>
        <w:t xml:space="preserve">• </w:t>
      </w:r>
      <w:r>
        <w:t>Interseções múltiplas: o relatório deve listar todas as camadas que incidem e a prioridade normativa entre elas.</w:t>
      </w:r>
    </w:p>
    <w:p>
      <w:pPr>
        <w:pStyle w:val="Heading2"/>
        <w:keepNext/>
      </w:pPr>
      <w:r>
        <w:t>3.5 O que pode e o que não pode ser construído</w:t>
      </w:r>
    </w:p>
    <w:p>
      <w:pPr>
        <w:spacing w:after="30"/>
        <w:ind w:left="259" w:hanging="173"/>
      </w:pPr>
      <w:r>
        <w:t xml:space="preserve">• </w:t>
      </w:r>
      <w:r>
        <w:t>Usos residenciais: unifamiliar, multifamiliar, HIS, HMP e categorias locais.</w:t>
      </w:r>
    </w:p>
    <w:p>
      <w:pPr>
        <w:spacing w:after="30"/>
        <w:ind w:left="259" w:hanging="173"/>
      </w:pPr>
      <w:r>
        <w:t xml:space="preserve">• </w:t>
      </w:r>
      <w:r>
        <w:t>Comércio, serviços, hospedagem, saúde, educação, culto, eventos, alimentação, escritórios, coworking.</w:t>
      </w:r>
    </w:p>
    <w:p>
      <w:pPr>
        <w:spacing w:after="30"/>
        <w:ind w:left="259" w:hanging="173"/>
      </w:pPr>
      <w:r>
        <w:t xml:space="preserve">• </w:t>
      </w:r>
      <w:r>
        <w:t>Indústria, logística, depósito, oficina, data center, infraestrutura, energia, telecom e atividades especiais.</w:t>
      </w:r>
    </w:p>
    <w:p>
      <w:pPr>
        <w:spacing w:after="30"/>
        <w:ind w:left="259" w:hanging="173"/>
      </w:pPr>
      <w:r>
        <w:t xml:space="preserve">• </w:t>
      </w:r>
      <w:r>
        <w:t>Usos permitidos, condicionados, especiais, tolerados, não conformes e proibidos.</w:t>
      </w:r>
    </w:p>
    <w:p>
      <w:pPr>
        <w:spacing w:after="30"/>
        <w:ind w:left="259" w:hanging="173"/>
      </w:pPr>
      <w:r>
        <w:t xml:space="preserve">• </w:t>
      </w:r>
      <w:r>
        <w:t>Categorias de incomodidade: ruído, vibração, odor, emissões, risco, tráfego, carga/descarga e horário.</w:t>
      </w:r>
    </w:p>
    <w:p>
      <w:pPr>
        <w:spacing w:after="30"/>
        <w:ind w:left="259" w:hanging="173"/>
      </w:pPr>
      <w:r>
        <w:t xml:space="preserve">• </w:t>
      </w:r>
      <w:r>
        <w:t>Exigência de licença específica, EIV, RIT/RAP/PGT ou estudo de impacto.</w:t>
      </w:r>
    </w:p>
    <w:p>
      <w:pPr>
        <w:spacing w:after="30"/>
        <w:ind w:left="259" w:hanging="173"/>
      </w:pPr>
      <w:r>
        <w:t xml:space="preserve">• </w:t>
      </w:r>
      <w:r>
        <w:t>Mudança de uso possível, contrapartida, outorga por alteração de uso e condicionantes.</w:t>
      </w:r>
    </w:p>
    <w:p>
      <w:pPr>
        <w:spacing w:after="30"/>
        <w:ind w:left="259" w:hanging="173"/>
      </w:pPr>
      <w:r>
        <w:t xml:space="preserve">• </w:t>
      </w:r>
      <w:r>
        <w:t>Compatibilidade de uso com largura/classificação da via, área do lote e localização.</w:t>
      </w:r>
    </w:p>
    <w:p>
      <w:pPr>
        <w:pStyle w:val="Heading2"/>
        <w:keepNext/>
      </w:pPr>
      <w:r>
        <w:t>3.6 Parâmetros de ocupação e forma urbana</w:t>
      </w:r>
    </w:p>
    <w:p>
      <w:pPr>
        <w:spacing w:after="30"/>
        <w:ind w:left="259" w:hanging="173"/>
      </w:pPr>
      <w:r>
        <w:t xml:space="preserve">• </w:t>
      </w:r>
      <w:r>
        <w:t>Coeficiente de Aproveitamento mínimo, básico e máximo; potencial básico e adicional.</w:t>
      </w:r>
    </w:p>
    <w:p>
      <w:pPr>
        <w:spacing w:after="30"/>
        <w:ind w:left="259" w:hanging="173"/>
      </w:pPr>
      <w:r>
        <w:t xml:space="preserve">• </w:t>
      </w:r>
      <w:r>
        <w:t>Taxa de Ocupação máxima por faixa de lote/pavimento; embasamento e torre.</w:t>
      </w:r>
    </w:p>
    <w:p>
      <w:pPr>
        <w:spacing w:after="30"/>
        <w:ind w:left="259" w:hanging="173"/>
      </w:pPr>
      <w:r>
        <w:t xml:space="preserve">• </w:t>
      </w:r>
      <w:r>
        <w:t>Taxa de Permeabilidade, quota ambiental e mecanismos equivalentes.</w:t>
      </w:r>
    </w:p>
    <w:p>
      <w:pPr>
        <w:spacing w:after="30"/>
        <w:ind w:left="259" w:hanging="173"/>
      </w:pPr>
      <w:r>
        <w:t xml:space="preserve">• </w:t>
      </w:r>
      <w:r>
        <w:t>Gabarito, altura máxima, número de pavimentos e método municipal de medição da altura.</w:t>
      </w:r>
    </w:p>
    <w:p>
      <w:pPr>
        <w:spacing w:after="30"/>
        <w:ind w:left="259" w:hanging="173"/>
      </w:pPr>
      <w:r>
        <w:t xml:space="preserve">• </w:t>
      </w:r>
      <w:r>
        <w:t>Recuo frontal, lateral, fundos, progressivo por altura, torre/embasamento, piscinas e anexos.</w:t>
      </w:r>
    </w:p>
    <w:p>
      <w:pPr>
        <w:spacing w:after="30"/>
        <w:ind w:left="259" w:hanging="173"/>
      </w:pPr>
      <w:r>
        <w:t xml:space="preserve">• </w:t>
      </w:r>
      <w:r>
        <w:t>Lote mínimo, lote máximo, frente/testada mínima, profundidade e parâmetros de esquina.</w:t>
      </w:r>
    </w:p>
    <w:p>
      <w:pPr>
        <w:spacing w:after="30"/>
        <w:ind w:left="259" w:hanging="173"/>
      </w:pPr>
      <w:r>
        <w:t xml:space="preserve">• </w:t>
      </w:r>
      <w:r>
        <w:t>Densidade máxima/mínima, unidades/ha, habitantes/ha, quota de terreno por unidade.</w:t>
      </w:r>
    </w:p>
    <w:p>
      <w:pPr>
        <w:spacing w:after="30"/>
        <w:ind w:left="259" w:hanging="173"/>
      </w:pPr>
      <w:r>
        <w:t xml:space="preserve">• </w:t>
      </w:r>
      <w:r>
        <w:t>Fachada ativa, fruição pública, permeabilidade visual, limite de muro, calçada e doação de área.</w:t>
      </w:r>
    </w:p>
    <w:p>
      <w:pPr>
        <w:spacing w:after="30"/>
        <w:ind w:left="259" w:hanging="173"/>
      </w:pPr>
      <w:r>
        <w:t xml:space="preserve">• </w:t>
      </w:r>
      <w:r>
        <w:t>Verticalização, relação altura/largura da via, cone de aproximação e restrições paisagísticas.</w:t>
      </w:r>
    </w:p>
    <w:p>
      <w:pPr>
        <w:spacing w:after="30"/>
        <w:ind w:left="259" w:hanging="173"/>
      </w:pPr>
      <w:r>
        <w:t xml:space="preserve">• </w:t>
      </w:r>
      <w:r>
        <w:t>Áreas computáveis, não computáveis, incentivadas, bonificadas e excluídas do cálculo.</w:t>
      </w:r>
    </w:p>
    <w:p>
      <w:pPr>
        <w:spacing w:after="30"/>
        <w:ind w:left="259" w:hanging="173"/>
      </w:pPr>
      <w:r>
        <w:t xml:space="preserve">• </w:t>
      </w:r>
      <w:r>
        <w:t>Varandas, sacadas, áreas técnicas, circulação, garagem, subsolo e cobertura: tratamento no cálculo municipal.</w:t>
      </w:r>
    </w:p>
    <w:p>
      <w:pPr>
        <w:spacing w:after="30"/>
        <w:ind w:left="259" w:hanging="173"/>
      </w:pPr>
      <w:r>
        <w:t xml:space="preserve">• </w:t>
      </w:r>
      <w:r>
        <w:t>Estacionamento mínimo/máximo, bicicletas, motos, carga/descarga, PCD e embarque/desembarque.</w:t>
      </w:r>
    </w:p>
    <w:p>
      <w:pPr>
        <w:pStyle w:val="Heading2"/>
        <w:keepNext/>
      </w:pPr>
      <w:r>
        <w:t>3.7 Cálculos automáticos de viabilidade</w:t>
      </w:r>
    </w:p>
    <w:p>
      <w:pPr>
        <w:spacing w:after="30"/>
        <w:ind w:left="259" w:hanging="173"/>
      </w:pPr>
      <w:r>
        <w:t xml:space="preserve">• </w:t>
      </w:r>
      <w:r>
        <w:t>Área computável pelo CA básico e pelo CA máximo.</w:t>
      </w:r>
    </w:p>
    <w:p>
      <w:pPr>
        <w:spacing w:after="30"/>
        <w:ind w:left="259" w:hanging="173"/>
      </w:pPr>
      <w:r>
        <w:t xml:space="preserve">• </w:t>
      </w:r>
      <w:r>
        <w:t>Potencial adicional sujeito a outorga/CEPAC/TDC e estoque disponível quando a legislação usar estoque.</w:t>
      </w:r>
    </w:p>
    <w:p>
      <w:pPr>
        <w:spacing w:after="30"/>
        <w:ind w:left="259" w:hanging="173"/>
      </w:pPr>
      <w:r>
        <w:t xml:space="preserve">• </w:t>
      </w:r>
      <w:r>
        <w:t>Projeção máxima pela taxa de ocupação; área permeável mínima; área de fruição/doação quando aplicável.</w:t>
      </w:r>
    </w:p>
    <w:p>
      <w:pPr>
        <w:spacing w:after="30"/>
        <w:ind w:left="259" w:hanging="173"/>
      </w:pPr>
      <w:r>
        <w:t xml:space="preserve">• </w:t>
      </w:r>
      <w:r>
        <w:t>Envelope tridimensional preliminar: recuos, altura, ocupação, restrições e áreas não edificáveis.</w:t>
      </w:r>
    </w:p>
    <w:p>
      <w:pPr>
        <w:spacing w:after="30"/>
        <w:ind w:left="259" w:hanging="173"/>
      </w:pPr>
      <w:r>
        <w:t xml:space="preserve">• </w:t>
      </w:r>
      <w:r>
        <w:t>Número indicativo de pavimentos e área bruta potencial; estimativa de eficiência e área vendável com hipóteses explícitas.</w:t>
      </w:r>
    </w:p>
    <w:p>
      <w:pPr>
        <w:spacing w:after="30"/>
        <w:ind w:left="259" w:hanging="173"/>
      </w:pPr>
      <w:r>
        <w:t xml:space="preserve">• </w:t>
      </w:r>
      <w:r>
        <w:t>Cenários conservador, provável e máximo legal.</w:t>
      </w:r>
    </w:p>
    <w:p>
      <w:pPr>
        <w:spacing w:after="30"/>
        <w:ind w:left="259" w:hanging="173"/>
      </w:pPr>
      <w:r>
        <w:t xml:space="preserve">• </w:t>
      </w:r>
      <w:r>
        <w:t>Outorga Onerosa: fórmula municipal, fatores, valor de terreno, descontos, isenções e estimativa.</w:t>
      </w:r>
    </w:p>
    <w:p>
      <w:pPr>
        <w:spacing w:after="30"/>
        <w:ind w:left="259" w:hanging="173"/>
      </w:pPr>
      <w:r>
        <w:t xml:space="preserve">• </w:t>
      </w:r>
      <w:r>
        <w:t>CEPAC/operação urbana: potencial adicional, equivalência e custo quando aplicável.</w:t>
      </w:r>
    </w:p>
    <w:p>
      <w:pPr>
        <w:spacing w:after="30"/>
        <w:ind w:left="259" w:hanging="173"/>
      </w:pPr>
      <w:r>
        <w:t xml:space="preserve">• </w:t>
      </w:r>
      <w:r>
        <w:t>TDC: potencial cedente/receptor e regras de transferência.</w:t>
      </w:r>
    </w:p>
    <w:p>
      <w:pPr>
        <w:spacing w:after="30"/>
        <w:ind w:left="259" w:hanging="173"/>
      </w:pPr>
      <w:r>
        <w:t xml:space="preserve">• </w:t>
      </w:r>
      <w:r>
        <w:t>Custos urbanísticos identificáveis: outorga, compensações, taxas, EIV, contrapartidas e obras externas.</w:t>
      </w:r>
    </w:p>
    <w:p>
      <w:pPr>
        <w:spacing w:after="30"/>
        <w:ind w:left="259" w:hanging="173"/>
      </w:pPr>
      <w:r>
        <w:t xml:space="preserve">• </w:t>
      </w:r>
      <w:r>
        <w:t>Indicador de “potencial teórico” versus “potencial factível”, considerando altura, recuos, acesso, estrutura e infraestrutura.</w:t>
      </w:r>
    </w:p>
    <w:p>
      <w:pPr>
        <w:pStyle w:val="Heading2"/>
        <w:keepNext/>
      </w:pPr>
      <w:r>
        <w:t>3.8 Parcelamento, loteamento e remembramento</w:t>
      </w:r>
    </w:p>
    <w:p>
      <w:pPr>
        <w:spacing w:after="30"/>
        <w:ind w:left="259" w:hanging="173"/>
      </w:pPr>
      <w:r>
        <w:t xml:space="preserve">• </w:t>
      </w:r>
      <w:r>
        <w:t>Possibilidade de loteamento, desmembramento, remembramento, reparcelamento e condomínio de lotes.</w:t>
      </w:r>
    </w:p>
    <w:p>
      <w:pPr>
        <w:spacing w:after="30"/>
        <w:ind w:left="259" w:hanging="173"/>
      </w:pPr>
      <w:r>
        <w:t xml:space="preserve">• </w:t>
      </w:r>
      <w:r>
        <w:t>Área/testada mínima, quadra máxima, sistema viário, conexão de vias e hierarquia viária.</w:t>
      </w:r>
    </w:p>
    <w:p>
      <w:pPr>
        <w:spacing w:after="30"/>
        <w:ind w:left="259" w:hanging="173"/>
      </w:pPr>
      <w:r>
        <w:t xml:space="preserve">• </w:t>
      </w:r>
      <w:r>
        <w:t>Percentuais/áreas públicas, institucionais, verdes, sistema de lazer e equipamentos.</w:t>
      </w:r>
    </w:p>
    <w:p>
      <w:pPr>
        <w:spacing w:after="30"/>
        <w:ind w:left="259" w:hanging="173"/>
      </w:pPr>
      <w:r>
        <w:t xml:space="preserve">• </w:t>
      </w:r>
      <w:r>
        <w:t>Infraestrutura mínima exigida, cronograma e garantias.</w:t>
      </w:r>
    </w:p>
    <w:p>
      <w:pPr>
        <w:spacing w:after="30"/>
        <w:ind w:left="259" w:hanging="173"/>
      </w:pPr>
      <w:r>
        <w:t xml:space="preserve">• </w:t>
      </w:r>
      <w:r>
        <w:t>Faixas não edificáveis, cursos d’água, rodovias, ferrovias, dutos, linhas de transmissão e servidões.</w:t>
      </w:r>
    </w:p>
    <w:p>
      <w:pPr>
        <w:spacing w:after="30"/>
        <w:ind w:left="259" w:hanging="173"/>
      </w:pPr>
      <w:r>
        <w:t xml:space="preserve">• </w:t>
      </w:r>
      <w:r>
        <w:t>Declividade, alagamento, geologia e outras hipóteses em que o parcelamento é vedado ou condicionado pela Lei 6.766/1979 e legislação local [R2].</w:t>
      </w:r>
    </w:p>
    <w:p>
      <w:pPr>
        <w:pStyle w:val="Heading2"/>
        <w:keepNext/>
      </w:pPr>
      <w:r>
        <w:t>3.9 Instrumentos urbanísticos e financeiros</w:t>
      </w:r>
    </w:p>
    <w:p>
      <w:pPr>
        <w:spacing w:after="30"/>
        <w:ind w:left="259" w:hanging="173"/>
      </w:pPr>
      <w:r>
        <w:t xml:space="preserve">• </w:t>
      </w:r>
      <w:r>
        <w:t>Outorga Onerosa do Direito de Construir e de alteração de uso.</w:t>
      </w:r>
    </w:p>
    <w:p>
      <w:pPr>
        <w:spacing w:after="30"/>
        <w:ind w:left="259" w:hanging="173"/>
      </w:pPr>
      <w:r>
        <w:t xml:space="preserve">• </w:t>
      </w:r>
      <w:r>
        <w:t>Transferência do Direito de Construir.</w:t>
      </w:r>
    </w:p>
    <w:p>
      <w:pPr>
        <w:spacing w:after="30"/>
        <w:ind w:left="259" w:hanging="173"/>
      </w:pPr>
      <w:r>
        <w:t xml:space="preserve">• </w:t>
      </w:r>
      <w:r>
        <w:t>Direito de preempção.</w:t>
      </w:r>
    </w:p>
    <w:p>
      <w:pPr>
        <w:spacing w:after="30"/>
        <w:ind w:left="259" w:hanging="173"/>
      </w:pPr>
      <w:r>
        <w:t xml:space="preserve">• </w:t>
      </w:r>
      <w:r>
        <w:t>Parcelamento, Edificação ou Utilização Compulsórios (PEUC).</w:t>
      </w:r>
    </w:p>
    <w:p>
      <w:pPr>
        <w:spacing w:after="30"/>
        <w:ind w:left="259" w:hanging="173"/>
      </w:pPr>
      <w:r>
        <w:t xml:space="preserve">• </w:t>
      </w:r>
      <w:r>
        <w:t>IPTU progressivo no tempo e desapropriação-sanção.</w:t>
      </w:r>
    </w:p>
    <w:p>
      <w:pPr>
        <w:spacing w:after="30"/>
        <w:ind w:left="259" w:hanging="173"/>
      </w:pPr>
      <w:r>
        <w:t xml:space="preserve">• </w:t>
      </w:r>
      <w:r>
        <w:t>Operação Urbana Consorciada e CEPAC.</w:t>
      </w:r>
    </w:p>
    <w:p>
      <w:pPr>
        <w:spacing w:after="30"/>
        <w:ind w:left="259" w:hanging="173"/>
      </w:pPr>
      <w:r>
        <w:t xml:space="preserve">• </w:t>
      </w:r>
      <w:r>
        <w:t>Consórcio imobiliário, direito de superfície e instrumentos locais equivalentes.</w:t>
      </w:r>
    </w:p>
    <w:p>
      <w:pPr>
        <w:spacing w:after="30"/>
        <w:ind w:left="259" w:hanging="173"/>
      </w:pPr>
      <w:r>
        <w:t xml:space="preserve">• </w:t>
      </w:r>
      <w:r>
        <w:t>ZEIS/AEIS e percentuais obrigatórios de HIS/HMP.</w:t>
      </w:r>
    </w:p>
    <w:p>
      <w:pPr>
        <w:spacing w:after="30"/>
        <w:ind w:left="259" w:hanging="173"/>
      </w:pPr>
      <w:r>
        <w:t xml:space="preserve">• </w:t>
      </w:r>
      <w:r>
        <w:t>Incentivos fiscais, urbanísticos, retrofit, preservação, fachada ativa, adensamento e uso misto.</w:t>
      </w:r>
    </w:p>
    <w:p>
      <w:pPr>
        <w:spacing w:after="30"/>
        <w:ind w:left="259" w:hanging="173"/>
      </w:pPr>
      <w:r>
        <w:t xml:space="preserve">• </w:t>
      </w:r>
      <w:r>
        <w:t>Contribuição de melhoria, contrapartidas e obrigações vinculadas a projetos específicos.</w:t>
      </w:r>
    </w:p>
    <w:p>
      <w:pPr>
        <w:pStyle w:val="Heading2"/>
        <w:keepNext/>
      </w:pPr>
      <w:r>
        <w:t>3.10 Licenciamento e aprovações</w:t>
      </w:r>
    </w:p>
    <w:p>
      <w:pPr>
        <w:spacing w:after="30"/>
        <w:ind w:left="259" w:hanging="173"/>
      </w:pPr>
      <w:r>
        <w:t xml:space="preserve">• </w:t>
      </w:r>
      <w:r>
        <w:t>Consulta prévia/viabilidade, diretrizes urbanísticas, aprovação de projeto e alvará de construção.</w:t>
      </w:r>
    </w:p>
    <w:p>
      <w:pPr>
        <w:spacing w:after="30"/>
        <w:ind w:left="259" w:hanging="173"/>
      </w:pPr>
      <w:r>
        <w:t xml:space="preserve">• </w:t>
      </w:r>
      <w:r>
        <w:t>Licença de demolição, reforma, movimento de terra, tapume, ocupação de passeio e interferência viária.</w:t>
      </w:r>
    </w:p>
    <w:p>
      <w:pPr>
        <w:spacing w:after="30"/>
        <w:ind w:left="259" w:hanging="173"/>
      </w:pPr>
      <w:r>
        <w:t xml:space="preserve">• </w:t>
      </w:r>
      <w:r>
        <w:t>Habite-se/certificado de conclusão, regularização e certificado de acessibilidade quando aplicável.</w:t>
      </w:r>
    </w:p>
    <w:p>
      <w:pPr>
        <w:spacing w:after="30"/>
        <w:ind w:left="259" w:hanging="173"/>
      </w:pPr>
      <w:r>
        <w:t xml:space="preserve">• </w:t>
      </w:r>
      <w:r>
        <w:t>Bombeiros: enquadramento, AVCB/CLCB ou equivalente estadual.</w:t>
      </w:r>
    </w:p>
    <w:p>
      <w:pPr>
        <w:spacing w:after="30"/>
        <w:ind w:left="259" w:hanging="173"/>
      </w:pPr>
      <w:r>
        <w:t xml:space="preserve">• </w:t>
      </w:r>
      <w:r>
        <w:t>Vigilância sanitária para atividades reguladas.</w:t>
      </w:r>
    </w:p>
    <w:p>
      <w:pPr>
        <w:spacing w:after="30"/>
        <w:ind w:left="259" w:hanging="173"/>
      </w:pPr>
      <w:r>
        <w:t xml:space="preserve">• </w:t>
      </w:r>
      <w:r>
        <w:t>Licenciamento ambiental municipal/estadual/federal e estudos necessários.</w:t>
      </w:r>
    </w:p>
    <w:p>
      <w:pPr>
        <w:spacing w:after="30"/>
        <w:ind w:left="259" w:hanging="173"/>
      </w:pPr>
      <w:r>
        <w:t xml:space="preserve">• </w:t>
      </w:r>
      <w:r>
        <w:t>Órgãos de patrimônio municipal, estadual e IPHAN quando incidente.</w:t>
      </w:r>
    </w:p>
    <w:p>
      <w:pPr>
        <w:spacing w:after="30"/>
        <w:ind w:left="259" w:hanging="173"/>
      </w:pPr>
      <w:r>
        <w:t xml:space="preserve">• </w:t>
      </w:r>
      <w:r>
        <w:t>ANAC/DECEA para restrições aeronáuticas quando necessário.</w:t>
      </w:r>
    </w:p>
    <w:p>
      <w:pPr>
        <w:spacing w:after="30"/>
        <w:ind w:left="259" w:hanging="173"/>
      </w:pPr>
      <w:r>
        <w:t xml:space="preserve">• </w:t>
      </w:r>
      <w:r>
        <w:t>Concessionárias de água, esgoto, energia, gás, telecom e drenagem.</w:t>
      </w:r>
    </w:p>
    <w:p>
      <w:pPr>
        <w:spacing w:after="30"/>
        <w:ind w:left="259" w:hanging="173"/>
      </w:pPr>
      <w:r>
        <w:t xml:space="preserve">• </w:t>
      </w:r>
      <w:r>
        <w:t>Órgãos rodoviários/ferroviários/portuários e faixas de domínio.</w:t>
      </w:r>
    </w:p>
    <w:p>
      <w:pPr>
        <w:spacing w:after="30"/>
        <w:ind w:left="259" w:hanging="173"/>
      </w:pPr>
      <w:r>
        <w:t xml:space="preserve">• </w:t>
      </w:r>
      <w:r>
        <w:t>Matriz de órgãos: “necessário”, “provável”, “não identificado” e “confirmar”.</w:t>
      </w:r>
    </w:p>
    <w:p>
      <w:pPr>
        <w:pStyle w:val="Heading2"/>
        <w:keepNext/>
      </w:pPr>
      <w:r>
        <w:t>3.11 Meio ambiente e vegetação</w:t>
      </w:r>
    </w:p>
    <w:p>
      <w:pPr>
        <w:spacing w:after="30"/>
        <w:ind w:left="259" w:hanging="173"/>
      </w:pPr>
      <w:r>
        <w:t xml:space="preserve">• </w:t>
      </w:r>
      <w:r>
        <w:t>APP de rios, córregos, nascentes, lagos, veredas, manguezais, restingas, encostas e demais hipóteses do Código Florestal [R4].</w:t>
      </w:r>
    </w:p>
    <w:p>
      <w:pPr>
        <w:spacing w:after="30"/>
        <w:ind w:left="259" w:hanging="173"/>
      </w:pPr>
      <w:r>
        <w:t xml:space="preserve">• </w:t>
      </w:r>
      <w:r>
        <w:t>Remanescentes de vegetação nativa, estágio sucessional, bioma, fitofisionomia e cobertura do solo.</w:t>
      </w:r>
    </w:p>
    <w:p>
      <w:pPr>
        <w:spacing w:after="30"/>
        <w:ind w:left="259" w:hanging="173"/>
      </w:pPr>
      <w:r>
        <w:t xml:space="preserve">• </w:t>
      </w:r>
      <w:r>
        <w:t>Árvores isoladas/protegidas, inventário arbóreo, supressão e compensação.</w:t>
      </w:r>
    </w:p>
    <w:p>
      <w:pPr>
        <w:spacing w:after="30"/>
        <w:ind w:left="259" w:hanging="173"/>
      </w:pPr>
      <w:r>
        <w:t xml:space="preserve">• </w:t>
      </w:r>
      <w:r>
        <w:t>Unidades de Conservação federais, estaduais, municipais, RPPN, zonas de amortecimento e corredores [R16].</w:t>
      </w:r>
    </w:p>
    <w:p>
      <w:pPr>
        <w:spacing w:after="30"/>
        <w:ind w:left="259" w:hanging="173"/>
      </w:pPr>
      <w:r>
        <w:t xml:space="preserve">• </w:t>
      </w:r>
      <w:r>
        <w:t>Áreas embargadas IBAMA/ICMBio e histórico do embargo quando disponível [R14].</w:t>
      </w:r>
    </w:p>
    <w:p>
      <w:pPr>
        <w:spacing w:after="30"/>
        <w:ind w:left="259" w:hanging="173"/>
      </w:pPr>
      <w:r>
        <w:t xml:space="preserve">• </w:t>
      </w:r>
      <w:r>
        <w:t>CAR, Reserva Legal, APP declarada, uso restrito e situação ambiental para áreas rurais/periurbanas [R13].</w:t>
      </w:r>
    </w:p>
    <w:p>
      <w:pPr>
        <w:spacing w:after="30"/>
        <w:ind w:left="259" w:hanging="173"/>
      </w:pPr>
      <w:r>
        <w:t xml:space="preserve">• </w:t>
      </w:r>
      <w:r>
        <w:t>Áreas contaminadas, passivos, postos de combustível, indústrias e atividades potencialmente contaminadoras.</w:t>
      </w:r>
    </w:p>
    <w:p>
      <w:pPr>
        <w:spacing w:after="30"/>
        <w:ind w:left="259" w:hanging="173"/>
      </w:pPr>
      <w:r>
        <w:t xml:space="preserve">• </w:t>
      </w:r>
      <w:r>
        <w:t>Qualidade do ar/ruído quando houver base; áreas de proteção ambiental local; mananciais.</w:t>
      </w:r>
    </w:p>
    <w:p>
      <w:pPr>
        <w:spacing w:after="30"/>
        <w:ind w:left="259" w:hanging="173"/>
      </w:pPr>
      <w:r>
        <w:t xml:space="preserve">• </w:t>
      </w:r>
      <w:r>
        <w:t>Licenças ambientais existentes, condicionantes e autos/infrações quando públicos.</w:t>
      </w:r>
    </w:p>
    <w:p>
      <w:pPr>
        <w:pStyle w:val="Heading2"/>
        <w:keepNext/>
      </w:pPr>
      <w:r>
        <w:t>3.12 Riscos físicos, geológicos, hidrológicos e climáticos</w:t>
      </w:r>
    </w:p>
    <w:p>
      <w:pPr>
        <w:spacing w:after="30"/>
        <w:ind w:left="259" w:hanging="173"/>
      </w:pPr>
      <w:r>
        <w:t xml:space="preserve">• </w:t>
      </w:r>
      <w:r>
        <w:t>Inundação, alagamento, enxurrada e cheias históricas.</w:t>
      </w:r>
    </w:p>
    <w:p>
      <w:pPr>
        <w:spacing w:after="30"/>
        <w:ind w:left="259" w:hanging="173"/>
      </w:pPr>
      <w:r>
        <w:t xml:space="preserve">• </w:t>
      </w:r>
      <w:r>
        <w:t>Deslizamento, corrida de massa, queda de blocos, erosão, subsidência e instabilidade de encosta.</w:t>
      </w:r>
    </w:p>
    <w:p>
      <w:pPr>
        <w:spacing w:after="30"/>
        <w:ind w:left="259" w:hanging="173"/>
      </w:pPr>
      <w:r>
        <w:t xml:space="preserve">• </w:t>
      </w:r>
      <w:r>
        <w:t>Declividade e carta geotécnica de aptidão à urbanização.</w:t>
      </w:r>
    </w:p>
    <w:p>
      <w:pPr>
        <w:spacing w:after="30"/>
        <w:ind w:left="259" w:hanging="173"/>
      </w:pPr>
      <w:r>
        <w:t xml:space="preserve">• </w:t>
      </w:r>
      <w:r>
        <w:t>Suscetibilidade e áreas de risco mapeadas pelo SGB/estados/municípios, respeitando escala e metodologia [R22].</w:t>
      </w:r>
    </w:p>
    <w:p>
      <w:pPr>
        <w:spacing w:after="30"/>
        <w:ind w:left="259" w:hanging="173"/>
      </w:pPr>
      <w:r>
        <w:t xml:space="preserve">• </w:t>
      </w:r>
      <w:r>
        <w:t>Barragens: área de influência, DPA, manchas de inundação quando disponíveis e SNISB.</w:t>
      </w:r>
    </w:p>
    <w:p>
      <w:pPr>
        <w:spacing w:after="30"/>
        <w:ind w:left="259" w:hanging="173"/>
      </w:pPr>
      <w:r>
        <w:t xml:space="preserve">• </w:t>
      </w:r>
      <w:r>
        <w:t>Ilha de calor, temperatura superficial, impermeabilização e exposição climática.</w:t>
      </w:r>
    </w:p>
    <w:p>
      <w:pPr>
        <w:spacing w:after="30"/>
        <w:ind w:left="259" w:hanging="173"/>
      </w:pPr>
      <w:r>
        <w:t xml:space="preserve">• </w:t>
      </w:r>
      <w:r>
        <w:t>Incêndio florestal/urbano, queimadas e proximidade de vegetação suscetível.</w:t>
      </w:r>
    </w:p>
    <w:p>
      <w:pPr>
        <w:spacing w:after="30"/>
        <w:ind w:left="259" w:hanging="173"/>
      </w:pPr>
      <w:r>
        <w:t xml:space="preserve">• </w:t>
      </w:r>
      <w:r>
        <w:t>Risco costeiro: erosão, ressaca, inundação costeira e faixa de praia quando aplicável.</w:t>
      </w:r>
    </w:p>
    <w:p>
      <w:pPr>
        <w:spacing w:after="30"/>
        <w:ind w:left="259" w:hanging="173"/>
      </w:pPr>
      <w:r>
        <w:t xml:space="preserve">• </w:t>
      </w:r>
      <w:r>
        <w:t>Sismicidade/local geológico apenas quando tecnicamente pertinente.</w:t>
      </w:r>
    </w:p>
    <w:p>
      <w:pPr>
        <w:pStyle w:val="Heading2"/>
        <w:keepNext/>
      </w:pPr>
      <w:r>
        <w:t>3.13 Água, esgoto, drenagem e resíduos</w:t>
      </w:r>
    </w:p>
    <w:p>
      <w:pPr>
        <w:spacing w:after="30"/>
        <w:ind w:left="259" w:hanging="173"/>
      </w:pPr>
      <w:r>
        <w:t xml:space="preserve">• </w:t>
      </w:r>
      <w:r>
        <w:t>Prestador/concessionária e área de atendimento.</w:t>
      </w:r>
    </w:p>
    <w:p>
      <w:pPr>
        <w:spacing w:after="30"/>
        <w:ind w:left="259" w:hanging="173"/>
      </w:pPr>
      <w:r>
        <w:t xml:space="preserve">• </w:t>
      </w:r>
      <w:r>
        <w:t>Disponibilidade provável de água e esgoto; rede pública identificada quando a concessionária disponibiliza GIS.</w:t>
      </w:r>
    </w:p>
    <w:p>
      <w:pPr>
        <w:spacing w:after="30"/>
        <w:ind w:left="259" w:hanging="173"/>
      </w:pPr>
      <w:r>
        <w:t xml:space="preserve">• </w:t>
      </w:r>
      <w:r>
        <w:t>Distância a adutoras, interceptores, coletores-tronco, estações elevatórias, ETA/ETE quando a base puder ser usada.</w:t>
      </w:r>
    </w:p>
    <w:p>
      <w:pPr>
        <w:spacing w:after="30"/>
        <w:ind w:left="259" w:hanging="173"/>
      </w:pPr>
      <w:r>
        <w:t xml:space="preserve">• </w:t>
      </w:r>
      <w:r>
        <w:t>Capacidade/pressão/vazão somente se obtida de fonte técnica autorizada; nunca inferir sem base.</w:t>
      </w:r>
    </w:p>
    <w:p>
      <w:pPr>
        <w:spacing w:after="30"/>
        <w:ind w:left="259" w:hanging="173"/>
      </w:pPr>
      <w:r>
        <w:t xml:space="preserve">• </w:t>
      </w:r>
      <w:r>
        <w:t>Drenagem: galerias, canais, piscinões, reservatórios, bacias, pontos de alagamento e exigências de retenção.</w:t>
      </w:r>
    </w:p>
    <w:p>
      <w:pPr>
        <w:spacing w:after="30"/>
        <w:ind w:left="259" w:hanging="173"/>
      </w:pPr>
      <w:r>
        <w:t xml:space="preserve">• </w:t>
      </w:r>
      <w:r>
        <w:t>Resíduos: coleta, ecopontos, estações de transbordo, aterros, áreas de restrição e logística.</w:t>
      </w:r>
    </w:p>
    <w:p>
      <w:pPr>
        <w:spacing w:after="30"/>
        <w:ind w:left="259" w:hanging="173"/>
      </w:pPr>
      <w:r>
        <w:t xml:space="preserve">• </w:t>
      </w:r>
      <w:r>
        <w:t>Indicadores do saneamento e metas regulatórias; o marco legal abrange água, esgoto, resíduos e drenagem [R5].</w:t>
      </w:r>
    </w:p>
    <w:p>
      <w:pPr>
        <w:pStyle w:val="Heading2"/>
        <w:keepNext/>
      </w:pPr>
      <w:r>
        <w:t>3.14 Energia elétrica e iluminação</w:t>
      </w:r>
    </w:p>
    <w:p>
      <w:pPr>
        <w:spacing w:after="30"/>
        <w:ind w:left="259" w:hanging="173"/>
      </w:pPr>
      <w:r>
        <w:t xml:space="preserve">• </w:t>
      </w:r>
      <w:r>
        <w:t>Distribuidora e área de concessão.</w:t>
      </w:r>
    </w:p>
    <w:p>
      <w:pPr>
        <w:spacing w:after="30"/>
        <w:ind w:left="259" w:hanging="173"/>
      </w:pPr>
      <w:r>
        <w:t xml:space="preserve">• </w:t>
      </w:r>
      <w:r>
        <w:t>Redes de baixa/média/alta tensão, subestações, transformadores e alimentadores onde a BDGD/utility permitir.</w:t>
      </w:r>
    </w:p>
    <w:p>
      <w:pPr>
        <w:spacing w:after="30"/>
        <w:ind w:left="259" w:hanging="173"/>
      </w:pPr>
      <w:r>
        <w:t xml:space="preserve">• </w:t>
      </w:r>
      <w:r>
        <w:t>Linhas de transmissão e servidões; distância e faixa de segurança.</w:t>
      </w:r>
    </w:p>
    <w:p>
      <w:pPr>
        <w:spacing w:after="30"/>
        <w:ind w:left="259" w:hanging="173"/>
      </w:pPr>
      <w:r>
        <w:t xml:space="preserve">• </w:t>
      </w:r>
      <w:r>
        <w:t>Disponibilidade/capacidade de conexão como item a confirmar com a distribuidora.</w:t>
      </w:r>
    </w:p>
    <w:p>
      <w:pPr>
        <w:spacing w:after="30"/>
        <w:ind w:left="259" w:hanging="173"/>
      </w:pPr>
      <w:r>
        <w:t xml:space="preserve">• </w:t>
      </w:r>
      <w:r>
        <w:t>Geração distribuída, usinas, rede subterrânea/aérea e iluminação pública quando disponíveis.</w:t>
      </w:r>
    </w:p>
    <w:p>
      <w:pPr>
        <w:spacing w:after="30"/>
        <w:ind w:left="259" w:hanging="173"/>
      </w:pPr>
      <w:r>
        <w:t xml:space="preserve">• </w:t>
      </w:r>
      <w:r>
        <w:t>A BDGD da ANEEL fornece geodatabases das distribuidoras e é uma base nacional importante para ativos de distribuição [R18].</w:t>
      </w:r>
    </w:p>
    <w:p>
      <w:pPr>
        <w:pStyle w:val="Heading2"/>
        <w:keepNext/>
      </w:pPr>
      <w:r>
        <w:t>3.15 Gás, petróleo, dutos e combustíveis</w:t>
      </w:r>
    </w:p>
    <w:p>
      <w:pPr>
        <w:spacing w:after="30"/>
        <w:ind w:left="259" w:hanging="173"/>
      </w:pPr>
      <w:r>
        <w:t xml:space="preserve">• </w:t>
      </w:r>
      <w:r>
        <w:t>Gasodutos de transporte, oleodutos, terminais, faixas de servidão e instalações ANP [R21].</w:t>
      </w:r>
    </w:p>
    <w:p>
      <w:pPr>
        <w:spacing w:after="30"/>
        <w:ind w:left="259" w:hanging="173"/>
      </w:pPr>
      <w:r>
        <w:t xml:space="preserve">• </w:t>
      </w:r>
      <w:r>
        <w:t>Rede de distribuição de gás canalizado: fonte estadual/concessionária; cobertura municipal e distância quando aberta.</w:t>
      </w:r>
    </w:p>
    <w:p>
      <w:pPr>
        <w:spacing w:after="30"/>
        <w:ind w:left="259" w:hanging="173"/>
      </w:pPr>
      <w:r>
        <w:t xml:space="preserve">• </w:t>
      </w:r>
      <w:r>
        <w:t>Disponibilidade de gás no endereço versus existência de duto próximo: tratar como conceitos distintos.</w:t>
      </w:r>
    </w:p>
    <w:p>
      <w:pPr>
        <w:spacing w:after="30"/>
        <w:ind w:left="259" w:hanging="173"/>
      </w:pPr>
      <w:r>
        <w:t xml:space="preserve">• </w:t>
      </w:r>
      <w:r>
        <w:t>Postos de combustível e atividades correlatas; risco/contaminação e regras de uso.</w:t>
      </w:r>
    </w:p>
    <w:p>
      <w:pPr>
        <w:spacing w:after="30"/>
        <w:ind w:left="259" w:hanging="173"/>
      </w:pPr>
      <w:r>
        <w:t xml:space="preserve">• </w:t>
      </w:r>
      <w:r>
        <w:t>Nunca mostrar rota detalhada de rede restrita sem licença/autorização.</w:t>
      </w:r>
    </w:p>
    <w:p>
      <w:pPr>
        <w:pStyle w:val="Heading2"/>
        <w:keepNext/>
      </w:pPr>
      <w:r>
        <w:t>3.16 Telecomunicações e fibra</w:t>
      </w:r>
    </w:p>
    <w:p>
      <w:pPr>
        <w:spacing w:after="30"/>
        <w:ind w:left="259" w:hanging="173"/>
      </w:pPr>
      <w:r>
        <w:t xml:space="preserve">• </w:t>
      </w:r>
      <w:r>
        <w:t>Cobertura 4G/5G e compromissos de atendimento; estações/antenas quando base pública permitir.</w:t>
      </w:r>
    </w:p>
    <w:p>
      <w:pPr>
        <w:spacing w:after="30"/>
        <w:ind w:left="259" w:hanging="173"/>
      </w:pPr>
      <w:r>
        <w:t xml:space="preserve">• </w:t>
      </w:r>
      <w:r>
        <w:t>Backhaul de fibra por município/localidade e indicadores Anatel [R19].</w:t>
      </w:r>
    </w:p>
    <w:p>
      <w:pPr>
        <w:spacing w:after="30"/>
        <w:ind w:left="259" w:hanging="173"/>
      </w:pPr>
      <w:r>
        <w:t xml:space="preserve">• </w:t>
      </w:r>
      <w:r>
        <w:t>Prestadores de banda larga fixa e tecnologia reportada em dados agregados.</w:t>
      </w:r>
    </w:p>
    <w:p>
      <w:pPr>
        <w:spacing w:after="30"/>
        <w:ind w:left="259" w:hanging="173"/>
      </w:pPr>
      <w:r>
        <w:t xml:space="preserve">• </w:t>
      </w:r>
      <w:r>
        <w:t>Rede fina/rota subterrânea de fibra, dutos e POPs somente quando fornecidos por município, concessionária ou base licenciada.</w:t>
      </w:r>
    </w:p>
    <w:p>
      <w:pPr>
        <w:spacing w:after="30"/>
        <w:ind w:left="259" w:hanging="173"/>
      </w:pPr>
      <w:r>
        <w:t xml:space="preserve">• </w:t>
      </w:r>
      <w:r>
        <w:t>Classificar resultado como “presença de backhaul/cobertura” ou “rede física confirmada”; não confundir os dois.</w:t>
      </w:r>
    </w:p>
    <w:p>
      <w:pPr>
        <w:pStyle w:val="Heading2"/>
        <w:keepNext/>
      </w:pPr>
      <w:r>
        <w:t>3.17 Mobilidade, sistema viário e acessibilidade</w:t>
      </w:r>
    </w:p>
    <w:p>
      <w:pPr>
        <w:spacing w:after="30"/>
        <w:ind w:left="259" w:hanging="173"/>
      </w:pPr>
      <w:r>
        <w:t xml:space="preserve">• </w:t>
      </w:r>
      <w:r>
        <w:t>Classificação da via, largura oficial, alinhamento predial, leito, passeio e hierarquia.</w:t>
      </w:r>
    </w:p>
    <w:p>
      <w:pPr>
        <w:spacing w:after="30"/>
        <w:ind w:left="259" w:hanging="173"/>
      </w:pPr>
      <w:r>
        <w:t xml:space="preserve">• </w:t>
      </w:r>
      <w:r>
        <w:t>Melhoramentos previstos: alargamento, nova via, corredor, túnel, ponte, desapropriação e faixa reservada.</w:t>
      </w:r>
    </w:p>
    <w:p>
      <w:pPr>
        <w:spacing w:after="30"/>
        <w:ind w:left="259" w:hanging="173"/>
      </w:pPr>
      <w:r>
        <w:t xml:space="preserve">• </w:t>
      </w:r>
      <w:r>
        <w:t>Acessos permitidos, restrição de conversão, carga/descarga e circulação de caminhões.</w:t>
      </w:r>
    </w:p>
    <w:p>
      <w:pPr>
        <w:spacing w:after="30"/>
        <w:ind w:left="259" w:hanging="173"/>
      </w:pPr>
      <w:r>
        <w:t xml:space="preserve">• </w:t>
      </w:r>
      <w:r>
        <w:t>Metrô, trem, BRT, ônibus, terminais, pontos, corredores, ciclovias e rotas de pedestres.</w:t>
      </w:r>
    </w:p>
    <w:p>
      <w:pPr>
        <w:spacing w:after="30"/>
        <w:ind w:left="259" w:hanging="173"/>
      </w:pPr>
      <w:r>
        <w:t xml:space="preserve">• </w:t>
      </w:r>
      <w:r>
        <w:t>Distância e tempo a pé/transporte aos principais polos.</w:t>
      </w:r>
    </w:p>
    <w:p>
      <w:pPr>
        <w:spacing w:after="30"/>
        <w:ind w:left="259" w:hanging="173"/>
      </w:pPr>
      <w:r>
        <w:t xml:space="preserve">• </w:t>
      </w:r>
      <w:r>
        <w:t>Plano de Mobilidade, PGT, geração de viagens e EIV; a política nacional exige integração do plano de mobilidade com o planejamento municipal nos casos definidos em lei [R3].</w:t>
      </w:r>
    </w:p>
    <w:p>
      <w:pPr>
        <w:spacing w:after="30"/>
        <w:ind w:left="259" w:hanging="173"/>
      </w:pPr>
      <w:r>
        <w:t xml:space="preserve">• </w:t>
      </w:r>
      <w:r>
        <w:t>Calçadas, acessibilidade, travessias, declividade e caminhabilidade.</w:t>
      </w:r>
    </w:p>
    <w:p>
      <w:pPr>
        <w:pStyle w:val="Heading2"/>
        <w:keepNext/>
      </w:pPr>
      <w:r>
        <w:t>3.18 Equipamentos públicos e amenidades</w:t>
      </w:r>
    </w:p>
    <w:p>
      <w:pPr>
        <w:spacing w:after="30"/>
        <w:ind w:left="259" w:hanging="173"/>
      </w:pPr>
      <w:r>
        <w:t xml:space="preserve">• </w:t>
      </w:r>
      <w:r>
        <w:t>Escolas e creches públicas/privadas; distância, etapa e capacidade quando disponível (INEP) [R24].</w:t>
      </w:r>
    </w:p>
    <w:p>
      <w:pPr>
        <w:spacing w:after="30"/>
        <w:ind w:left="259" w:hanging="173"/>
      </w:pPr>
      <w:r>
        <w:t xml:space="preserve">• </w:t>
      </w:r>
      <w:r>
        <w:t>Hospitais, UBS, UPAs e outros estabelecimentos de saúde (CNES) [R25].</w:t>
      </w:r>
    </w:p>
    <w:p>
      <w:pPr>
        <w:spacing w:after="30"/>
        <w:ind w:left="259" w:hanging="173"/>
      </w:pPr>
      <w:r>
        <w:t xml:space="preserve">• </w:t>
      </w:r>
      <w:r>
        <w:t>Parques, praças, áreas verdes, esportes, cultura, bibliotecas e equipamentos comunitários.</w:t>
      </w:r>
    </w:p>
    <w:p>
      <w:pPr>
        <w:spacing w:after="30"/>
        <w:ind w:left="259" w:hanging="173"/>
      </w:pPr>
      <w:r>
        <w:t xml:space="preserve">• </w:t>
      </w:r>
      <w:r>
        <w:t>Segurança, bombeiros, defesa civil, cemitérios e serviços administrativos.</w:t>
      </w:r>
    </w:p>
    <w:p>
      <w:pPr>
        <w:spacing w:after="30"/>
        <w:ind w:left="259" w:hanging="173"/>
      </w:pPr>
      <w:r>
        <w:t xml:space="preserve">• </w:t>
      </w:r>
      <w:r>
        <w:t>Comércio e serviços relevantes para análise de entorno e uso do imóvel.</w:t>
      </w:r>
    </w:p>
    <w:p>
      <w:pPr>
        <w:spacing w:after="30"/>
        <w:ind w:left="259" w:hanging="173"/>
      </w:pPr>
      <w:r>
        <w:t xml:space="preserve">• </w:t>
      </w:r>
      <w:r>
        <w:t>Buffers padronizados: 250 m, 500 m, 800 m, 1 km, 2 km, 5 km ou configuráveis.</w:t>
      </w:r>
    </w:p>
    <w:p>
      <w:pPr>
        <w:pStyle w:val="Heading2"/>
        <w:keepNext/>
      </w:pPr>
      <w:r>
        <w:t>3.19 Patrimônio cultural, arqueologia e paisagem</w:t>
      </w:r>
    </w:p>
    <w:p>
      <w:pPr>
        <w:spacing w:after="30"/>
        <w:ind w:left="259" w:hanging="173"/>
      </w:pPr>
      <w:r>
        <w:t xml:space="preserve">• </w:t>
      </w:r>
      <w:r>
        <w:t>Bens tombados federais, estaduais e municipais; conjuntos urbanos, paisagens e bens em processo de proteção.</w:t>
      </w:r>
    </w:p>
    <w:p>
      <w:pPr>
        <w:spacing w:after="30"/>
        <w:ind w:left="259" w:hanging="173"/>
      </w:pPr>
      <w:r>
        <w:t xml:space="preserve">• </w:t>
      </w:r>
      <w:r>
        <w:t>Área envoltória/entorno, cone visual, altura e restrições de intervenção.</w:t>
      </w:r>
    </w:p>
    <w:p>
      <w:pPr>
        <w:spacing w:after="30"/>
        <w:ind w:left="259" w:hanging="173"/>
      </w:pPr>
      <w:r>
        <w:t xml:space="preserve">• </w:t>
      </w:r>
      <w:r>
        <w:t>Sítios arqueológicos, áreas de potencial arqueológico e exigências de avaliação conforme o tipo de empreendimento.</w:t>
      </w:r>
    </w:p>
    <w:p>
      <w:pPr>
        <w:spacing w:after="30"/>
        <w:ind w:left="259" w:hanging="173"/>
      </w:pPr>
      <w:r>
        <w:t xml:space="preserve">• </w:t>
      </w:r>
      <w:r>
        <w:t>Necessidade de autorização prévia para intervenção em bem protegido; o IPHAN mantém listas e processos de proteção [R23].</w:t>
      </w:r>
    </w:p>
    <w:p>
      <w:pPr>
        <w:spacing w:after="30"/>
        <w:ind w:left="259" w:hanging="173"/>
      </w:pPr>
      <w:r>
        <w:t xml:space="preserve">• </w:t>
      </w:r>
      <w:r>
        <w:t>Inventários municipais/estaduais que produzam proteção mesmo sem tombamento formal.</w:t>
      </w:r>
    </w:p>
    <w:p>
      <w:pPr>
        <w:pStyle w:val="Heading2"/>
        <w:keepNext/>
      </w:pPr>
      <w:r>
        <w:t>3.20 Mineração, geologia e recursos naturais</w:t>
      </w:r>
    </w:p>
    <w:p>
      <w:pPr>
        <w:spacing w:after="30"/>
        <w:ind w:left="259" w:hanging="173"/>
      </w:pPr>
      <w:r>
        <w:t xml:space="preserve">• </w:t>
      </w:r>
      <w:r>
        <w:t>Processos minerários ativos, bloqueios, reservas garimpeiras, arrendamentos e proteção de fonte (ANM/SIGMINE) [R17].</w:t>
      </w:r>
    </w:p>
    <w:p>
      <w:pPr>
        <w:spacing w:after="30"/>
        <w:ind w:left="259" w:hanging="173"/>
      </w:pPr>
      <w:r>
        <w:t xml:space="preserve">• </w:t>
      </w:r>
      <w:r>
        <w:t>Substância, fase do processo, titular e data de atualização quando público.</w:t>
      </w:r>
    </w:p>
    <w:p>
      <w:pPr>
        <w:spacing w:after="30"/>
        <w:ind w:left="259" w:hanging="173"/>
      </w:pPr>
      <w:r>
        <w:t xml:space="preserve">• </w:t>
      </w:r>
      <w:r>
        <w:t>Interseção do lote com processo minerário e distância a operações próximas.</w:t>
      </w:r>
    </w:p>
    <w:p>
      <w:pPr>
        <w:spacing w:after="30"/>
        <w:ind w:left="259" w:hanging="173"/>
      </w:pPr>
      <w:r>
        <w:t xml:space="preserve">• </w:t>
      </w:r>
      <w:r>
        <w:t>Geologia regional, cavidades e recursos minerais relevantes à implantação.</w:t>
      </w:r>
    </w:p>
    <w:p>
      <w:pPr>
        <w:spacing w:after="30"/>
        <w:ind w:left="259" w:hanging="173"/>
      </w:pPr>
      <w:r>
        <w:t xml:space="preserve">• </w:t>
      </w:r>
      <w:r>
        <w:t>Áreas de interesse de pesquisa/exploração de petróleo e gás quando pertinente.</w:t>
      </w:r>
    </w:p>
    <w:p>
      <w:pPr>
        <w:pStyle w:val="Heading2"/>
        <w:keepNext/>
      </w:pPr>
      <w:r>
        <w:t>3.21 Aviação, portos, ferrovias e rodovias</w:t>
      </w:r>
    </w:p>
    <w:p>
      <w:pPr>
        <w:spacing w:after="30"/>
        <w:ind w:left="259" w:hanging="173"/>
      </w:pPr>
      <w:r>
        <w:t xml:space="preserve">• </w:t>
      </w:r>
      <w:r>
        <w:t>Aeródromos públicos/privados, helipontos, distância e referência cadastral ANAC [R20].</w:t>
      </w:r>
    </w:p>
    <w:p>
      <w:pPr>
        <w:spacing w:after="30"/>
        <w:ind w:left="259" w:hanging="173"/>
      </w:pPr>
      <w:r>
        <w:t xml:space="preserve">• </w:t>
      </w:r>
      <w:r>
        <w:t>Restrições de altura e superfícies aeroportuárias/DECEA quando a análise exigir.</w:t>
      </w:r>
    </w:p>
    <w:p>
      <w:pPr>
        <w:spacing w:after="30"/>
        <w:ind w:left="259" w:hanging="173"/>
      </w:pPr>
      <w:r>
        <w:t xml:space="preserve">• </w:t>
      </w:r>
      <w:r>
        <w:t>Rodovias federais/estaduais/municipais, faixas de domínio, acessos e projetos de duplicação.</w:t>
      </w:r>
    </w:p>
    <w:p>
      <w:pPr>
        <w:spacing w:after="30"/>
        <w:ind w:left="259" w:hanging="173"/>
      </w:pPr>
      <w:r>
        <w:t xml:space="preserve">• </w:t>
      </w:r>
      <w:r>
        <w:t>Ferrovias, faixas de domínio, passagens em nível, autorizações e projetos.</w:t>
      </w:r>
    </w:p>
    <w:p>
      <w:pPr>
        <w:spacing w:after="30"/>
        <w:ind w:left="259" w:hanging="173"/>
      </w:pPr>
      <w:r>
        <w:t xml:space="preserve">• </w:t>
      </w:r>
      <w:r>
        <w:t>Portos, terminais, hidrovias e instalações portuárias (ANTAQ) [R20B].</w:t>
      </w:r>
    </w:p>
    <w:p>
      <w:pPr>
        <w:spacing w:after="30"/>
        <w:ind w:left="259" w:hanging="173"/>
      </w:pPr>
      <w:r>
        <w:t xml:space="preserve">• </w:t>
      </w:r>
      <w:r>
        <w:t>Áreas de servidão e não edificáveis associadas a infraestrutura linear.</w:t>
      </w:r>
    </w:p>
    <w:p>
      <w:pPr>
        <w:pStyle w:val="Heading2"/>
        <w:keepNext/>
      </w:pPr>
      <w:r>
        <w:t>3.22 Fiscal, tributário e cadastro imobiliário</w:t>
      </w:r>
    </w:p>
    <w:p>
      <w:pPr>
        <w:spacing w:after="30"/>
        <w:ind w:left="259" w:hanging="173"/>
      </w:pPr>
      <w:r>
        <w:t xml:space="preserve">• </w:t>
      </w:r>
      <w:r>
        <w:t>Valor venal do terreno e da construção; base de cálculo; padrão construtivo; uso cadastrado.</w:t>
      </w:r>
    </w:p>
    <w:p>
      <w:pPr>
        <w:spacing w:after="30"/>
        <w:ind w:left="259" w:hanging="173"/>
      </w:pPr>
      <w:r>
        <w:t xml:space="preserve">• </w:t>
      </w:r>
      <w:r>
        <w:t>IPTU: lançamento, alíquota, isenção, situação fiscal quando o usuário tiver acesso autorizado.</w:t>
      </w:r>
    </w:p>
    <w:p>
      <w:pPr>
        <w:spacing w:after="30"/>
        <w:ind w:left="259" w:hanging="173"/>
      </w:pPr>
      <w:r>
        <w:t xml:space="preserve">• </w:t>
      </w:r>
      <w:r>
        <w:t>ITBI/transações: valor declarado, data e natureza quando o município publica dados adequados.</w:t>
      </w:r>
    </w:p>
    <w:p>
      <w:pPr>
        <w:spacing w:after="30"/>
        <w:ind w:left="259" w:hanging="173"/>
      </w:pPr>
      <w:r>
        <w:t xml:space="preserve">• </w:t>
      </w:r>
      <w:r>
        <w:t>CIB e integração SINTER quando disponível. Em julho/2026, a Receita informava 1.134 municípios aderentes, 97 municípios enviando cadastros e cerca de 17,96 milhões de inscrições ativas, o que demonstra que a cobertura ainda é parcial [R9].</w:t>
      </w:r>
    </w:p>
    <w:p>
      <w:pPr>
        <w:spacing w:after="30"/>
        <w:ind w:left="259" w:hanging="173"/>
      </w:pPr>
      <w:r>
        <w:t xml:space="preserve">• </w:t>
      </w:r>
      <w:r>
        <w:t>Inscrição municipal e código de contribuinte; área territorial e construída; idade/padrão da edificação.</w:t>
      </w:r>
    </w:p>
    <w:p>
      <w:pPr>
        <w:spacing w:after="30"/>
        <w:ind w:left="259" w:hanging="173"/>
      </w:pPr>
      <w:r>
        <w:t xml:space="preserve">• </w:t>
      </w:r>
      <w:r>
        <w:t>Divergências cadastrais e alertas de necessidade de atualização.</w:t>
      </w:r>
    </w:p>
    <w:p>
      <w:pPr>
        <w:pStyle w:val="Heading2"/>
        <w:keepNext/>
      </w:pPr>
      <w:r>
        <w:t>3.23 Mercado imobiliário e econômico</w:t>
      </w:r>
    </w:p>
    <w:p>
      <w:pPr>
        <w:spacing w:after="30"/>
        <w:ind w:left="259" w:hanging="173"/>
      </w:pPr>
      <w:r>
        <w:t xml:space="preserve">• </w:t>
      </w:r>
      <w:r>
        <w:t>Lançamentos, usados, locação, terrenos, preço pedido, preço transacionado quando disponível e permitido.</w:t>
      </w:r>
    </w:p>
    <w:p>
      <w:pPr>
        <w:spacing w:after="30"/>
        <w:ind w:left="259" w:hanging="173"/>
      </w:pPr>
      <w:r>
        <w:t xml:space="preserve">• </w:t>
      </w:r>
      <w:r>
        <w:t>Preço/m² por tipologia, faixa de área, padrão, idade e raio.</w:t>
      </w:r>
    </w:p>
    <w:p>
      <w:pPr>
        <w:spacing w:after="30"/>
        <w:ind w:left="259" w:hanging="173"/>
      </w:pPr>
      <w:r>
        <w:t xml:space="preserve">• </w:t>
      </w:r>
      <w:r>
        <w:t>Velocidade de vendas, estoque, absorção, unidades lançadas/entregues, vacância e aluguel.</w:t>
      </w:r>
    </w:p>
    <w:p>
      <w:pPr>
        <w:spacing w:after="30"/>
        <w:ind w:left="259" w:hanging="173"/>
      </w:pPr>
      <w:r>
        <w:t xml:space="preserve">• </w:t>
      </w:r>
      <w:r>
        <w:t>ITBI e registros como fonte de transação onde o município divulga dados não pessoais.</w:t>
      </w:r>
    </w:p>
    <w:p>
      <w:pPr>
        <w:spacing w:after="30"/>
        <w:ind w:left="259" w:hanging="173"/>
      </w:pPr>
      <w:r>
        <w:t xml:space="preserve">• </w:t>
      </w:r>
      <w:r>
        <w:t>Renda, população, densidade, domicílios, crescimento, idade e perfil censitário do entorno.</w:t>
      </w:r>
    </w:p>
    <w:p>
      <w:pPr>
        <w:spacing w:after="30"/>
        <w:ind w:left="259" w:hanging="173"/>
      </w:pPr>
      <w:r>
        <w:t xml:space="preserve">• </w:t>
      </w:r>
      <w:r>
        <w:t>Emprego, empresas, centralidades e polos geradores de demanda.</w:t>
      </w:r>
    </w:p>
    <w:p>
      <w:pPr>
        <w:spacing w:after="30"/>
        <w:ind w:left="259" w:hanging="173"/>
      </w:pPr>
      <w:r>
        <w:t xml:space="preserve">• </w:t>
      </w:r>
      <w:r>
        <w:t>Comparáveis georreferenciados com transparência da fonte, data e tratamento estatístico.</w:t>
      </w:r>
    </w:p>
    <w:p>
      <w:pPr>
        <w:pStyle w:val="Heading2"/>
        <w:keepNext/>
      </w:pPr>
      <w:r>
        <w:t>3.24 Histórico de edificações, processos e fiscalização</w:t>
      </w:r>
    </w:p>
    <w:p>
      <w:pPr>
        <w:spacing w:after="30"/>
        <w:ind w:left="259" w:hanging="173"/>
      </w:pPr>
      <w:r>
        <w:t xml:space="preserve">• </w:t>
      </w:r>
      <w:r>
        <w:t>Alvarás de construção, demolição, reforma, regularização e funcionamento.</w:t>
      </w:r>
    </w:p>
    <w:p>
      <w:pPr>
        <w:spacing w:after="30"/>
        <w:ind w:left="259" w:hanging="173"/>
      </w:pPr>
      <w:r>
        <w:t xml:space="preserve">• </w:t>
      </w:r>
      <w:r>
        <w:t>Habite-se/certificados, processos administrativos, aprovações anteriores e plantas quando públicas.</w:t>
      </w:r>
    </w:p>
    <w:p>
      <w:pPr>
        <w:spacing w:after="30"/>
        <w:ind w:left="259" w:hanging="173"/>
      </w:pPr>
      <w:r>
        <w:t xml:space="preserve">• </w:t>
      </w:r>
      <w:r>
        <w:t>Autos de infração, notificações e embargos urbanísticos quando públicos.</w:t>
      </w:r>
    </w:p>
    <w:p>
      <w:pPr>
        <w:spacing w:after="30"/>
        <w:ind w:left="259" w:hanging="173"/>
      </w:pPr>
      <w:r>
        <w:t xml:space="preserve">• </w:t>
      </w:r>
      <w:r>
        <w:t>Histórico de alterações cadastrais e tributárias do imóvel.</w:t>
      </w:r>
    </w:p>
    <w:p>
      <w:pPr>
        <w:spacing w:after="30"/>
        <w:ind w:left="259" w:hanging="173"/>
      </w:pPr>
      <w:r>
        <w:t xml:space="preserve">• </w:t>
      </w:r>
      <w:r>
        <w:t>Imagens aéreas/satélite históricas e detecção de mudança de ocupação.</w:t>
      </w:r>
    </w:p>
    <w:p>
      <w:pPr>
        <w:spacing w:after="30"/>
        <w:ind w:left="259" w:hanging="173"/>
      </w:pPr>
      <w:r>
        <w:t xml:space="preserve">• </w:t>
      </w:r>
      <w:r>
        <w:t>Linha do tempo única combinando lei, cadastro, licença e evento físico.</w:t>
      </w:r>
    </w:p>
    <w:p>
      <w:pPr>
        <w:pStyle w:val="Heading2"/>
        <w:keepNext/>
      </w:pPr>
      <w:r>
        <w:t>3.25 Relatório de evidência e incerteza</w:t>
      </w:r>
    </w:p>
    <w:p>
      <w:pPr>
        <w:spacing w:after="30"/>
        <w:ind w:left="259" w:hanging="173"/>
      </w:pPr>
      <w:r>
        <w:t xml:space="preserve">• </w:t>
      </w:r>
      <w:r>
        <w:t>Para todo campo: valor, unidade, fonte, órgão, URL/documento, data de consulta, data de vigência, referência geográfica e hash do artefato.</w:t>
      </w:r>
    </w:p>
    <w:p>
      <w:pPr>
        <w:spacing w:after="30"/>
        <w:ind w:left="259" w:hanging="173"/>
      </w:pPr>
      <w:r>
        <w:t xml:space="preserve">• </w:t>
      </w:r>
      <w:r>
        <w:t>Status: CONFIRMADO, CALCULADO, INFERIDO, PENDENTE, CONFLITANTE, NÃO DISPONÍVEL.</w:t>
      </w:r>
    </w:p>
    <w:p>
      <w:pPr>
        <w:spacing w:after="30"/>
        <w:ind w:left="259" w:hanging="173"/>
      </w:pPr>
      <w:r>
        <w:t xml:space="preserve">• </w:t>
      </w:r>
      <w:r>
        <w:t>Qualidade geométrica: precisão/escala/SRID/data; qualidade temporal: idade do dado.</w:t>
      </w:r>
    </w:p>
    <w:p>
      <w:pPr>
        <w:spacing w:after="30"/>
        <w:ind w:left="259" w:hanging="173"/>
      </w:pPr>
      <w:r>
        <w:t xml:space="preserve">• </w:t>
      </w:r>
      <w:r>
        <w:t>Conflitos entre fontes e regra de precedência; nunca ocultar divergência.</w:t>
      </w:r>
    </w:p>
    <w:p>
      <w:pPr>
        <w:spacing w:after="30"/>
        <w:ind w:left="259" w:hanging="173"/>
      </w:pPr>
      <w:r>
        <w:t xml:space="preserve">• </w:t>
      </w:r>
      <w:r>
        <w:t>Disclaimer específico: relatório de inteligência técnica não substitui certidão oficial, consulta formal ou responsabilidade técnica quando exigida.</w:t>
      </w:r>
    </w:p>
    <w:p>
      <w:pPr>
        <w:spacing w:after="30"/>
        <w:ind w:left="259" w:hanging="173"/>
      </w:pPr>
      <w:r>
        <w:t xml:space="preserve">• </w:t>
      </w:r>
      <w:r>
        <w:t>Checklist de diligências humanas ainda necessárias.</w:t>
      </w:r>
    </w:p>
    <w:p>
      <w:pPr>
        <w:pStyle w:val="Heading1"/>
        <w:keepNext/>
      </w:pPr>
      <w:r>
        <w:t>4. Visões por perfil profissional</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088"/>
            <w:shd w:fill="EDEDED"/>
            <w:vAlign w:val="center"/>
          </w:tcPr>
          <w:p>
            <w:r>
              <w:rPr>
                <w:rFonts w:ascii="Arial" w:hAnsi="Arial"/>
                <w:b/>
                <w:sz w:val="16"/>
              </w:rPr>
              <w:t>Perfil</w:t>
            </w:r>
          </w:p>
        </w:tc>
        <w:tc>
          <w:tcPr>
            <w:tcW w:type="dxa" w:w="7272"/>
            <w:shd w:fill="EDEDED"/>
            <w:vAlign w:val="center"/>
          </w:tcPr>
          <w:p>
            <w:r>
              <w:rPr>
                <w:rFonts w:ascii="Arial" w:hAnsi="Arial"/>
                <w:b/>
                <w:sz w:val="16"/>
              </w:rPr>
              <w:t>Painel prioritário</w:t>
            </w:r>
          </w:p>
        </w:tc>
      </w:tr>
      <w:tr>
        <w:trPr>
          <w:cantSplit/>
          <w:cantSplit/>
        </w:trPr>
        <w:tc>
          <w:tcPr>
            <w:tcW w:type="dxa" w:w="2088"/>
            <w:vAlign w:val="top"/>
          </w:tcPr>
          <w:p>
            <w:pPr>
              <w:spacing w:after="0"/>
            </w:pPr>
            <w:r>
              <w:rPr>
                <w:rFonts w:ascii="Arial" w:hAnsi="Arial"/>
                <w:sz w:val="16"/>
              </w:rPr>
              <w:t>Arquitetura</w:t>
            </w:r>
          </w:p>
        </w:tc>
        <w:tc>
          <w:tcPr>
            <w:tcW w:type="dxa" w:w="7272"/>
            <w:vAlign w:val="top"/>
          </w:tcPr>
          <w:p>
            <w:pPr>
              <w:spacing w:after="0"/>
            </w:pPr>
            <w:r>
              <w:rPr>
                <w:rFonts w:ascii="Arial" w:hAnsi="Arial"/>
                <w:sz w:val="16"/>
              </w:rPr>
              <w:t>Resumo legal, usos, CA/TO/TP, recuos, altura, envelope, fachada, vagas, aprovação, patrimônio, mobilidade.</w:t>
            </w:r>
          </w:p>
        </w:tc>
      </w:tr>
      <w:tr>
        <w:trPr>
          <w:cantSplit/>
          <w:cantSplit/>
        </w:trPr>
        <w:tc>
          <w:tcPr>
            <w:tcW w:type="dxa" w:w="2088"/>
            <w:vAlign w:val="top"/>
          </w:tcPr>
          <w:p>
            <w:pPr>
              <w:spacing w:after="0"/>
            </w:pPr>
            <w:r>
              <w:rPr>
                <w:rFonts w:ascii="Arial" w:hAnsi="Arial"/>
                <w:sz w:val="16"/>
              </w:rPr>
              <w:t>Engenharia</w:t>
            </w:r>
          </w:p>
        </w:tc>
        <w:tc>
          <w:tcPr>
            <w:tcW w:type="dxa" w:w="7272"/>
            <w:vAlign w:val="top"/>
          </w:tcPr>
          <w:p>
            <w:pPr>
              <w:spacing w:after="0"/>
            </w:pPr>
            <w:r>
              <w:rPr>
                <w:rFonts w:ascii="Arial" w:hAnsi="Arial"/>
                <w:sz w:val="16"/>
              </w:rPr>
              <w:t>Topografia, geotecnia, drenagem, redes, servidões, acesso, riscos, interferências, infraestrutura e aprovações técnicas.</w:t>
            </w:r>
          </w:p>
        </w:tc>
      </w:tr>
      <w:tr>
        <w:trPr>
          <w:cantSplit/>
          <w:cantSplit/>
        </w:trPr>
        <w:tc>
          <w:tcPr>
            <w:tcW w:type="dxa" w:w="2088"/>
            <w:vAlign w:val="top"/>
          </w:tcPr>
          <w:p>
            <w:pPr>
              <w:spacing w:after="0"/>
            </w:pPr>
            <w:r>
              <w:rPr>
                <w:rFonts w:ascii="Arial" w:hAnsi="Arial"/>
                <w:sz w:val="16"/>
              </w:rPr>
              <w:t>Incorporação</w:t>
            </w:r>
          </w:p>
        </w:tc>
        <w:tc>
          <w:tcPr>
            <w:tcW w:type="dxa" w:w="7272"/>
            <w:vAlign w:val="top"/>
          </w:tcPr>
          <w:p>
            <w:pPr>
              <w:spacing w:after="0"/>
            </w:pPr>
            <w:r>
              <w:rPr>
                <w:rFonts w:ascii="Arial" w:hAnsi="Arial"/>
                <w:sz w:val="16"/>
              </w:rPr>
              <w:t>Potencial, área vendável estimada, outorga, custo urbanístico, produto permitido, cronograma, risco e mercado.</w:t>
            </w:r>
          </w:p>
        </w:tc>
      </w:tr>
      <w:tr>
        <w:trPr>
          <w:cantSplit/>
          <w:cantSplit/>
        </w:trPr>
        <w:tc>
          <w:tcPr>
            <w:tcW w:type="dxa" w:w="2088"/>
            <w:vAlign w:val="top"/>
          </w:tcPr>
          <w:p>
            <w:pPr>
              <w:spacing w:after="0"/>
            </w:pPr>
            <w:r>
              <w:rPr>
                <w:rFonts w:ascii="Arial" w:hAnsi="Arial"/>
                <w:sz w:val="16"/>
              </w:rPr>
              <w:t>Corretagem</w:t>
            </w:r>
          </w:p>
        </w:tc>
        <w:tc>
          <w:tcPr>
            <w:tcW w:type="dxa" w:w="7272"/>
            <w:vAlign w:val="top"/>
          </w:tcPr>
          <w:p>
            <w:pPr>
              <w:spacing w:after="0"/>
            </w:pPr>
            <w:r>
              <w:rPr>
                <w:rFonts w:ascii="Arial" w:hAnsi="Arial"/>
                <w:sz w:val="16"/>
              </w:rPr>
              <w:t>Vocação, uso permitido, potencial, restrições, cadastro, mercado, comparáveis e “pontos de atenção” sem linguagem jurídica excessiva.</w:t>
            </w:r>
          </w:p>
        </w:tc>
      </w:tr>
      <w:tr>
        <w:trPr>
          <w:cantSplit/>
          <w:cantSplit/>
        </w:trPr>
        <w:tc>
          <w:tcPr>
            <w:tcW w:type="dxa" w:w="2088"/>
            <w:vAlign w:val="top"/>
          </w:tcPr>
          <w:p>
            <w:pPr>
              <w:spacing w:after="0"/>
            </w:pPr>
            <w:r>
              <w:rPr>
                <w:rFonts w:ascii="Arial" w:hAnsi="Arial"/>
                <w:sz w:val="16"/>
              </w:rPr>
              <w:t>Prefeitura</w:t>
            </w:r>
          </w:p>
        </w:tc>
        <w:tc>
          <w:tcPr>
            <w:tcW w:type="dxa" w:w="7272"/>
            <w:vAlign w:val="top"/>
          </w:tcPr>
          <w:p>
            <w:pPr>
              <w:spacing w:after="0"/>
            </w:pPr>
            <w:r>
              <w:rPr>
                <w:rFonts w:ascii="Arial" w:hAnsi="Arial"/>
                <w:sz w:val="16"/>
              </w:rPr>
              <w:t>Camadas oficiais, fiscalização, divergências cadastrais, processos, arrecadação, expansão urbana, indicadores e transparência.</w:t>
            </w:r>
          </w:p>
        </w:tc>
      </w:tr>
      <w:tr>
        <w:trPr>
          <w:cantSplit/>
          <w:cantSplit/>
        </w:trPr>
        <w:tc>
          <w:tcPr>
            <w:tcW w:type="dxa" w:w="2088"/>
            <w:vAlign w:val="top"/>
          </w:tcPr>
          <w:p>
            <w:pPr>
              <w:spacing w:after="0"/>
            </w:pPr>
            <w:r>
              <w:rPr>
                <w:rFonts w:ascii="Arial" w:hAnsi="Arial"/>
                <w:sz w:val="16"/>
              </w:rPr>
              <w:t>Jurídico/perícia</w:t>
            </w:r>
          </w:p>
        </w:tc>
        <w:tc>
          <w:tcPr>
            <w:tcW w:type="dxa" w:w="7272"/>
            <w:vAlign w:val="top"/>
          </w:tcPr>
          <w:p>
            <w:pPr>
              <w:spacing w:after="0"/>
            </w:pPr>
            <w:r>
              <w:rPr>
                <w:rFonts w:ascii="Arial" w:hAnsi="Arial"/>
                <w:sz w:val="16"/>
              </w:rPr>
              <w:t>Linha do tempo normativa, evidência, matrícula/certidões autorizadas, servidões, regularização, conflitos e versão na data-base.</w:t>
            </w:r>
          </w:p>
        </w:tc>
      </w:tr>
      <w:tr>
        <w:trPr>
          <w:cantSplit/>
          <w:cantSplit/>
        </w:trPr>
        <w:tc>
          <w:tcPr>
            <w:tcW w:type="dxa" w:w="2088"/>
            <w:vAlign w:val="top"/>
          </w:tcPr>
          <w:p>
            <w:pPr>
              <w:spacing w:after="0"/>
            </w:pPr>
            <w:r>
              <w:rPr>
                <w:rFonts w:ascii="Arial" w:hAnsi="Arial"/>
                <w:sz w:val="16"/>
              </w:rPr>
              <w:t>Banco/investidor</w:t>
            </w:r>
          </w:p>
        </w:tc>
        <w:tc>
          <w:tcPr>
            <w:tcW w:type="dxa" w:w="7272"/>
            <w:vAlign w:val="top"/>
          </w:tcPr>
          <w:p>
            <w:pPr>
              <w:spacing w:after="0"/>
            </w:pPr>
            <w:r>
              <w:rPr>
                <w:rFonts w:ascii="Arial" w:hAnsi="Arial"/>
                <w:sz w:val="16"/>
              </w:rPr>
              <w:t>Risco dominial/ambiental, liquidez, potencial, restrições severas, custos, licenças críticas e sensibilidade de cenário.</w:t>
            </w:r>
          </w:p>
        </w:tc>
      </w:tr>
    </w:tbl>
    <w:p>
      <w:pPr>
        <w:spacing w:after="20"/>
      </w:pPr>
    </w:p>
    <w:p>
      <w:pPr>
        <w:pStyle w:val="Heading1"/>
        <w:keepNext/>
      </w:pPr>
      <w:r>
        <w:t>5. Classes de dados e limites de cobertura</w:t>
      </w:r>
    </w:p>
    <w:p>
      <w:pPr>
        <w:jc w:val="center"/>
      </w:pPr>
      <w:r>
        <w:drawing>
          <wp:inline xmlns:a="http://schemas.openxmlformats.org/drawingml/2006/main" xmlns:pic="http://schemas.openxmlformats.org/drawingml/2006/picture">
            <wp:extent cx="4572000" cy="3371060"/>
            <wp:docPr id="2" name="Picture 2" descr="Figura 2 — Modelo de cobertura: o sistema deve distinguir dado aberto, autenticado, licenciado, derivado e fornecido pelo usuário." title="Figura 2 — Modelo de cobertura: o sistema deve distinguir dado aberto, autenticado, licenciado, derivado e fornecido pel"/>
            <wp:cNvGraphicFramePr>
              <a:graphicFrameLocks noChangeAspect="1"/>
            </wp:cNvGraphicFramePr>
            <a:graphic>
              <a:graphicData uri="http://schemas.openxmlformats.org/drawingml/2006/picture">
                <pic:pic>
                  <pic:nvPicPr>
                    <pic:cNvPr id="0" name="coverage.png"/>
                    <pic:cNvPicPr/>
                  </pic:nvPicPr>
                  <pic:blipFill>
                    <a:blip r:embed="rId11"/>
                    <a:stretch>
                      <a:fillRect/>
                    </a:stretch>
                  </pic:blipFill>
                  <pic:spPr>
                    <a:xfrm>
                      <a:off x="0" y="0"/>
                      <a:ext cx="4572000" cy="3371060"/>
                    </a:xfrm>
                    <a:prstGeom prst="rect"/>
                  </pic:spPr>
                </pic:pic>
              </a:graphicData>
            </a:graphic>
          </wp:inline>
        </w:drawing>
      </w:r>
    </w:p>
    <w:p>
      <w:pPr>
        <w:pStyle w:val="CaptionLD"/>
        <w:spacing w:after="160"/>
        <w:jc w:val="center"/>
      </w:pPr>
      <w:r>
        <w:t>Figura 2 — Modelo de cobertura: o sistema deve distinguir dado aberto, autenticado, licenciado, derivado e fornecido pelo usuário.</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cantSplit/>
        </w:trPr>
        <w:tc>
          <w:tcPr>
            <w:tcW w:type="dxa" w:w="1656"/>
            <w:shd w:fill="EDEDED"/>
            <w:vAlign w:val="center"/>
          </w:tcPr>
          <w:p>
            <w:r>
              <w:rPr>
                <w:rFonts w:ascii="Arial" w:hAnsi="Arial"/>
                <w:b/>
                <w:sz w:val="14"/>
              </w:rPr>
              <w:t>Classe</w:t>
            </w:r>
          </w:p>
        </w:tc>
        <w:tc>
          <w:tcPr>
            <w:tcW w:type="dxa" w:w="2520"/>
            <w:shd w:fill="EDEDED"/>
            <w:vAlign w:val="center"/>
          </w:tcPr>
          <w:p>
            <w:r>
              <w:rPr>
                <w:rFonts w:ascii="Arial" w:hAnsi="Arial"/>
                <w:b/>
                <w:sz w:val="14"/>
              </w:rPr>
              <w:t>Definição</w:t>
            </w:r>
          </w:p>
        </w:tc>
        <w:tc>
          <w:tcPr>
            <w:tcW w:type="dxa" w:w="3528"/>
            <w:shd w:fill="EDEDED"/>
            <w:vAlign w:val="center"/>
          </w:tcPr>
          <w:p>
            <w:r>
              <w:rPr>
                <w:rFonts w:ascii="Arial" w:hAnsi="Arial"/>
                <w:b/>
                <w:sz w:val="14"/>
              </w:rPr>
              <w:t>Exemplos</w:t>
            </w:r>
          </w:p>
        </w:tc>
        <w:tc>
          <w:tcPr>
            <w:tcW w:type="dxa" w:w="1728"/>
            <w:shd w:fill="EDEDED"/>
            <w:vAlign w:val="center"/>
          </w:tcPr>
          <w:p>
            <w:r>
              <w:rPr>
                <w:rFonts w:ascii="Arial" w:hAnsi="Arial"/>
                <w:b/>
                <w:sz w:val="14"/>
              </w:rPr>
              <w:t>Política</w:t>
            </w:r>
          </w:p>
        </w:tc>
      </w:tr>
      <w:tr>
        <w:trPr>
          <w:cantSplit/>
        </w:trPr>
        <w:tc>
          <w:tcPr>
            <w:tcW w:type="dxa" w:w="1656"/>
            <w:vAlign w:val="top"/>
          </w:tcPr>
          <w:p>
            <w:pPr>
              <w:spacing w:after="0"/>
            </w:pPr>
            <w:r>
              <w:rPr>
                <w:rFonts w:ascii="Arial" w:hAnsi="Arial"/>
                <w:sz w:val="14"/>
              </w:rPr>
              <w:t>A — aberto nacional</w:t>
            </w:r>
          </w:p>
        </w:tc>
        <w:tc>
          <w:tcPr>
            <w:tcW w:type="dxa" w:w="2520"/>
            <w:vAlign w:val="top"/>
          </w:tcPr>
          <w:p>
            <w:pPr>
              <w:spacing w:after="0"/>
            </w:pPr>
            <w:r>
              <w:rPr>
                <w:rFonts w:ascii="Arial" w:hAnsi="Arial"/>
                <w:sz w:val="14"/>
              </w:rPr>
              <w:t>Download/API/geosserviço público nacional.</w:t>
            </w:r>
          </w:p>
        </w:tc>
        <w:tc>
          <w:tcPr>
            <w:tcW w:type="dxa" w:w="3528"/>
            <w:vAlign w:val="top"/>
          </w:tcPr>
          <w:p>
            <w:pPr>
              <w:spacing w:after="0"/>
            </w:pPr>
            <w:r>
              <w:rPr>
                <w:rFonts w:ascii="Arial" w:hAnsi="Arial"/>
                <w:sz w:val="14"/>
              </w:rPr>
              <w:t>IBGE, ANM, INPE, IBAMA, ICMBio, ANEEL, parte de Anatel, INEP, CNES.</w:t>
            </w:r>
          </w:p>
        </w:tc>
        <w:tc>
          <w:tcPr>
            <w:tcW w:type="dxa" w:w="1728"/>
            <w:vAlign w:val="top"/>
          </w:tcPr>
          <w:p>
            <w:pPr>
              <w:spacing w:after="0"/>
            </w:pPr>
            <w:r>
              <w:rPr>
                <w:rFonts w:ascii="Arial" w:hAnsi="Arial"/>
                <w:sz w:val="14"/>
              </w:rPr>
              <w:t>Automatizar ingestão e atualização.</w:t>
            </w:r>
          </w:p>
        </w:tc>
      </w:tr>
      <w:tr>
        <w:trPr>
          <w:cantSplit/>
        </w:trPr>
        <w:tc>
          <w:tcPr>
            <w:tcW w:type="dxa" w:w="1656"/>
            <w:vAlign w:val="top"/>
          </w:tcPr>
          <w:p>
            <w:pPr>
              <w:spacing w:after="0"/>
            </w:pPr>
            <w:r>
              <w:rPr>
                <w:rFonts w:ascii="Arial" w:hAnsi="Arial"/>
                <w:sz w:val="14"/>
              </w:rPr>
              <w:t>B — aberto variável</w:t>
            </w:r>
          </w:p>
        </w:tc>
        <w:tc>
          <w:tcPr>
            <w:tcW w:type="dxa" w:w="2520"/>
            <w:vAlign w:val="top"/>
          </w:tcPr>
          <w:p>
            <w:pPr>
              <w:spacing w:after="0"/>
            </w:pPr>
            <w:r>
              <w:rPr>
                <w:rFonts w:ascii="Arial" w:hAnsi="Arial"/>
                <w:sz w:val="14"/>
              </w:rPr>
              <w:t>Existe em estados/municípios, mas formato e cobertura variam.</w:t>
            </w:r>
          </w:p>
        </w:tc>
        <w:tc>
          <w:tcPr>
            <w:tcW w:type="dxa" w:w="3528"/>
            <w:vAlign w:val="top"/>
          </w:tcPr>
          <w:p>
            <w:pPr>
              <w:spacing w:after="0"/>
            </w:pPr>
            <w:r>
              <w:rPr>
                <w:rFonts w:ascii="Arial" w:hAnsi="Arial"/>
                <w:sz w:val="14"/>
              </w:rPr>
              <w:t>Zoneamento, lote fiscal, IPTU, ITBI, alvarás, drenagem, patrimônio local.</w:t>
            </w:r>
          </w:p>
        </w:tc>
        <w:tc>
          <w:tcPr>
            <w:tcW w:type="dxa" w:w="1728"/>
            <w:vAlign w:val="top"/>
          </w:tcPr>
          <w:p>
            <w:pPr>
              <w:spacing w:after="0"/>
            </w:pPr>
            <w:r>
              <w:rPr>
                <w:rFonts w:ascii="Arial" w:hAnsi="Arial"/>
                <w:sz w:val="14"/>
              </w:rPr>
              <w:t>Factory municipal + QA.</w:t>
            </w:r>
          </w:p>
        </w:tc>
      </w:tr>
      <w:tr>
        <w:trPr>
          <w:cantSplit/>
        </w:trPr>
        <w:tc>
          <w:tcPr>
            <w:tcW w:type="dxa" w:w="1656"/>
            <w:vAlign w:val="top"/>
          </w:tcPr>
          <w:p>
            <w:pPr>
              <w:spacing w:after="0"/>
            </w:pPr>
            <w:r>
              <w:rPr>
                <w:rFonts w:ascii="Arial" w:hAnsi="Arial"/>
                <w:sz w:val="14"/>
              </w:rPr>
              <w:t>C — autenticado/institucional</w:t>
            </w:r>
          </w:p>
        </w:tc>
        <w:tc>
          <w:tcPr>
            <w:tcW w:type="dxa" w:w="2520"/>
            <w:vAlign w:val="top"/>
          </w:tcPr>
          <w:p>
            <w:pPr>
              <w:spacing w:after="0"/>
            </w:pPr>
            <w:r>
              <w:rPr>
                <w:rFonts w:ascii="Arial" w:hAnsi="Arial"/>
                <w:sz w:val="14"/>
              </w:rPr>
              <w:t>Requer gov.br, perfil, convênio ou finalidade.</w:t>
            </w:r>
          </w:p>
        </w:tc>
        <w:tc>
          <w:tcPr>
            <w:tcW w:type="dxa" w:w="3528"/>
            <w:vAlign w:val="top"/>
          </w:tcPr>
          <w:p>
            <w:pPr>
              <w:spacing w:after="0"/>
            </w:pPr>
            <w:r>
              <w:rPr>
                <w:rFonts w:ascii="Arial" w:hAnsi="Arial"/>
                <w:sz w:val="14"/>
              </w:rPr>
              <w:t>SINTER, APIs Conecta/SICAR, SIGEF, SREI/ONR conforme serviço/perfil.</w:t>
            </w:r>
          </w:p>
        </w:tc>
        <w:tc>
          <w:tcPr>
            <w:tcW w:type="dxa" w:w="1728"/>
            <w:vAlign w:val="top"/>
          </w:tcPr>
          <w:p>
            <w:pPr>
              <w:spacing w:after="0"/>
            </w:pPr>
            <w:r>
              <w:rPr>
                <w:rFonts w:ascii="Arial" w:hAnsi="Arial"/>
                <w:sz w:val="14"/>
              </w:rPr>
              <w:t>Conector autorizado; nunca contornar autenticação.</w:t>
            </w:r>
          </w:p>
        </w:tc>
      </w:tr>
      <w:tr>
        <w:trPr>
          <w:cantSplit/>
        </w:trPr>
        <w:tc>
          <w:tcPr>
            <w:tcW w:type="dxa" w:w="1656"/>
            <w:vAlign w:val="top"/>
          </w:tcPr>
          <w:p>
            <w:pPr>
              <w:spacing w:after="0"/>
            </w:pPr>
            <w:r>
              <w:rPr>
                <w:rFonts w:ascii="Arial" w:hAnsi="Arial"/>
                <w:sz w:val="14"/>
              </w:rPr>
              <w:t>D — licenciado/concessionária</w:t>
            </w:r>
          </w:p>
        </w:tc>
        <w:tc>
          <w:tcPr>
            <w:tcW w:type="dxa" w:w="2520"/>
            <w:vAlign w:val="top"/>
          </w:tcPr>
          <w:p>
            <w:pPr>
              <w:spacing w:after="0"/>
            </w:pPr>
            <w:r>
              <w:rPr>
                <w:rFonts w:ascii="Arial" w:hAnsi="Arial"/>
                <w:sz w:val="14"/>
              </w:rPr>
              <w:t>Dado comercial ou rede operacional não necessariamente aberta.</w:t>
            </w:r>
          </w:p>
        </w:tc>
        <w:tc>
          <w:tcPr>
            <w:tcW w:type="dxa" w:w="3528"/>
            <w:vAlign w:val="top"/>
          </w:tcPr>
          <w:p>
            <w:pPr>
              <w:spacing w:after="0"/>
            </w:pPr>
            <w:r>
              <w:rPr>
                <w:rFonts w:ascii="Arial" w:hAnsi="Arial"/>
                <w:sz w:val="14"/>
              </w:rPr>
              <w:t>Mercado, rede fina de gás/fibra, algumas redes de água/esgoto.</w:t>
            </w:r>
          </w:p>
        </w:tc>
        <w:tc>
          <w:tcPr>
            <w:tcW w:type="dxa" w:w="1728"/>
            <w:vAlign w:val="top"/>
          </w:tcPr>
          <w:p>
            <w:pPr>
              <w:spacing w:after="0"/>
            </w:pPr>
            <w:r>
              <w:rPr>
                <w:rFonts w:ascii="Arial" w:hAnsi="Arial"/>
                <w:sz w:val="14"/>
              </w:rPr>
              <w:t>Contrato/licença e controle de acesso.</w:t>
            </w:r>
          </w:p>
        </w:tc>
      </w:tr>
      <w:tr>
        <w:trPr>
          <w:cantSplit/>
        </w:trPr>
        <w:tc>
          <w:tcPr>
            <w:tcW w:type="dxa" w:w="1656"/>
            <w:vAlign w:val="top"/>
          </w:tcPr>
          <w:p>
            <w:pPr>
              <w:spacing w:after="0"/>
            </w:pPr>
            <w:r>
              <w:rPr>
                <w:rFonts w:ascii="Arial" w:hAnsi="Arial"/>
                <w:sz w:val="14"/>
              </w:rPr>
              <w:t>E — derivado</w:t>
            </w:r>
          </w:p>
        </w:tc>
        <w:tc>
          <w:tcPr>
            <w:tcW w:type="dxa" w:w="2520"/>
            <w:vAlign w:val="top"/>
          </w:tcPr>
          <w:p>
            <w:pPr>
              <w:spacing w:after="0"/>
            </w:pPr>
            <w:r>
              <w:rPr>
                <w:rFonts w:ascii="Arial" w:hAnsi="Arial"/>
                <w:sz w:val="14"/>
              </w:rPr>
              <w:t>Resultado calculado a partir de fontes.</w:t>
            </w:r>
          </w:p>
        </w:tc>
        <w:tc>
          <w:tcPr>
            <w:tcW w:type="dxa" w:w="3528"/>
            <w:vAlign w:val="top"/>
          </w:tcPr>
          <w:p>
            <w:pPr>
              <w:spacing w:after="0"/>
            </w:pPr>
            <w:r>
              <w:rPr>
                <w:rFonts w:ascii="Arial" w:hAnsi="Arial"/>
                <w:sz w:val="14"/>
              </w:rPr>
              <w:t>Distâncias, interseções, envelope, outorga estimada, índices.</w:t>
            </w:r>
          </w:p>
        </w:tc>
        <w:tc>
          <w:tcPr>
            <w:tcW w:type="dxa" w:w="1728"/>
            <w:vAlign w:val="top"/>
          </w:tcPr>
          <w:p>
            <w:pPr>
              <w:spacing w:after="0"/>
            </w:pPr>
            <w:r>
              <w:rPr>
                <w:rFonts w:ascii="Arial" w:hAnsi="Arial"/>
                <w:sz w:val="14"/>
              </w:rPr>
              <w:t>Guardar fórmula, entradas e versão.</w:t>
            </w:r>
          </w:p>
        </w:tc>
      </w:tr>
      <w:tr>
        <w:trPr>
          <w:cantSplit/>
        </w:trPr>
        <w:tc>
          <w:tcPr>
            <w:tcW w:type="dxa" w:w="1656"/>
            <w:vAlign w:val="top"/>
          </w:tcPr>
          <w:p>
            <w:pPr>
              <w:spacing w:after="0"/>
            </w:pPr>
            <w:r>
              <w:rPr>
                <w:rFonts w:ascii="Arial" w:hAnsi="Arial"/>
                <w:sz w:val="14"/>
              </w:rPr>
              <w:t>F — usuário</w:t>
            </w:r>
          </w:p>
        </w:tc>
        <w:tc>
          <w:tcPr>
            <w:tcW w:type="dxa" w:w="2520"/>
            <w:vAlign w:val="top"/>
          </w:tcPr>
          <w:p>
            <w:pPr>
              <w:spacing w:after="0"/>
            </w:pPr>
            <w:r>
              <w:rPr>
                <w:rFonts w:ascii="Arial" w:hAnsi="Arial"/>
                <w:sz w:val="14"/>
              </w:rPr>
              <w:t>Documento/levantamento fornecido pelo cliente.</w:t>
            </w:r>
          </w:p>
        </w:tc>
        <w:tc>
          <w:tcPr>
            <w:tcW w:type="dxa" w:w="3528"/>
            <w:vAlign w:val="top"/>
          </w:tcPr>
          <w:p>
            <w:pPr>
              <w:spacing w:after="0"/>
            </w:pPr>
            <w:r>
              <w:rPr>
                <w:rFonts w:ascii="Arial" w:hAnsi="Arial"/>
                <w:sz w:val="14"/>
              </w:rPr>
              <w:t>Matrícula, topografia, sondagem, projeto, memorial.</w:t>
            </w:r>
          </w:p>
        </w:tc>
        <w:tc>
          <w:tcPr>
            <w:tcW w:type="dxa" w:w="1728"/>
            <w:vAlign w:val="top"/>
          </w:tcPr>
          <w:p>
            <w:pPr>
              <w:spacing w:after="0"/>
            </w:pPr>
            <w:r>
              <w:rPr>
                <w:rFonts w:ascii="Arial" w:hAnsi="Arial"/>
                <w:sz w:val="14"/>
              </w:rPr>
              <w:t>Versionar, validar e não misturar com fonte oficial sem identificação.</w:t>
            </w:r>
          </w:p>
        </w:tc>
      </w:tr>
    </w:tbl>
    <w:p>
      <w:pPr>
        <w:spacing w:after="20"/>
      </w:pPr>
    </w:p>
    <w:p>
      <w:pPr>
        <w:pStyle w:val="Heading1"/>
        <w:keepNext/>
      </w:pPr>
      <w:r>
        <w:t>6. Fontes nacionais e o que extrair</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blHeader w:val="true"/>
          <w:cantSplit/>
        </w:trPr>
        <w:tc>
          <w:tcPr>
            <w:tcW w:type="dxa" w:w="1440"/>
            <w:shd w:fill="EDEDED"/>
            <w:vAlign w:val="center"/>
          </w:tcPr>
          <w:p>
            <w:r>
              <w:rPr>
                <w:rFonts w:ascii="Arial" w:hAnsi="Arial"/>
                <w:b/>
                <w:sz w:val="13"/>
              </w:rPr>
              <w:t>Fonte</w:t>
            </w:r>
          </w:p>
        </w:tc>
        <w:tc>
          <w:tcPr>
            <w:tcW w:type="dxa" w:w="2664"/>
            <w:shd w:fill="EDEDED"/>
            <w:vAlign w:val="center"/>
          </w:tcPr>
          <w:p>
            <w:r>
              <w:rPr>
                <w:rFonts w:ascii="Arial" w:hAnsi="Arial"/>
                <w:b/>
                <w:sz w:val="13"/>
              </w:rPr>
              <w:t>Dados</w:t>
            </w:r>
          </w:p>
        </w:tc>
        <w:tc>
          <w:tcPr>
            <w:tcW w:type="dxa" w:w="1800"/>
            <w:shd w:fill="EDEDED"/>
            <w:vAlign w:val="center"/>
          </w:tcPr>
          <w:p>
            <w:r>
              <w:rPr>
                <w:rFonts w:ascii="Arial" w:hAnsi="Arial"/>
                <w:b/>
                <w:sz w:val="13"/>
              </w:rPr>
              <w:t>Formato</w:t>
            </w:r>
          </w:p>
        </w:tc>
        <w:tc>
          <w:tcPr>
            <w:tcW w:type="dxa" w:w="1296"/>
            <w:shd w:fill="EDEDED"/>
            <w:vAlign w:val="center"/>
          </w:tcPr>
          <w:p>
            <w:r>
              <w:rPr>
                <w:rFonts w:ascii="Arial" w:hAnsi="Arial"/>
                <w:b/>
                <w:sz w:val="13"/>
              </w:rPr>
              <w:t>Cobertura</w:t>
            </w:r>
          </w:p>
        </w:tc>
        <w:tc>
          <w:tcPr>
            <w:tcW w:type="dxa" w:w="2880"/>
            <w:shd w:fill="EDEDED"/>
            <w:vAlign w:val="center"/>
          </w:tcPr>
          <w:p>
            <w:r>
              <w:rPr>
                <w:rFonts w:ascii="Arial" w:hAnsi="Arial"/>
                <w:b/>
                <w:sz w:val="13"/>
              </w:rPr>
              <w:t>Uso no LoteDiretor</w:t>
            </w:r>
          </w:p>
        </w:tc>
      </w:tr>
      <w:tr>
        <w:trPr>
          <w:cantSplit/>
        </w:trPr>
        <w:tc>
          <w:tcPr>
            <w:tcW w:type="dxa" w:w="1440"/>
            <w:vAlign w:val="top"/>
          </w:tcPr>
          <w:p>
            <w:pPr>
              <w:spacing w:after="0"/>
            </w:pPr>
            <w:r>
              <w:rPr>
                <w:rFonts w:ascii="Arial" w:hAnsi="Arial"/>
                <w:sz w:val="13"/>
              </w:rPr>
              <w:t>IBGE</w:t>
            </w:r>
          </w:p>
        </w:tc>
        <w:tc>
          <w:tcPr>
            <w:tcW w:type="dxa" w:w="2664"/>
            <w:vAlign w:val="top"/>
          </w:tcPr>
          <w:p>
            <w:pPr>
              <w:spacing w:after="0"/>
            </w:pPr>
            <w:r>
              <w:rPr>
                <w:rFonts w:ascii="Arial" w:hAnsi="Arial"/>
                <w:sz w:val="13"/>
              </w:rPr>
              <w:t>Malhas, setores, bairros, faces, Censo, população, domicílios, cartografia.</w:t>
            </w:r>
          </w:p>
        </w:tc>
        <w:tc>
          <w:tcPr>
            <w:tcW w:type="dxa" w:w="1800"/>
            <w:vAlign w:val="top"/>
          </w:tcPr>
          <w:p>
            <w:pPr>
              <w:spacing w:after="0"/>
            </w:pPr>
            <w:r>
              <w:rPr>
                <w:rFonts w:ascii="Arial" w:hAnsi="Arial"/>
                <w:sz w:val="13"/>
              </w:rPr>
              <w:t>SHP/GPKG/KML/JSON/XLSX</w:t>
            </w:r>
          </w:p>
        </w:tc>
        <w:tc>
          <w:tcPr>
            <w:tcW w:type="dxa" w:w="1296"/>
            <w:vAlign w:val="top"/>
          </w:tcPr>
          <w:p>
            <w:pPr>
              <w:spacing w:after="0"/>
            </w:pPr>
            <w:r>
              <w:rPr>
                <w:rFonts w:ascii="Arial" w:hAnsi="Arial"/>
                <w:sz w:val="13"/>
              </w:rPr>
              <w:t>Nacional</w:t>
            </w:r>
          </w:p>
        </w:tc>
        <w:tc>
          <w:tcPr>
            <w:tcW w:type="dxa" w:w="2880"/>
            <w:vAlign w:val="top"/>
          </w:tcPr>
          <w:p>
            <w:pPr>
              <w:spacing w:after="0"/>
            </w:pPr>
            <w:r>
              <w:rPr>
                <w:rFonts w:ascii="Arial" w:hAnsi="Arial"/>
                <w:sz w:val="13"/>
              </w:rPr>
              <w:t>Base territorial canônica; geocódigo IBGE [R7][R8].</w:t>
            </w:r>
          </w:p>
        </w:tc>
      </w:tr>
      <w:tr>
        <w:trPr>
          <w:cantSplit/>
        </w:trPr>
        <w:tc>
          <w:tcPr>
            <w:tcW w:type="dxa" w:w="1440"/>
            <w:vAlign w:val="top"/>
          </w:tcPr>
          <w:p>
            <w:pPr>
              <w:spacing w:after="0"/>
            </w:pPr>
            <w:r>
              <w:rPr>
                <w:rFonts w:ascii="Arial" w:hAnsi="Arial"/>
                <w:sz w:val="13"/>
              </w:rPr>
              <w:t>INDE/DBDG</w:t>
            </w:r>
          </w:p>
        </w:tc>
        <w:tc>
          <w:tcPr>
            <w:tcW w:type="dxa" w:w="2664"/>
            <w:vAlign w:val="top"/>
          </w:tcPr>
          <w:p>
            <w:pPr>
              <w:spacing w:after="0"/>
            </w:pPr>
            <w:r>
              <w:rPr>
                <w:rFonts w:ascii="Arial" w:hAnsi="Arial"/>
                <w:sz w:val="13"/>
              </w:rPr>
              <w:t>Catálogo de dados e geosserviços oficiais federais/estaduais/municipais.</w:t>
            </w:r>
          </w:p>
        </w:tc>
        <w:tc>
          <w:tcPr>
            <w:tcW w:type="dxa" w:w="1800"/>
            <w:vAlign w:val="top"/>
          </w:tcPr>
          <w:p>
            <w:pPr>
              <w:spacing w:after="0"/>
            </w:pPr>
            <w:r>
              <w:rPr>
                <w:rFonts w:ascii="Arial" w:hAnsi="Arial"/>
                <w:sz w:val="13"/>
              </w:rPr>
              <w:t>WMS/WFS/metadados</w:t>
            </w:r>
          </w:p>
        </w:tc>
        <w:tc>
          <w:tcPr>
            <w:tcW w:type="dxa" w:w="1296"/>
            <w:vAlign w:val="top"/>
          </w:tcPr>
          <w:p>
            <w:pPr>
              <w:spacing w:after="0"/>
            </w:pPr>
            <w:r>
              <w:rPr>
                <w:rFonts w:ascii="Arial" w:hAnsi="Arial"/>
                <w:sz w:val="13"/>
              </w:rPr>
              <w:t>Nacional</w:t>
            </w:r>
          </w:p>
        </w:tc>
        <w:tc>
          <w:tcPr>
            <w:tcW w:type="dxa" w:w="2880"/>
            <w:vAlign w:val="top"/>
          </w:tcPr>
          <w:p>
            <w:pPr>
              <w:spacing w:after="0"/>
            </w:pPr>
            <w:r>
              <w:rPr>
                <w:rFonts w:ascii="Arial" w:hAnsi="Arial"/>
                <w:sz w:val="13"/>
              </w:rPr>
              <w:t>Ponto de descoberta e interoperabilidade [R6].</w:t>
            </w:r>
          </w:p>
        </w:tc>
      </w:tr>
      <w:tr>
        <w:trPr>
          <w:cantSplit/>
        </w:trPr>
        <w:tc>
          <w:tcPr>
            <w:tcW w:type="dxa" w:w="1440"/>
            <w:vAlign w:val="top"/>
          </w:tcPr>
          <w:p>
            <w:pPr>
              <w:spacing w:after="0"/>
            </w:pPr>
            <w:r>
              <w:rPr>
                <w:rFonts w:ascii="Arial" w:hAnsi="Arial"/>
                <w:sz w:val="13"/>
              </w:rPr>
              <w:t>SINTER/Receita</w:t>
            </w:r>
          </w:p>
        </w:tc>
        <w:tc>
          <w:tcPr>
            <w:tcW w:type="dxa" w:w="2664"/>
            <w:vAlign w:val="top"/>
          </w:tcPr>
          <w:p>
            <w:pPr>
              <w:spacing w:after="0"/>
            </w:pPr>
            <w:r>
              <w:rPr>
                <w:rFonts w:ascii="Arial" w:hAnsi="Arial"/>
                <w:sz w:val="13"/>
              </w:rPr>
              <w:t>CIB, unidades imobiliárias urbanas integradas, consulta territorial.</w:t>
            </w:r>
          </w:p>
        </w:tc>
        <w:tc>
          <w:tcPr>
            <w:tcW w:type="dxa" w:w="1800"/>
            <w:vAlign w:val="top"/>
          </w:tcPr>
          <w:p>
            <w:pPr>
              <w:spacing w:after="0"/>
            </w:pPr>
            <w:r>
              <w:rPr>
                <w:rFonts w:ascii="Arial" w:hAnsi="Arial"/>
                <w:sz w:val="13"/>
              </w:rPr>
              <w:t>Portal/integração autorizada/CSV de cobertura</w:t>
            </w:r>
          </w:p>
        </w:tc>
        <w:tc>
          <w:tcPr>
            <w:tcW w:type="dxa" w:w="1296"/>
            <w:vAlign w:val="top"/>
          </w:tcPr>
          <w:p>
            <w:pPr>
              <w:spacing w:after="0"/>
            </w:pPr>
            <w:r>
              <w:rPr>
                <w:rFonts w:ascii="Arial" w:hAnsi="Arial"/>
                <w:sz w:val="13"/>
              </w:rPr>
              <w:t>Parcial crescente</w:t>
            </w:r>
          </w:p>
        </w:tc>
        <w:tc>
          <w:tcPr>
            <w:tcW w:type="dxa" w:w="2880"/>
            <w:vAlign w:val="top"/>
          </w:tcPr>
          <w:p>
            <w:pPr>
              <w:spacing w:after="0"/>
            </w:pPr>
            <w:r>
              <w:rPr>
                <w:rFonts w:ascii="Arial" w:hAnsi="Arial"/>
                <w:sz w:val="13"/>
              </w:rPr>
              <w:t>Cobertura municipal ainda desigual [R9][R10].</w:t>
            </w:r>
          </w:p>
        </w:tc>
      </w:tr>
      <w:tr>
        <w:trPr>
          <w:cantSplit/>
        </w:trPr>
        <w:tc>
          <w:tcPr>
            <w:tcW w:type="dxa" w:w="1440"/>
            <w:vAlign w:val="top"/>
          </w:tcPr>
          <w:p>
            <w:pPr>
              <w:spacing w:after="0"/>
            </w:pPr>
            <w:r>
              <w:rPr>
                <w:rFonts w:ascii="Arial" w:hAnsi="Arial"/>
                <w:sz w:val="13"/>
              </w:rPr>
              <w:t>SREI/ONR/CNJ</w:t>
            </w:r>
          </w:p>
        </w:tc>
        <w:tc>
          <w:tcPr>
            <w:tcW w:type="dxa" w:w="2664"/>
            <w:vAlign w:val="top"/>
          </w:tcPr>
          <w:p>
            <w:pPr>
              <w:spacing w:after="0"/>
            </w:pPr>
            <w:r>
              <w:rPr>
                <w:rFonts w:ascii="Arial" w:hAnsi="Arial"/>
                <w:sz w:val="13"/>
              </w:rPr>
              <w:t>Matrícula eletrônica, certidões, pesquisa registral, serviços eletrônicos.</w:t>
            </w:r>
          </w:p>
        </w:tc>
        <w:tc>
          <w:tcPr>
            <w:tcW w:type="dxa" w:w="1800"/>
            <w:vAlign w:val="top"/>
          </w:tcPr>
          <w:p>
            <w:pPr>
              <w:spacing w:after="0"/>
            </w:pPr>
            <w:r>
              <w:rPr>
                <w:rFonts w:ascii="Arial" w:hAnsi="Arial"/>
                <w:sz w:val="13"/>
              </w:rPr>
              <w:t>Serviço autenticado</w:t>
            </w:r>
          </w:p>
        </w:tc>
        <w:tc>
          <w:tcPr>
            <w:tcW w:type="dxa" w:w="1296"/>
            <w:vAlign w:val="top"/>
          </w:tcPr>
          <w:p>
            <w:pPr>
              <w:spacing w:after="0"/>
            </w:pPr>
            <w:r>
              <w:rPr>
                <w:rFonts w:ascii="Arial" w:hAnsi="Arial"/>
                <w:sz w:val="13"/>
              </w:rPr>
              <w:t>Nacional institucional</w:t>
            </w:r>
          </w:p>
        </w:tc>
        <w:tc>
          <w:tcPr>
            <w:tcW w:type="dxa" w:w="2880"/>
            <w:vAlign w:val="top"/>
          </w:tcPr>
          <w:p>
            <w:pPr>
              <w:spacing w:after="0"/>
            </w:pPr>
            <w:r>
              <w:rPr>
                <w:rFonts w:ascii="Arial" w:hAnsi="Arial"/>
                <w:sz w:val="13"/>
              </w:rPr>
              <w:t>Não tratar como base aberta em massa [R11].</w:t>
            </w:r>
          </w:p>
        </w:tc>
      </w:tr>
      <w:tr>
        <w:trPr>
          <w:cantSplit/>
        </w:trPr>
        <w:tc>
          <w:tcPr>
            <w:tcW w:type="dxa" w:w="1440"/>
            <w:vAlign w:val="top"/>
          </w:tcPr>
          <w:p>
            <w:pPr>
              <w:spacing w:after="0"/>
            </w:pPr>
            <w:r>
              <w:rPr>
                <w:rFonts w:ascii="Arial" w:hAnsi="Arial"/>
                <w:sz w:val="13"/>
              </w:rPr>
              <w:t>INCRA/SIGEF/SNCR</w:t>
            </w:r>
          </w:p>
        </w:tc>
        <w:tc>
          <w:tcPr>
            <w:tcW w:type="dxa" w:w="2664"/>
            <w:vAlign w:val="top"/>
          </w:tcPr>
          <w:p>
            <w:pPr>
              <w:spacing w:after="0"/>
            </w:pPr>
            <w:r>
              <w:rPr>
                <w:rFonts w:ascii="Arial" w:hAnsi="Arial"/>
                <w:sz w:val="13"/>
              </w:rPr>
              <w:t>Parcelas certificadas, georreferenciamento rural, cadastro rural.</w:t>
            </w:r>
          </w:p>
        </w:tc>
        <w:tc>
          <w:tcPr>
            <w:tcW w:type="dxa" w:w="1800"/>
            <w:vAlign w:val="top"/>
          </w:tcPr>
          <w:p>
            <w:pPr>
              <w:spacing w:after="0"/>
            </w:pPr>
            <w:r>
              <w:rPr>
                <w:rFonts w:ascii="Arial" w:hAnsi="Arial"/>
                <w:sz w:val="13"/>
              </w:rPr>
              <w:t>Consultas/integrações/arquivos conforme serviço</w:t>
            </w:r>
          </w:p>
        </w:tc>
        <w:tc>
          <w:tcPr>
            <w:tcW w:type="dxa" w:w="1296"/>
            <w:vAlign w:val="top"/>
          </w:tcPr>
          <w:p>
            <w:pPr>
              <w:spacing w:after="0"/>
            </w:pPr>
            <w:r>
              <w:rPr>
                <w:rFonts w:ascii="Arial" w:hAnsi="Arial"/>
                <w:sz w:val="13"/>
              </w:rPr>
              <w:t>Rural</w:t>
            </w:r>
          </w:p>
        </w:tc>
        <w:tc>
          <w:tcPr>
            <w:tcW w:type="dxa" w:w="2880"/>
            <w:vAlign w:val="top"/>
          </w:tcPr>
          <w:p>
            <w:pPr>
              <w:spacing w:after="0"/>
            </w:pPr>
            <w:r>
              <w:rPr>
                <w:rFonts w:ascii="Arial" w:hAnsi="Arial"/>
                <w:sz w:val="13"/>
              </w:rPr>
              <w:t>Fonte fundiária; validação com SNCR está sendo reforçada [R12].</w:t>
            </w:r>
          </w:p>
        </w:tc>
      </w:tr>
      <w:tr>
        <w:trPr>
          <w:cantSplit/>
        </w:trPr>
        <w:tc>
          <w:tcPr>
            <w:tcW w:type="dxa" w:w="1440"/>
            <w:vAlign w:val="top"/>
          </w:tcPr>
          <w:p>
            <w:pPr>
              <w:spacing w:after="0"/>
            </w:pPr>
            <w:r>
              <w:rPr>
                <w:rFonts w:ascii="Arial" w:hAnsi="Arial"/>
                <w:sz w:val="13"/>
              </w:rPr>
              <w:t>SICAR/CAR</w:t>
            </w:r>
          </w:p>
        </w:tc>
        <w:tc>
          <w:tcPr>
            <w:tcW w:type="dxa" w:w="2664"/>
            <w:vAlign w:val="top"/>
          </w:tcPr>
          <w:p>
            <w:pPr>
              <w:spacing w:after="0"/>
            </w:pPr>
            <w:r>
              <w:rPr>
                <w:rFonts w:ascii="Arial" w:hAnsi="Arial"/>
                <w:sz w:val="13"/>
              </w:rPr>
              <w:t>Perímetro rural, APP/RL/uso restrito, situação cadastral e ambiental.</w:t>
            </w:r>
          </w:p>
        </w:tc>
        <w:tc>
          <w:tcPr>
            <w:tcW w:type="dxa" w:w="1800"/>
            <w:vAlign w:val="top"/>
          </w:tcPr>
          <w:p>
            <w:pPr>
              <w:spacing w:after="0"/>
            </w:pPr>
            <w:r>
              <w:rPr>
                <w:rFonts w:ascii="Arial" w:hAnsi="Arial"/>
                <w:sz w:val="13"/>
              </w:rPr>
              <w:t>Portal/API Conecta/integração estadual</w:t>
            </w:r>
          </w:p>
        </w:tc>
        <w:tc>
          <w:tcPr>
            <w:tcW w:type="dxa" w:w="1296"/>
            <w:vAlign w:val="top"/>
          </w:tcPr>
          <w:p>
            <w:pPr>
              <w:spacing w:after="0"/>
            </w:pPr>
            <w:r>
              <w:rPr>
                <w:rFonts w:ascii="Arial" w:hAnsi="Arial"/>
                <w:sz w:val="13"/>
              </w:rPr>
              <w:t>Rural</w:t>
            </w:r>
          </w:p>
        </w:tc>
        <w:tc>
          <w:tcPr>
            <w:tcW w:type="dxa" w:w="2880"/>
            <w:vAlign w:val="top"/>
          </w:tcPr>
          <w:p>
            <w:pPr>
              <w:spacing w:after="0"/>
            </w:pPr>
            <w:r>
              <w:rPr>
                <w:rFonts w:ascii="Arial" w:hAnsi="Arial"/>
                <w:sz w:val="13"/>
              </w:rPr>
              <w:t>CAR é registro público nacional; APIs institucionais existem [R13].</w:t>
            </w:r>
          </w:p>
        </w:tc>
      </w:tr>
      <w:tr>
        <w:trPr>
          <w:cantSplit/>
        </w:trPr>
        <w:tc>
          <w:tcPr>
            <w:tcW w:type="dxa" w:w="1440"/>
            <w:vAlign w:val="top"/>
          </w:tcPr>
          <w:p>
            <w:pPr>
              <w:spacing w:after="0"/>
            </w:pPr>
            <w:r>
              <w:rPr>
                <w:rFonts w:ascii="Arial" w:hAnsi="Arial"/>
                <w:sz w:val="13"/>
              </w:rPr>
              <w:t>IBAMA</w:t>
            </w:r>
          </w:p>
        </w:tc>
        <w:tc>
          <w:tcPr>
            <w:tcW w:type="dxa" w:w="2664"/>
            <w:vAlign w:val="top"/>
          </w:tcPr>
          <w:p>
            <w:pPr>
              <w:spacing w:after="0"/>
            </w:pPr>
            <w:r>
              <w:rPr>
                <w:rFonts w:ascii="Arial" w:hAnsi="Arial"/>
                <w:sz w:val="13"/>
              </w:rPr>
              <w:t>Embargos, autos e dados ambientais.</w:t>
            </w:r>
          </w:p>
        </w:tc>
        <w:tc>
          <w:tcPr>
            <w:tcW w:type="dxa" w:w="1800"/>
            <w:vAlign w:val="top"/>
          </w:tcPr>
          <w:p>
            <w:pPr>
              <w:spacing w:after="0"/>
            </w:pPr>
            <w:r>
              <w:rPr>
                <w:rFonts w:ascii="Arial" w:hAnsi="Arial"/>
                <w:sz w:val="13"/>
              </w:rPr>
              <w:t>CSV/JSON/outros</w:t>
            </w:r>
          </w:p>
        </w:tc>
        <w:tc>
          <w:tcPr>
            <w:tcW w:type="dxa" w:w="1296"/>
            <w:vAlign w:val="top"/>
          </w:tcPr>
          <w:p>
            <w:pPr>
              <w:spacing w:after="0"/>
            </w:pPr>
            <w:r>
              <w:rPr>
                <w:rFonts w:ascii="Arial" w:hAnsi="Arial"/>
                <w:sz w:val="13"/>
              </w:rPr>
              <w:t>Nacional</w:t>
            </w:r>
          </w:p>
        </w:tc>
        <w:tc>
          <w:tcPr>
            <w:tcW w:type="dxa" w:w="2880"/>
            <w:vAlign w:val="top"/>
          </w:tcPr>
          <w:p>
            <w:pPr>
              <w:spacing w:after="0"/>
            </w:pPr>
            <w:r>
              <w:rPr>
                <w:rFonts w:ascii="Arial" w:hAnsi="Arial"/>
                <w:sz w:val="13"/>
              </w:rPr>
              <w:t>Georreferenciar embargos e histórico [R14].</w:t>
            </w:r>
          </w:p>
        </w:tc>
      </w:tr>
      <w:tr>
        <w:trPr>
          <w:cantSplit/>
        </w:trPr>
        <w:tc>
          <w:tcPr>
            <w:tcW w:type="dxa" w:w="1440"/>
            <w:vAlign w:val="top"/>
          </w:tcPr>
          <w:p>
            <w:pPr>
              <w:spacing w:after="0"/>
            </w:pPr>
            <w:r>
              <w:rPr>
                <w:rFonts w:ascii="Arial" w:hAnsi="Arial"/>
                <w:sz w:val="13"/>
              </w:rPr>
              <w:t>INPE/TerraBrasilis</w:t>
            </w:r>
          </w:p>
        </w:tc>
        <w:tc>
          <w:tcPr>
            <w:tcW w:type="dxa" w:w="2664"/>
            <w:vAlign w:val="top"/>
          </w:tcPr>
          <w:p>
            <w:pPr>
              <w:spacing w:after="0"/>
            </w:pPr>
            <w:r>
              <w:rPr>
                <w:rFonts w:ascii="Arial" w:hAnsi="Arial"/>
                <w:sz w:val="13"/>
              </w:rPr>
              <w:t>PRODES, DETER, vegetação e monitoramento.</w:t>
            </w:r>
          </w:p>
        </w:tc>
        <w:tc>
          <w:tcPr>
            <w:tcW w:type="dxa" w:w="1800"/>
            <w:vAlign w:val="top"/>
          </w:tcPr>
          <w:p>
            <w:pPr>
              <w:spacing w:after="0"/>
            </w:pPr>
            <w:r>
              <w:rPr>
                <w:rFonts w:ascii="Arial" w:hAnsi="Arial"/>
                <w:sz w:val="13"/>
              </w:rPr>
              <w:t>WMS/download vetorial/raster</w:t>
            </w:r>
          </w:p>
        </w:tc>
        <w:tc>
          <w:tcPr>
            <w:tcW w:type="dxa" w:w="1296"/>
            <w:vAlign w:val="top"/>
          </w:tcPr>
          <w:p>
            <w:pPr>
              <w:spacing w:after="0"/>
            </w:pPr>
            <w:r>
              <w:rPr>
                <w:rFonts w:ascii="Arial" w:hAnsi="Arial"/>
                <w:sz w:val="13"/>
              </w:rPr>
              <w:t>Nacional por bioma</w:t>
            </w:r>
          </w:p>
        </w:tc>
        <w:tc>
          <w:tcPr>
            <w:tcW w:type="dxa" w:w="2880"/>
            <w:vAlign w:val="top"/>
          </w:tcPr>
          <w:p>
            <w:pPr>
              <w:spacing w:after="0"/>
            </w:pPr>
            <w:r>
              <w:rPr>
                <w:rFonts w:ascii="Arial" w:hAnsi="Arial"/>
                <w:sz w:val="13"/>
              </w:rPr>
              <w:t>Atualização e temporalidade explícitas [R15].</w:t>
            </w:r>
          </w:p>
        </w:tc>
      </w:tr>
      <w:tr>
        <w:trPr>
          <w:cantSplit/>
        </w:trPr>
        <w:tc>
          <w:tcPr>
            <w:tcW w:type="dxa" w:w="1440"/>
            <w:vAlign w:val="top"/>
          </w:tcPr>
          <w:p>
            <w:pPr>
              <w:spacing w:after="0"/>
            </w:pPr>
            <w:r>
              <w:rPr>
                <w:rFonts w:ascii="Arial" w:hAnsi="Arial"/>
                <w:sz w:val="13"/>
              </w:rPr>
              <w:t>ICMBio/CNUC</w:t>
            </w:r>
          </w:p>
        </w:tc>
        <w:tc>
          <w:tcPr>
            <w:tcW w:type="dxa" w:w="2664"/>
            <w:vAlign w:val="top"/>
          </w:tcPr>
          <w:p>
            <w:pPr>
              <w:spacing w:after="0"/>
            </w:pPr>
            <w:r>
              <w:rPr>
                <w:rFonts w:ascii="Arial" w:hAnsi="Arial"/>
                <w:sz w:val="13"/>
              </w:rPr>
              <w:t>UCs, cavernas, embargos e geosserviços.</w:t>
            </w:r>
          </w:p>
        </w:tc>
        <w:tc>
          <w:tcPr>
            <w:tcW w:type="dxa" w:w="1800"/>
            <w:vAlign w:val="top"/>
          </w:tcPr>
          <w:p>
            <w:pPr>
              <w:spacing w:after="0"/>
            </w:pPr>
            <w:r>
              <w:rPr>
                <w:rFonts w:ascii="Arial" w:hAnsi="Arial"/>
                <w:sz w:val="13"/>
              </w:rPr>
              <w:t>SHP/WMS/WFS</w:t>
            </w:r>
          </w:p>
        </w:tc>
        <w:tc>
          <w:tcPr>
            <w:tcW w:type="dxa" w:w="1296"/>
            <w:vAlign w:val="top"/>
          </w:tcPr>
          <w:p>
            <w:pPr>
              <w:spacing w:after="0"/>
            </w:pPr>
            <w:r>
              <w:rPr>
                <w:rFonts w:ascii="Arial" w:hAnsi="Arial"/>
                <w:sz w:val="13"/>
              </w:rPr>
              <w:t>Nacional</w:t>
            </w:r>
          </w:p>
        </w:tc>
        <w:tc>
          <w:tcPr>
            <w:tcW w:type="dxa" w:w="2880"/>
            <w:vAlign w:val="top"/>
          </w:tcPr>
          <w:p>
            <w:pPr>
              <w:spacing w:after="0"/>
            </w:pPr>
            <w:r>
              <w:rPr>
                <w:rFonts w:ascii="Arial" w:hAnsi="Arial"/>
                <w:sz w:val="13"/>
              </w:rPr>
              <w:t>UC federal + integração com CNUC [R16].</w:t>
            </w:r>
          </w:p>
        </w:tc>
      </w:tr>
      <w:tr>
        <w:trPr>
          <w:cantSplit/>
        </w:trPr>
        <w:tc>
          <w:tcPr>
            <w:tcW w:type="dxa" w:w="1440"/>
            <w:vAlign w:val="top"/>
          </w:tcPr>
          <w:p>
            <w:pPr>
              <w:spacing w:after="0"/>
            </w:pPr>
            <w:r>
              <w:rPr>
                <w:rFonts w:ascii="Arial" w:hAnsi="Arial"/>
                <w:sz w:val="13"/>
              </w:rPr>
              <w:t>ANM/SIGMINE</w:t>
            </w:r>
          </w:p>
        </w:tc>
        <w:tc>
          <w:tcPr>
            <w:tcW w:type="dxa" w:w="2664"/>
            <w:vAlign w:val="top"/>
          </w:tcPr>
          <w:p>
            <w:pPr>
              <w:spacing w:after="0"/>
            </w:pPr>
            <w:r>
              <w:rPr>
                <w:rFonts w:ascii="Arial" w:hAnsi="Arial"/>
                <w:sz w:val="13"/>
              </w:rPr>
              <w:t>Processos minerários, bloqueios, garimpo, proteção de fonte.</w:t>
            </w:r>
          </w:p>
        </w:tc>
        <w:tc>
          <w:tcPr>
            <w:tcW w:type="dxa" w:w="1800"/>
            <w:vAlign w:val="top"/>
          </w:tcPr>
          <w:p>
            <w:pPr>
              <w:spacing w:after="0"/>
            </w:pPr>
            <w:r>
              <w:rPr>
                <w:rFonts w:ascii="Arial" w:hAnsi="Arial"/>
                <w:sz w:val="13"/>
              </w:rPr>
              <w:t>SHP/KMZ/REST/WMS</w:t>
            </w:r>
          </w:p>
        </w:tc>
        <w:tc>
          <w:tcPr>
            <w:tcW w:type="dxa" w:w="1296"/>
            <w:vAlign w:val="top"/>
          </w:tcPr>
          <w:p>
            <w:pPr>
              <w:spacing w:after="0"/>
            </w:pPr>
            <w:r>
              <w:rPr>
                <w:rFonts w:ascii="Arial" w:hAnsi="Arial"/>
                <w:sz w:val="13"/>
              </w:rPr>
              <w:t>Nacional</w:t>
            </w:r>
          </w:p>
        </w:tc>
        <w:tc>
          <w:tcPr>
            <w:tcW w:type="dxa" w:w="2880"/>
            <w:vAlign w:val="top"/>
          </w:tcPr>
          <w:p>
            <w:pPr>
              <w:spacing w:after="0"/>
            </w:pPr>
            <w:r>
              <w:rPr>
                <w:rFonts w:ascii="Arial" w:hAnsi="Arial"/>
                <w:sz w:val="13"/>
              </w:rPr>
              <w:t>Processos ativos com atualização diária [R17].</w:t>
            </w:r>
          </w:p>
        </w:tc>
      </w:tr>
      <w:tr>
        <w:trPr>
          <w:cantSplit/>
        </w:trPr>
        <w:tc>
          <w:tcPr>
            <w:tcW w:type="dxa" w:w="1440"/>
            <w:vAlign w:val="top"/>
          </w:tcPr>
          <w:p>
            <w:pPr>
              <w:spacing w:after="0"/>
            </w:pPr>
            <w:r>
              <w:rPr>
                <w:rFonts w:ascii="Arial" w:hAnsi="Arial"/>
                <w:sz w:val="13"/>
              </w:rPr>
              <w:t>ANEEL/BDGD</w:t>
            </w:r>
          </w:p>
        </w:tc>
        <w:tc>
          <w:tcPr>
            <w:tcW w:type="dxa" w:w="2664"/>
            <w:vAlign w:val="top"/>
          </w:tcPr>
          <w:p>
            <w:pPr>
              <w:spacing w:after="0"/>
            </w:pPr>
            <w:r>
              <w:rPr>
                <w:rFonts w:ascii="Arial" w:hAnsi="Arial"/>
                <w:sz w:val="13"/>
              </w:rPr>
              <w:t>Rede de distribuição, subestações e ativos conforme modelo regulatório.</w:t>
            </w:r>
          </w:p>
        </w:tc>
        <w:tc>
          <w:tcPr>
            <w:tcW w:type="dxa" w:w="1800"/>
            <w:vAlign w:val="top"/>
          </w:tcPr>
          <w:p>
            <w:pPr>
              <w:spacing w:after="0"/>
            </w:pPr>
            <w:r>
              <w:rPr>
                <w:rFonts w:ascii="Arial" w:hAnsi="Arial"/>
                <w:sz w:val="13"/>
              </w:rPr>
              <w:t>Geodatabase/CSV</w:t>
            </w:r>
          </w:p>
        </w:tc>
        <w:tc>
          <w:tcPr>
            <w:tcW w:type="dxa" w:w="1296"/>
            <w:vAlign w:val="top"/>
          </w:tcPr>
          <w:p>
            <w:pPr>
              <w:spacing w:after="0"/>
            </w:pPr>
            <w:r>
              <w:rPr>
                <w:rFonts w:ascii="Arial" w:hAnsi="Arial"/>
                <w:sz w:val="13"/>
              </w:rPr>
              <w:t>Nacional por distribuidora</w:t>
            </w:r>
          </w:p>
        </w:tc>
        <w:tc>
          <w:tcPr>
            <w:tcW w:type="dxa" w:w="2880"/>
            <w:vAlign w:val="top"/>
          </w:tcPr>
          <w:p>
            <w:pPr>
              <w:spacing w:after="0"/>
            </w:pPr>
            <w:r>
              <w:rPr>
                <w:rFonts w:ascii="Arial" w:hAnsi="Arial"/>
                <w:sz w:val="13"/>
              </w:rPr>
              <w:t>Atualização anual [R18].</w:t>
            </w:r>
          </w:p>
        </w:tc>
      </w:tr>
      <w:tr>
        <w:trPr>
          <w:cantSplit/>
        </w:trPr>
        <w:tc>
          <w:tcPr>
            <w:tcW w:type="dxa" w:w="1440"/>
            <w:vAlign w:val="top"/>
          </w:tcPr>
          <w:p>
            <w:pPr>
              <w:spacing w:after="0"/>
            </w:pPr>
            <w:r>
              <w:rPr>
                <w:rFonts w:ascii="Arial" w:hAnsi="Arial"/>
                <w:sz w:val="13"/>
              </w:rPr>
              <w:t>Anatel</w:t>
            </w:r>
          </w:p>
        </w:tc>
        <w:tc>
          <w:tcPr>
            <w:tcW w:type="dxa" w:w="2664"/>
            <w:vAlign w:val="top"/>
          </w:tcPr>
          <w:p>
            <w:pPr>
              <w:spacing w:after="0"/>
            </w:pPr>
            <w:r>
              <w:rPr>
                <w:rFonts w:ascii="Arial" w:hAnsi="Arial"/>
                <w:sz w:val="13"/>
              </w:rPr>
              <w:t>Banda larga, cobertura, antenas, backhaul e compromissos.</w:t>
            </w:r>
          </w:p>
        </w:tc>
        <w:tc>
          <w:tcPr>
            <w:tcW w:type="dxa" w:w="1800"/>
            <w:vAlign w:val="top"/>
          </w:tcPr>
          <w:p>
            <w:pPr>
              <w:spacing w:after="0"/>
            </w:pPr>
            <w:r>
              <w:rPr>
                <w:rFonts w:ascii="Arial" w:hAnsi="Arial"/>
                <w:sz w:val="13"/>
              </w:rPr>
              <w:t>Dados abertos/painéis</w:t>
            </w:r>
          </w:p>
        </w:tc>
        <w:tc>
          <w:tcPr>
            <w:tcW w:type="dxa" w:w="1296"/>
            <w:vAlign w:val="top"/>
          </w:tcPr>
          <w:p>
            <w:pPr>
              <w:spacing w:after="0"/>
            </w:pPr>
            <w:r>
              <w:rPr>
                <w:rFonts w:ascii="Arial" w:hAnsi="Arial"/>
                <w:sz w:val="13"/>
              </w:rPr>
              <w:t>Nacional</w:t>
            </w:r>
          </w:p>
        </w:tc>
        <w:tc>
          <w:tcPr>
            <w:tcW w:type="dxa" w:w="2880"/>
            <w:vAlign w:val="top"/>
          </w:tcPr>
          <w:p>
            <w:pPr>
              <w:spacing w:after="0"/>
            </w:pPr>
            <w:r>
              <w:rPr>
                <w:rFonts w:ascii="Arial" w:hAnsi="Arial"/>
                <w:sz w:val="13"/>
              </w:rPr>
              <w:t>Não equivale automaticamente à rota física de fibra [R19].</w:t>
            </w:r>
          </w:p>
        </w:tc>
      </w:tr>
      <w:tr>
        <w:trPr>
          <w:cantSplit/>
        </w:trPr>
        <w:tc>
          <w:tcPr>
            <w:tcW w:type="dxa" w:w="1440"/>
            <w:vAlign w:val="top"/>
          </w:tcPr>
          <w:p>
            <w:pPr>
              <w:spacing w:after="0"/>
            </w:pPr>
            <w:r>
              <w:rPr>
                <w:rFonts w:ascii="Arial" w:hAnsi="Arial"/>
                <w:sz w:val="13"/>
              </w:rPr>
              <w:t>ANAC/DECEA</w:t>
            </w:r>
          </w:p>
        </w:tc>
        <w:tc>
          <w:tcPr>
            <w:tcW w:type="dxa" w:w="2664"/>
            <w:vAlign w:val="top"/>
          </w:tcPr>
          <w:p>
            <w:pPr>
              <w:spacing w:after="0"/>
            </w:pPr>
            <w:r>
              <w:rPr>
                <w:rFonts w:ascii="Arial" w:hAnsi="Arial"/>
                <w:sz w:val="13"/>
              </w:rPr>
              <w:t>Aeródromos/helipontos e condicionantes aeronáuticas.</w:t>
            </w:r>
          </w:p>
        </w:tc>
        <w:tc>
          <w:tcPr>
            <w:tcW w:type="dxa" w:w="1800"/>
            <w:vAlign w:val="top"/>
          </w:tcPr>
          <w:p>
            <w:pPr>
              <w:spacing w:after="0"/>
            </w:pPr>
            <w:r>
              <w:rPr>
                <w:rFonts w:ascii="Arial" w:hAnsi="Arial"/>
                <w:sz w:val="13"/>
              </w:rPr>
              <w:t>Dados abertos/serviços</w:t>
            </w:r>
          </w:p>
        </w:tc>
        <w:tc>
          <w:tcPr>
            <w:tcW w:type="dxa" w:w="1296"/>
            <w:vAlign w:val="top"/>
          </w:tcPr>
          <w:p>
            <w:pPr>
              <w:spacing w:after="0"/>
            </w:pPr>
            <w:r>
              <w:rPr>
                <w:rFonts w:ascii="Arial" w:hAnsi="Arial"/>
                <w:sz w:val="13"/>
              </w:rPr>
              <w:t>Nacional</w:t>
            </w:r>
          </w:p>
        </w:tc>
        <w:tc>
          <w:tcPr>
            <w:tcW w:type="dxa" w:w="2880"/>
            <w:vAlign w:val="top"/>
          </w:tcPr>
          <w:p>
            <w:pPr>
              <w:spacing w:after="0"/>
            </w:pPr>
            <w:r>
              <w:rPr>
                <w:rFonts w:ascii="Arial" w:hAnsi="Arial"/>
                <w:sz w:val="13"/>
              </w:rPr>
              <w:t>Aeródromos têm atualização periódica [R20].</w:t>
            </w:r>
          </w:p>
        </w:tc>
      </w:tr>
      <w:tr>
        <w:trPr>
          <w:cantSplit/>
        </w:trPr>
        <w:tc>
          <w:tcPr>
            <w:tcW w:type="dxa" w:w="1440"/>
            <w:vAlign w:val="top"/>
          </w:tcPr>
          <w:p>
            <w:pPr>
              <w:spacing w:after="0"/>
            </w:pPr>
            <w:r>
              <w:rPr>
                <w:rFonts w:ascii="Arial" w:hAnsi="Arial"/>
                <w:sz w:val="13"/>
              </w:rPr>
              <w:t>ANP</w:t>
            </w:r>
          </w:p>
        </w:tc>
        <w:tc>
          <w:tcPr>
            <w:tcW w:type="dxa" w:w="2664"/>
            <w:vAlign w:val="top"/>
          </w:tcPr>
          <w:p>
            <w:pPr>
              <w:spacing w:after="0"/>
            </w:pPr>
            <w:r>
              <w:rPr>
                <w:rFonts w:ascii="Arial" w:hAnsi="Arial"/>
                <w:sz w:val="13"/>
              </w:rPr>
              <w:t>Gasodutos de transporte, instalações, petróleo/gás e dados georreferenciados.</w:t>
            </w:r>
          </w:p>
        </w:tc>
        <w:tc>
          <w:tcPr>
            <w:tcW w:type="dxa" w:w="1800"/>
            <w:vAlign w:val="top"/>
          </w:tcPr>
          <w:p>
            <w:pPr>
              <w:spacing w:after="0"/>
            </w:pPr>
            <w:r>
              <w:rPr>
                <w:rFonts w:ascii="Arial" w:hAnsi="Arial"/>
                <w:sz w:val="13"/>
              </w:rPr>
              <w:t>Dados abertos/mapas/SHP conforme conjunto</w:t>
            </w:r>
          </w:p>
        </w:tc>
        <w:tc>
          <w:tcPr>
            <w:tcW w:type="dxa" w:w="1296"/>
            <w:vAlign w:val="top"/>
          </w:tcPr>
          <w:p>
            <w:pPr>
              <w:spacing w:after="0"/>
            </w:pPr>
            <w:r>
              <w:rPr>
                <w:rFonts w:ascii="Arial" w:hAnsi="Arial"/>
                <w:sz w:val="13"/>
              </w:rPr>
              <w:t>Nacional</w:t>
            </w:r>
          </w:p>
        </w:tc>
        <w:tc>
          <w:tcPr>
            <w:tcW w:type="dxa" w:w="2880"/>
            <w:vAlign w:val="top"/>
          </w:tcPr>
          <w:p>
            <w:pPr>
              <w:spacing w:after="0"/>
            </w:pPr>
            <w:r>
              <w:rPr>
                <w:rFonts w:ascii="Arial" w:hAnsi="Arial"/>
                <w:sz w:val="13"/>
              </w:rPr>
              <w:t>Rede de distribuição local depende de estados/concessionárias [R21].</w:t>
            </w:r>
          </w:p>
        </w:tc>
      </w:tr>
      <w:tr>
        <w:trPr>
          <w:cantSplit/>
        </w:trPr>
        <w:tc>
          <w:tcPr>
            <w:tcW w:type="dxa" w:w="1440"/>
            <w:vAlign w:val="top"/>
          </w:tcPr>
          <w:p>
            <w:pPr>
              <w:spacing w:after="0"/>
            </w:pPr>
            <w:r>
              <w:rPr>
                <w:rFonts w:ascii="Arial" w:hAnsi="Arial"/>
                <w:sz w:val="13"/>
              </w:rPr>
              <w:t>ANTAQ</w:t>
            </w:r>
          </w:p>
        </w:tc>
        <w:tc>
          <w:tcPr>
            <w:tcW w:type="dxa" w:w="2664"/>
            <w:vAlign w:val="top"/>
          </w:tcPr>
          <w:p>
            <w:pPr>
              <w:spacing w:after="0"/>
            </w:pPr>
            <w:r>
              <w:rPr>
                <w:rFonts w:ascii="Arial" w:hAnsi="Arial"/>
                <w:sz w:val="13"/>
              </w:rPr>
              <w:t>Portos, instalações, linhas de travessia, hidrovias.</w:t>
            </w:r>
          </w:p>
        </w:tc>
        <w:tc>
          <w:tcPr>
            <w:tcW w:type="dxa" w:w="1800"/>
            <w:vAlign w:val="top"/>
          </w:tcPr>
          <w:p>
            <w:pPr>
              <w:spacing w:after="0"/>
            </w:pPr>
            <w:r>
              <w:rPr>
                <w:rFonts w:ascii="Arial" w:hAnsi="Arial"/>
                <w:sz w:val="13"/>
              </w:rPr>
              <w:t>SHP/KML</w:t>
            </w:r>
          </w:p>
        </w:tc>
        <w:tc>
          <w:tcPr>
            <w:tcW w:type="dxa" w:w="1296"/>
            <w:vAlign w:val="top"/>
          </w:tcPr>
          <w:p>
            <w:pPr>
              <w:spacing w:after="0"/>
            </w:pPr>
            <w:r>
              <w:rPr>
                <w:rFonts w:ascii="Arial" w:hAnsi="Arial"/>
                <w:sz w:val="13"/>
              </w:rPr>
              <w:t>Nacional</w:t>
            </w:r>
          </w:p>
        </w:tc>
        <w:tc>
          <w:tcPr>
            <w:tcW w:type="dxa" w:w="2880"/>
            <w:vAlign w:val="top"/>
          </w:tcPr>
          <w:p>
            <w:pPr>
              <w:spacing w:after="0"/>
            </w:pPr>
            <w:r>
              <w:rPr>
                <w:rFonts w:ascii="Arial" w:hAnsi="Arial"/>
                <w:sz w:val="13"/>
              </w:rPr>
              <w:t>Infraestrutura aquaviária [R20B].</w:t>
            </w:r>
          </w:p>
        </w:tc>
      </w:tr>
      <w:tr>
        <w:trPr>
          <w:cantSplit/>
        </w:trPr>
        <w:tc>
          <w:tcPr>
            <w:tcW w:type="dxa" w:w="1440"/>
            <w:vAlign w:val="top"/>
          </w:tcPr>
          <w:p>
            <w:pPr>
              <w:spacing w:after="0"/>
            </w:pPr>
            <w:r>
              <w:rPr>
                <w:rFonts w:ascii="Arial" w:hAnsi="Arial"/>
                <w:sz w:val="13"/>
              </w:rPr>
              <w:t>SGB</w:t>
            </w:r>
          </w:p>
        </w:tc>
        <w:tc>
          <w:tcPr>
            <w:tcW w:type="dxa" w:w="2664"/>
            <w:vAlign w:val="top"/>
          </w:tcPr>
          <w:p>
            <w:pPr>
              <w:spacing w:after="0"/>
            </w:pPr>
            <w:r>
              <w:rPr>
                <w:rFonts w:ascii="Arial" w:hAnsi="Arial"/>
                <w:sz w:val="13"/>
              </w:rPr>
              <w:t>Risco geológico, suscetibilidade, geologia e cartas geotécnicas.</w:t>
            </w:r>
          </w:p>
        </w:tc>
        <w:tc>
          <w:tcPr>
            <w:tcW w:type="dxa" w:w="1800"/>
            <w:vAlign w:val="top"/>
          </w:tcPr>
          <w:p>
            <w:pPr>
              <w:spacing w:after="0"/>
            </w:pPr>
            <w:r>
              <w:rPr>
                <w:rFonts w:ascii="Arial" w:hAnsi="Arial"/>
                <w:sz w:val="13"/>
              </w:rPr>
              <w:t>SHP/raster/PDF</w:t>
            </w:r>
          </w:p>
        </w:tc>
        <w:tc>
          <w:tcPr>
            <w:tcW w:type="dxa" w:w="1296"/>
            <w:vAlign w:val="top"/>
          </w:tcPr>
          <w:p>
            <w:pPr>
              <w:spacing w:after="0"/>
            </w:pPr>
            <w:r>
              <w:rPr>
                <w:rFonts w:ascii="Arial" w:hAnsi="Arial"/>
                <w:sz w:val="13"/>
              </w:rPr>
              <w:t>Cobertura por produto</w:t>
            </w:r>
          </w:p>
        </w:tc>
        <w:tc>
          <w:tcPr>
            <w:tcW w:type="dxa" w:w="2880"/>
            <w:vAlign w:val="top"/>
          </w:tcPr>
          <w:p>
            <w:pPr>
              <w:spacing w:after="0"/>
            </w:pPr>
            <w:r>
              <w:rPr>
                <w:rFonts w:ascii="Arial" w:hAnsi="Arial"/>
                <w:sz w:val="13"/>
              </w:rPr>
              <w:t>Respeitar escala e abrangência municipal [R22].</w:t>
            </w:r>
          </w:p>
        </w:tc>
      </w:tr>
      <w:tr>
        <w:trPr>
          <w:cantSplit/>
        </w:trPr>
        <w:tc>
          <w:tcPr>
            <w:tcW w:type="dxa" w:w="1440"/>
            <w:vAlign w:val="top"/>
          </w:tcPr>
          <w:p>
            <w:pPr>
              <w:spacing w:after="0"/>
            </w:pPr>
            <w:r>
              <w:rPr>
                <w:rFonts w:ascii="Arial" w:hAnsi="Arial"/>
                <w:sz w:val="13"/>
              </w:rPr>
              <w:t>IPHAN</w:t>
            </w:r>
          </w:p>
        </w:tc>
        <w:tc>
          <w:tcPr>
            <w:tcW w:type="dxa" w:w="2664"/>
            <w:vAlign w:val="top"/>
          </w:tcPr>
          <w:p>
            <w:pPr>
              <w:spacing w:after="0"/>
            </w:pPr>
            <w:r>
              <w:rPr>
                <w:rFonts w:ascii="Arial" w:hAnsi="Arial"/>
                <w:sz w:val="13"/>
              </w:rPr>
              <w:t>Bens tombados, conjuntos urbanos, arqueologia e licenciamento patrimonial.</w:t>
            </w:r>
          </w:p>
        </w:tc>
        <w:tc>
          <w:tcPr>
            <w:tcW w:type="dxa" w:w="1800"/>
            <w:vAlign w:val="top"/>
          </w:tcPr>
          <w:p>
            <w:pPr>
              <w:spacing w:after="0"/>
            </w:pPr>
            <w:r>
              <w:rPr>
                <w:rFonts w:ascii="Arial" w:hAnsi="Arial"/>
                <w:sz w:val="13"/>
              </w:rPr>
              <w:t>Listas/processos/dados em evolução</w:t>
            </w:r>
          </w:p>
        </w:tc>
        <w:tc>
          <w:tcPr>
            <w:tcW w:type="dxa" w:w="1296"/>
            <w:vAlign w:val="top"/>
          </w:tcPr>
          <w:p>
            <w:pPr>
              <w:spacing w:after="0"/>
            </w:pPr>
            <w:r>
              <w:rPr>
                <w:rFonts w:ascii="Arial" w:hAnsi="Arial"/>
                <w:sz w:val="13"/>
              </w:rPr>
              <w:t>Nacional</w:t>
            </w:r>
          </w:p>
        </w:tc>
        <w:tc>
          <w:tcPr>
            <w:tcW w:type="dxa" w:w="2880"/>
            <w:vAlign w:val="top"/>
          </w:tcPr>
          <w:p>
            <w:pPr>
              <w:spacing w:after="0"/>
            </w:pPr>
            <w:r>
              <w:rPr>
                <w:rFonts w:ascii="Arial" w:hAnsi="Arial"/>
                <w:sz w:val="13"/>
              </w:rPr>
              <w:t>Somar bases estaduais/municipais [R23].</w:t>
            </w:r>
          </w:p>
        </w:tc>
      </w:tr>
      <w:tr>
        <w:trPr>
          <w:cantSplit/>
        </w:trPr>
        <w:tc>
          <w:tcPr>
            <w:tcW w:type="dxa" w:w="1440"/>
            <w:vAlign w:val="top"/>
          </w:tcPr>
          <w:p>
            <w:pPr>
              <w:spacing w:after="0"/>
            </w:pPr>
            <w:r>
              <w:rPr>
                <w:rFonts w:ascii="Arial" w:hAnsi="Arial"/>
                <w:sz w:val="13"/>
              </w:rPr>
              <w:t>INEP</w:t>
            </w:r>
          </w:p>
        </w:tc>
        <w:tc>
          <w:tcPr>
            <w:tcW w:type="dxa" w:w="2664"/>
            <w:vAlign w:val="top"/>
          </w:tcPr>
          <w:p>
            <w:pPr>
              <w:spacing w:after="0"/>
            </w:pPr>
            <w:r>
              <w:rPr>
                <w:rFonts w:ascii="Arial" w:hAnsi="Arial"/>
                <w:sz w:val="13"/>
              </w:rPr>
              <w:t>Escolas, censo escolar, indicadores.</w:t>
            </w:r>
          </w:p>
        </w:tc>
        <w:tc>
          <w:tcPr>
            <w:tcW w:type="dxa" w:w="1800"/>
            <w:vAlign w:val="top"/>
          </w:tcPr>
          <w:p>
            <w:pPr>
              <w:spacing w:after="0"/>
            </w:pPr>
            <w:r>
              <w:rPr>
                <w:rFonts w:ascii="Arial" w:hAnsi="Arial"/>
                <w:sz w:val="13"/>
              </w:rPr>
              <w:t>Microdados/painéis</w:t>
            </w:r>
          </w:p>
        </w:tc>
        <w:tc>
          <w:tcPr>
            <w:tcW w:type="dxa" w:w="1296"/>
            <w:vAlign w:val="top"/>
          </w:tcPr>
          <w:p>
            <w:pPr>
              <w:spacing w:after="0"/>
            </w:pPr>
            <w:r>
              <w:rPr>
                <w:rFonts w:ascii="Arial" w:hAnsi="Arial"/>
                <w:sz w:val="13"/>
              </w:rPr>
              <w:t>Nacional</w:t>
            </w:r>
          </w:p>
        </w:tc>
        <w:tc>
          <w:tcPr>
            <w:tcW w:type="dxa" w:w="2880"/>
            <w:vAlign w:val="top"/>
          </w:tcPr>
          <w:p>
            <w:pPr>
              <w:spacing w:after="0"/>
            </w:pPr>
            <w:r>
              <w:rPr>
                <w:rFonts w:ascii="Arial" w:hAnsi="Arial"/>
                <w:sz w:val="13"/>
              </w:rPr>
              <w:t>Equipamentos educacionais [R24].</w:t>
            </w:r>
          </w:p>
        </w:tc>
      </w:tr>
      <w:tr>
        <w:trPr>
          <w:cantSplit/>
        </w:trPr>
        <w:tc>
          <w:tcPr>
            <w:tcW w:type="dxa" w:w="1440"/>
            <w:vAlign w:val="top"/>
          </w:tcPr>
          <w:p>
            <w:pPr>
              <w:spacing w:after="0"/>
            </w:pPr>
            <w:r>
              <w:rPr>
                <w:rFonts w:ascii="Arial" w:hAnsi="Arial"/>
                <w:sz w:val="13"/>
              </w:rPr>
              <w:t>CNES/DATASUS</w:t>
            </w:r>
          </w:p>
        </w:tc>
        <w:tc>
          <w:tcPr>
            <w:tcW w:type="dxa" w:w="2664"/>
            <w:vAlign w:val="top"/>
          </w:tcPr>
          <w:p>
            <w:pPr>
              <w:spacing w:after="0"/>
            </w:pPr>
            <w:r>
              <w:rPr>
                <w:rFonts w:ascii="Arial" w:hAnsi="Arial"/>
                <w:sz w:val="13"/>
              </w:rPr>
              <w:t>Estabelecimentos de saúde.</w:t>
            </w:r>
          </w:p>
        </w:tc>
        <w:tc>
          <w:tcPr>
            <w:tcW w:type="dxa" w:w="1800"/>
            <w:vAlign w:val="top"/>
          </w:tcPr>
          <w:p>
            <w:pPr>
              <w:spacing w:after="0"/>
            </w:pPr>
            <w:r>
              <w:rPr>
                <w:rFonts w:ascii="Arial" w:hAnsi="Arial"/>
                <w:sz w:val="13"/>
              </w:rPr>
              <w:t>API/arquivos</w:t>
            </w:r>
          </w:p>
        </w:tc>
        <w:tc>
          <w:tcPr>
            <w:tcW w:type="dxa" w:w="1296"/>
            <w:vAlign w:val="top"/>
          </w:tcPr>
          <w:p>
            <w:pPr>
              <w:spacing w:after="0"/>
            </w:pPr>
            <w:r>
              <w:rPr>
                <w:rFonts w:ascii="Arial" w:hAnsi="Arial"/>
                <w:sz w:val="13"/>
              </w:rPr>
              <w:t>Nacional</w:t>
            </w:r>
          </w:p>
        </w:tc>
        <w:tc>
          <w:tcPr>
            <w:tcW w:type="dxa" w:w="2880"/>
            <w:vAlign w:val="top"/>
          </w:tcPr>
          <w:p>
            <w:pPr>
              <w:spacing w:after="0"/>
            </w:pPr>
            <w:r>
              <w:rPr>
                <w:rFonts w:ascii="Arial" w:hAnsi="Arial"/>
                <w:sz w:val="13"/>
              </w:rPr>
              <w:t>Atualização frequente [R25].</w:t>
            </w:r>
          </w:p>
        </w:tc>
      </w:tr>
    </w:tbl>
    <w:p>
      <w:pPr>
        <w:spacing w:after="20"/>
      </w:pPr>
    </w:p>
    <w:p>
      <w:pPr>
        <w:pStyle w:val="Heading1"/>
        <w:keepNext/>
      </w:pPr>
      <w:r>
        <w:t>7. Motor de descoberta municipal</w:t>
      </w:r>
    </w:p>
    <w:p>
      <w:r>
        <w:t>O principal desafio nacional não é o dado federal; é a heterogeneidade municipal. O produto deve manter um “Municipality Source Registry” para cada geocódigo IBGE, com fontes descobertas, status, licença, método de ingestão, versão e saúde do conector.</w:t>
      </w:r>
    </w:p>
    <w:p>
      <w:pPr>
        <w:spacing w:after="40"/>
        <w:ind w:left="317" w:hanging="259"/>
      </w:pPr>
      <w:r>
        <w:rPr>
          <w:b/>
        </w:rPr>
        <w:t xml:space="preserve">1. </w:t>
      </w:r>
      <w:r>
        <w:t>Identificar domínios oficiais: prefeitura, câmara, diário oficial, planejamento/urbanismo, geoportal, transparência e cadastro tributário.</w:t>
      </w:r>
    </w:p>
    <w:p>
      <w:pPr>
        <w:spacing w:after="40"/>
        <w:ind w:left="317" w:hanging="259"/>
      </w:pPr>
      <w:r>
        <w:rPr>
          <w:b/>
        </w:rPr>
        <w:t xml:space="preserve">2. </w:t>
      </w:r>
      <w:r>
        <w:t>Descobrir mecanismos de legislação: busca HTML, base legislativa, API, PDF consolidado, atos alteradores e anexos.</w:t>
      </w:r>
    </w:p>
    <w:p>
      <w:pPr>
        <w:spacing w:after="40"/>
        <w:ind w:left="317" w:hanging="259"/>
      </w:pPr>
      <w:r>
        <w:rPr>
          <w:b/>
        </w:rPr>
        <w:t xml:space="preserve">3. </w:t>
      </w:r>
      <w:r>
        <w:t>Descobrir GIS: GeoServer/WFS/WMS, ArcGIS REST/FeatureServer/MapServer, CKAN, GeoNetwork, GeoNode, downloads SHP/GPKG/GeoJSON/KML/KMZ.</w:t>
      </w:r>
    </w:p>
    <w:p>
      <w:pPr>
        <w:spacing w:after="40"/>
        <w:ind w:left="317" w:hanging="259"/>
      </w:pPr>
      <w:r>
        <w:rPr>
          <w:b/>
        </w:rPr>
        <w:t xml:space="preserve">4. </w:t>
      </w:r>
      <w:r>
        <w:t>Catalogar camadas: lote fiscal, zoneamento, macrozoneamento, ZEIS, operações, patrimônio, risco, meio ambiente, alvarás, equipamentos, sistema viário.</w:t>
      </w:r>
    </w:p>
    <w:p>
      <w:pPr>
        <w:spacing w:after="40"/>
        <w:ind w:left="317" w:hanging="259"/>
      </w:pPr>
      <w:r>
        <w:rPr>
          <w:b/>
        </w:rPr>
        <w:t xml:space="preserve">5. </w:t>
      </w:r>
      <w:r>
        <w:t>Catalogar tabelas urbanísticas: CA, TO, TP, recuos, altura, lote/testada, usos, vagas, incentivos, outorga e condições.</w:t>
      </w:r>
    </w:p>
    <w:p>
      <w:pPr>
        <w:spacing w:after="40"/>
        <w:ind w:left="317" w:hanging="259"/>
      </w:pPr>
      <w:r>
        <w:rPr>
          <w:b/>
        </w:rPr>
        <w:t xml:space="preserve">6. </w:t>
      </w:r>
      <w:r>
        <w:t>Mapear cadastro fiscal: inscrição, setor/quadra/lote, valor venal, área, uso, padrão, IPTU; registrar se exige autenticação.</w:t>
      </w:r>
    </w:p>
    <w:p>
      <w:pPr>
        <w:spacing w:after="40"/>
        <w:ind w:left="317" w:hanging="259"/>
      </w:pPr>
      <w:r>
        <w:rPr>
          <w:b/>
        </w:rPr>
        <w:t xml:space="preserve">7. </w:t>
      </w:r>
      <w:r>
        <w:t>Mapear ITBI e alvarás/habite-se/processos, quando publicados.</w:t>
      </w:r>
    </w:p>
    <w:p>
      <w:pPr>
        <w:spacing w:after="40"/>
        <w:ind w:left="317" w:hanging="259"/>
      </w:pPr>
      <w:r>
        <w:rPr>
          <w:b/>
        </w:rPr>
        <w:t xml:space="preserve">8. </w:t>
      </w:r>
      <w:r>
        <w:t>Mapear utilities e concessionárias locais/estaduais.</w:t>
      </w:r>
    </w:p>
    <w:p>
      <w:pPr>
        <w:spacing w:after="40"/>
        <w:ind w:left="317" w:hanging="259"/>
      </w:pPr>
      <w:r>
        <w:rPr>
          <w:b/>
        </w:rPr>
        <w:t xml:space="preserve">9. </w:t>
      </w:r>
      <w:r>
        <w:t>Criar testes de saúde automáticos: endpoint responde, schema mudou, número de feições, data de atualização, checksum.</w:t>
      </w:r>
    </w:p>
    <w:p>
      <w:pPr>
        <w:spacing w:after="40"/>
        <w:ind w:left="317" w:hanging="259"/>
      </w:pPr>
      <w:r>
        <w:rPr>
          <w:b/>
        </w:rPr>
        <w:t xml:space="preserve">10. </w:t>
      </w:r>
      <w:r>
        <w:t>Fazer validação humana inicial por município e revalidação quando lei/camada muda.</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3168"/>
            <w:shd w:fill="EDEDED"/>
            <w:vAlign w:val="center"/>
          </w:tcPr>
          <w:p>
            <w:r>
              <w:rPr>
                <w:rFonts w:ascii="Arial" w:hAnsi="Arial"/>
                <w:b/>
                <w:sz w:val="16"/>
              </w:rPr>
              <w:t>Registro mínimo do catálogo municipal</w:t>
            </w:r>
          </w:p>
        </w:tc>
        <w:tc>
          <w:tcPr>
            <w:tcW w:type="dxa" w:w="6192"/>
            <w:shd w:fill="EDEDED"/>
            <w:vAlign w:val="center"/>
          </w:tcPr>
          <w:p>
            <w:r>
              <w:rPr>
                <w:rFonts w:ascii="Arial" w:hAnsi="Arial"/>
                <w:b/>
                <w:sz w:val="16"/>
              </w:rPr>
              <w:t>Exemplo</w:t>
            </w:r>
          </w:p>
        </w:tc>
      </w:tr>
      <w:tr>
        <w:trPr>
          <w:cantSplit/>
        </w:trPr>
        <w:tc>
          <w:tcPr>
            <w:tcW w:type="dxa" w:w="3168"/>
            <w:vAlign w:val="top"/>
          </w:tcPr>
          <w:p>
            <w:pPr>
              <w:spacing w:after="0"/>
            </w:pPr>
            <w:r>
              <w:rPr>
                <w:rFonts w:ascii="Arial" w:hAnsi="Arial"/>
                <w:sz w:val="16"/>
              </w:rPr>
              <w:t>municipality_ibge</w:t>
            </w:r>
          </w:p>
        </w:tc>
        <w:tc>
          <w:tcPr>
            <w:tcW w:type="dxa" w:w="6192"/>
            <w:vAlign w:val="top"/>
          </w:tcPr>
          <w:p>
            <w:pPr>
              <w:spacing w:after="0"/>
            </w:pPr>
            <w:r>
              <w:rPr>
                <w:rFonts w:ascii="Arial" w:hAnsi="Arial"/>
                <w:sz w:val="16"/>
              </w:rPr>
              <w:t>3550308</w:t>
            </w:r>
          </w:p>
        </w:tc>
      </w:tr>
      <w:tr>
        <w:trPr>
          <w:cantSplit/>
        </w:trPr>
        <w:tc>
          <w:tcPr>
            <w:tcW w:type="dxa" w:w="3168"/>
            <w:vAlign w:val="top"/>
          </w:tcPr>
          <w:p>
            <w:pPr>
              <w:spacing w:after="0"/>
            </w:pPr>
            <w:r>
              <w:rPr>
                <w:rFonts w:ascii="Arial" w:hAnsi="Arial"/>
                <w:sz w:val="16"/>
              </w:rPr>
              <w:t>source_type</w:t>
            </w:r>
          </w:p>
        </w:tc>
        <w:tc>
          <w:tcPr>
            <w:tcW w:type="dxa" w:w="6192"/>
            <w:vAlign w:val="top"/>
          </w:tcPr>
          <w:p>
            <w:pPr>
              <w:spacing w:after="0"/>
            </w:pPr>
            <w:r>
              <w:rPr>
                <w:rFonts w:ascii="Arial" w:hAnsi="Arial"/>
                <w:sz w:val="16"/>
              </w:rPr>
              <w:t>WFS / ArcGIS / PDF / HTML / API / download</w:t>
            </w:r>
          </w:p>
        </w:tc>
      </w:tr>
      <w:tr>
        <w:trPr>
          <w:cantSplit/>
        </w:trPr>
        <w:tc>
          <w:tcPr>
            <w:tcW w:type="dxa" w:w="3168"/>
            <w:vAlign w:val="top"/>
          </w:tcPr>
          <w:p>
            <w:pPr>
              <w:spacing w:after="0"/>
            </w:pPr>
            <w:r>
              <w:rPr>
                <w:rFonts w:ascii="Arial" w:hAnsi="Arial"/>
                <w:sz w:val="16"/>
              </w:rPr>
              <w:t>authority</w:t>
            </w:r>
          </w:p>
        </w:tc>
        <w:tc>
          <w:tcPr>
            <w:tcW w:type="dxa" w:w="6192"/>
            <w:vAlign w:val="top"/>
          </w:tcPr>
          <w:p>
            <w:pPr>
              <w:spacing w:after="0"/>
            </w:pPr>
            <w:r>
              <w:rPr>
                <w:rFonts w:ascii="Arial" w:hAnsi="Arial"/>
                <w:sz w:val="16"/>
              </w:rPr>
              <w:t>Prefeitura / Câmara / órgão</w:t>
            </w:r>
          </w:p>
        </w:tc>
      </w:tr>
      <w:tr>
        <w:trPr>
          <w:cantSplit/>
        </w:trPr>
        <w:tc>
          <w:tcPr>
            <w:tcW w:type="dxa" w:w="3168"/>
            <w:vAlign w:val="top"/>
          </w:tcPr>
          <w:p>
            <w:pPr>
              <w:spacing w:after="0"/>
            </w:pPr>
            <w:r>
              <w:rPr>
                <w:rFonts w:ascii="Arial" w:hAnsi="Arial"/>
                <w:sz w:val="16"/>
              </w:rPr>
              <w:t>dataset_code</w:t>
            </w:r>
          </w:p>
        </w:tc>
        <w:tc>
          <w:tcPr>
            <w:tcW w:type="dxa" w:w="6192"/>
            <w:vAlign w:val="top"/>
          </w:tcPr>
          <w:p>
            <w:pPr>
              <w:spacing w:after="0"/>
            </w:pPr>
            <w:r>
              <w:rPr>
                <w:rFonts w:ascii="Arial" w:hAnsi="Arial"/>
                <w:sz w:val="16"/>
              </w:rPr>
              <w:t>ZONEAMENTO_VIGENTE</w:t>
            </w:r>
          </w:p>
        </w:tc>
      </w:tr>
      <w:tr>
        <w:trPr>
          <w:cantSplit/>
        </w:trPr>
        <w:tc>
          <w:tcPr>
            <w:tcW w:type="dxa" w:w="3168"/>
            <w:vAlign w:val="top"/>
          </w:tcPr>
          <w:p>
            <w:pPr>
              <w:spacing w:after="0"/>
            </w:pPr>
            <w:r>
              <w:rPr>
                <w:rFonts w:ascii="Arial" w:hAnsi="Arial"/>
                <w:sz w:val="16"/>
              </w:rPr>
              <w:t>url</w:t>
            </w:r>
          </w:p>
        </w:tc>
        <w:tc>
          <w:tcPr>
            <w:tcW w:type="dxa" w:w="6192"/>
            <w:vAlign w:val="top"/>
          </w:tcPr>
          <w:p>
            <w:pPr>
              <w:spacing w:after="0"/>
            </w:pPr>
            <w:r>
              <w:rPr>
                <w:rFonts w:ascii="Arial" w:hAnsi="Arial"/>
                <w:sz w:val="16"/>
              </w:rPr>
              <w:t>endpoint ou página oficial</w:t>
            </w:r>
          </w:p>
        </w:tc>
      </w:tr>
      <w:tr>
        <w:trPr>
          <w:cantSplit/>
        </w:trPr>
        <w:tc>
          <w:tcPr>
            <w:tcW w:type="dxa" w:w="3168"/>
            <w:vAlign w:val="top"/>
          </w:tcPr>
          <w:p>
            <w:pPr>
              <w:spacing w:after="0"/>
            </w:pPr>
            <w:r>
              <w:rPr>
                <w:rFonts w:ascii="Arial" w:hAnsi="Arial"/>
                <w:sz w:val="16"/>
              </w:rPr>
              <w:t>access_class</w:t>
            </w:r>
          </w:p>
        </w:tc>
        <w:tc>
          <w:tcPr>
            <w:tcW w:type="dxa" w:w="6192"/>
            <w:vAlign w:val="top"/>
          </w:tcPr>
          <w:p>
            <w:pPr>
              <w:spacing w:after="0"/>
            </w:pPr>
            <w:r>
              <w:rPr>
                <w:rFonts w:ascii="Arial" w:hAnsi="Arial"/>
                <w:sz w:val="16"/>
              </w:rPr>
              <w:t>A/B/C/D</w:t>
            </w:r>
          </w:p>
        </w:tc>
      </w:tr>
      <w:tr>
        <w:trPr>
          <w:cantSplit/>
        </w:trPr>
        <w:tc>
          <w:tcPr>
            <w:tcW w:type="dxa" w:w="3168"/>
            <w:vAlign w:val="top"/>
          </w:tcPr>
          <w:p>
            <w:pPr>
              <w:spacing w:after="0"/>
            </w:pPr>
            <w:r>
              <w:rPr>
                <w:rFonts w:ascii="Arial" w:hAnsi="Arial"/>
                <w:sz w:val="16"/>
              </w:rPr>
              <w:t>license_terms</w:t>
            </w:r>
          </w:p>
        </w:tc>
        <w:tc>
          <w:tcPr>
            <w:tcW w:type="dxa" w:w="6192"/>
            <w:vAlign w:val="top"/>
          </w:tcPr>
          <w:p>
            <w:pPr>
              <w:spacing w:after="0"/>
            </w:pPr>
            <w:r>
              <w:rPr>
                <w:rFonts w:ascii="Arial" w:hAnsi="Arial"/>
                <w:sz w:val="16"/>
              </w:rPr>
              <w:t>licença/termos conhecidos</w:t>
            </w:r>
          </w:p>
        </w:tc>
      </w:tr>
      <w:tr>
        <w:trPr>
          <w:cantSplit/>
        </w:trPr>
        <w:tc>
          <w:tcPr>
            <w:tcW w:type="dxa" w:w="3168"/>
            <w:vAlign w:val="top"/>
          </w:tcPr>
          <w:p>
            <w:pPr>
              <w:spacing w:after="0"/>
            </w:pPr>
            <w:r>
              <w:rPr>
                <w:rFonts w:ascii="Arial" w:hAnsi="Arial"/>
                <w:sz w:val="16"/>
              </w:rPr>
              <w:t>last_checked_at</w:t>
            </w:r>
          </w:p>
        </w:tc>
        <w:tc>
          <w:tcPr>
            <w:tcW w:type="dxa" w:w="6192"/>
            <w:vAlign w:val="top"/>
          </w:tcPr>
          <w:p>
            <w:pPr>
              <w:spacing w:after="0"/>
            </w:pPr>
            <w:r>
              <w:rPr>
                <w:rFonts w:ascii="Arial" w:hAnsi="Arial"/>
                <w:sz w:val="16"/>
              </w:rPr>
              <w:t>timestamp</w:t>
            </w:r>
          </w:p>
        </w:tc>
      </w:tr>
      <w:tr>
        <w:trPr>
          <w:cantSplit/>
        </w:trPr>
        <w:tc>
          <w:tcPr>
            <w:tcW w:type="dxa" w:w="3168"/>
            <w:vAlign w:val="top"/>
          </w:tcPr>
          <w:p>
            <w:pPr>
              <w:spacing w:after="0"/>
            </w:pPr>
            <w:r>
              <w:rPr>
                <w:rFonts w:ascii="Arial" w:hAnsi="Arial"/>
                <w:sz w:val="16"/>
              </w:rPr>
              <w:t>last_source_update</w:t>
            </w:r>
          </w:p>
        </w:tc>
        <w:tc>
          <w:tcPr>
            <w:tcW w:type="dxa" w:w="6192"/>
            <w:vAlign w:val="top"/>
          </w:tcPr>
          <w:p>
            <w:pPr>
              <w:spacing w:after="0"/>
            </w:pPr>
            <w:r>
              <w:rPr>
                <w:rFonts w:ascii="Arial" w:hAnsi="Arial"/>
                <w:sz w:val="16"/>
              </w:rPr>
              <w:t>data indicada pelo órgão</w:t>
            </w:r>
          </w:p>
        </w:tc>
      </w:tr>
      <w:tr>
        <w:trPr>
          <w:cantSplit/>
        </w:trPr>
        <w:tc>
          <w:tcPr>
            <w:tcW w:type="dxa" w:w="3168"/>
            <w:vAlign w:val="top"/>
          </w:tcPr>
          <w:p>
            <w:pPr>
              <w:spacing w:after="0"/>
            </w:pPr>
            <w:r>
              <w:rPr>
                <w:rFonts w:ascii="Arial" w:hAnsi="Arial"/>
                <w:sz w:val="16"/>
              </w:rPr>
              <w:t>ingestion_status</w:t>
            </w:r>
          </w:p>
        </w:tc>
        <w:tc>
          <w:tcPr>
            <w:tcW w:type="dxa" w:w="6192"/>
            <w:vAlign w:val="top"/>
          </w:tcPr>
          <w:p>
            <w:pPr>
              <w:spacing w:after="0"/>
            </w:pPr>
            <w:r>
              <w:rPr>
                <w:rFonts w:ascii="Arial" w:hAnsi="Arial"/>
                <w:sz w:val="16"/>
              </w:rPr>
              <w:t>healthy/degraded/broken/manual</w:t>
            </w:r>
          </w:p>
        </w:tc>
      </w:tr>
      <w:tr>
        <w:trPr>
          <w:cantSplit/>
        </w:trPr>
        <w:tc>
          <w:tcPr>
            <w:tcW w:type="dxa" w:w="3168"/>
            <w:vAlign w:val="top"/>
          </w:tcPr>
          <w:p>
            <w:pPr>
              <w:spacing w:after="0"/>
            </w:pPr>
            <w:r>
              <w:rPr>
                <w:rFonts w:ascii="Arial" w:hAnsi="Arial"/>
                <w:sz w:val="16"/>
              </w:rPr>
              <w:t>parser_version</w:t>
            </w:r>
          </w:p>
        </w:tc>
        <w:tc>
          <w:tcPr>
            <w:tcW w:type="dxa" w:w="6192"/>
            <w:vAlign w:val="top"/>
          </w:tcPr>
          <w:p>
            <w:pPr>
              <w:spacing w:after="0"/>
            </w:pPr>
            <w:r>
              <w:rPr>
                <w:rFonts w:ascii="Arial" w:hAnsi="Arial"/>
                <w:sz w:val="16"/>
              </w:rPr>
              <w:t>versão do conector</w:t>
            </w:r>
          </w:p>
        </w:tc>
      </w:tr>
      <w:tr>
        <w:trPr>
          <w:cantSplit/>
        </w:trPr>
        <w:tc>
          <w:tcPr>
            <w:tcW w:type="dxa" w:w="3168"/>
            <w:vAlign w:val="top"/>
          </w:tcPr>
          <w:p>
            <w:pPr>
              <w:spacing w:after="0"/>
            </w:pPr>
            <w:r>
              <w:rPr>
                <w:rFonts w:ascii="Arial" w:hAnsi="Arial"/>
                <w:sz w:val="16"/>
              </w:rPr>
              <w:t>evidence_hash</w:t>
            </w:r>
          </w:p>
        </w:tc>
        <w:tc>
          <w:tcPr>
            <w:tcW w:type="dxa" w:w="6192"/>
            <w:vAlign w:val="top"/>
          </w:tcPr>
          <w:p>
            <w:pPr>
              <w:spacing w:after="0"/>
            </w:pPr>
            <w:r>
              <w:rPr>
                <w:rFonts w:ascii="Arial" w:hAnsi="Arial"/>
                <w:sz w:val="16"/>
              </w:rPr>
              <w:t>SHA-256 do artefato bruto</w:t>
            </w:r>
          </w:p>
        </w:tc>
      </w:tr>
    </w:tbl>
    <w:p>
      <w:pPr>
        <w:spacing w:after="20"/>
      </w:pPr>
    </w:p>
    <w:p>
      <w:pPr>
        <w:pStyle w:val="Heading1"/>
        <w:keepNext/>
      </w:pPr>
      <w:r>
        <w:t>8. Motor jurídico e versionamento temporal</w:t>
      </w:r>
    </w:p>
    <w:p>
      <w:pPr>
        <w:spacing w:after="30"/>
        <w:ind w:left="259" w:hanging="173"/>
      </w:pPr>
      <w:r>
        <w:t xml:space="preserve">• </w:t>
      </w:r>
      <w:r>
        <w:t>Nunca guardar apenas o texto “atual”. Guardar cada versão/alteração, vigência e relação revoga/altera/regulamenta.</w:t>
      </w:r>
    </w:p>
    <w:p>
      <w:pPr>
        <w:spacing w:after="30"/>
        <w:ind w:left="259" w:hanging="173"/>
      </w:pPr>
      <w:r>
        <w:t xml:space="preserve">• </w:t>
      </w:r>
      <w:r>
        <w:t>Extrair estrutura: lei → capítulo → seção → artigo → parágrafo → inciso → alínea → anexos → quadros → mapas.</w:t>
      </w:r>
    </w:p>
    <w:p>
      <w:pPr>
        <w:spacing w:after="30"/>
        <w:ind w:left="259" w:hanging="173"/>
      </w:pPr>
      <w:r>
        <w:t xml:space="preserve">• </w:t>
      </w:r>
      <w:r>
        <w:t>Versionar anexos e mapas separadamente, pois muitos parâmetros mudam sem reescrita clara do corpo da lei.</w:t>
      </w:r>
    </w:p>
    <w:p>
      <w:pPr>
        <w:spacing w:after="30"/>
        <w:ind w:left="259" w:hanging="173"/>
      </w:pPr>
      <w:r>
        <w:t xml:space="preserve">• </w:t>
      </w:r>
      <w:r>
        <w:t>PDF digital: extrair texto/tabelas; PDF escaneado: OCR apenas como fallback e sempre marcar confiança menor.</w:t>
      </w:r>
    </w:p>
    <w:p>
      <w:pPr>
        <w:spacing w:after="30"/>
        <w:ind w:left="259" w:hanging="173"/>
      </w:pPr>
      <w:r>
        <w:t xml:space="preserve">• </w:t>
      </w:r>
      <w:r>
        <w:t>Tabelas: normalizar linhas/colunas e preservar imagem/arquivo original como evidência.</w:t>
      </w:r>
    </w:p>
    <w:p>
      <w:pPr>
        <w:spacing w:after="30"/>
        <w:ind w:left="259" w:hanging="173"/>
      </w:pPr>
      <w:r>
        <w:t xml:space="preserve">• </w:t>
      </w:r>
      <w:r>
        <w:t>Quando a regra depender de expressão (“lotes acima de 500 m²”), convertê-la em condição estruturada e manter a frase legal original como evidência.</w:t>
      </w:r>
    </w:p>
    <w:p>
      <w:pPr>
        <w:spacing w:after="30"/>
        <w:ind w:left="259" w:hanging="173"/>
      </w:pPr>
      <w:r>
        <w:t xml:space="preserve">• </w:t>
      </w:r>
      <w:r>
        <w:t>Consulta por data: resolver qual versão estava vigente no dia da análise.</w:t>
      </w:r>
    </w:p>
    <w:p>
      <w:pPr>
        <w:spacing w:after="30"/>
        <w:ind w:left="259" w:hanging="173"/>
      </w:pPr>
      <w:r>
        <w:t xml:space="preserve">• </w:t>
      </w:r>
      <w:r>
        <w:t>Quando houver conflito entre texto consolidado, alteração e mapa, marcar CONFLITANTE e exigir revisão humana.</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3024"/>
            <w:shd w:fill="EDEDED"/>
            <w:vAlign w:val="center"/>
          </w:tcPr>
          <w:p>
            <w:r>
              <w:rPr>
                <w:rFonts w:ascii="Arial" w:hAnsi="Arial"/>
                <w:b/>
                <w:sz w:val="16"/>
              </w:rPr>
              <w:t>Campo da regra</w:t>
            </w:r>
          </w:p>
        </w:tc>
        <w:tc>
          <w:tcPr>
            <w:tcW w:type="dxa" w:w="6336"/>
            <w:shd w:fill="EDEDED"/>
            <w:vAlign w:val="center"/>
          </w:tcPr>
          <w:p>
            <w:r>
              <w:rPr>
                <w:rFonts w:ascii="Arial" w:hAnsi="Arial"/>
                <w:b/>
                <w:sz w:val="16"/>
              </w:rPr>
              <w:t>Exemplo</w:t>
            </w:r>
          </w:p>
        </w:tc>
      </w:tr>
      <w:tr>
        <w:trPr>
          <w:cantSplit/>
          <w:cantSplit/>
        </w:trPr>
        <w:tc>
          <w:tcPr>
            <w:tcW w:type="dxa" w:w="3024"/>
            <w:vAlign w:val="top"/>
          </w:tcPr>
          <w:p>
            <w:pPr>
              <w:spacing w:after="0"/>
            </w:pPr>
            <w:r>
              <w:rPr>
                <w:rFonts w:ascii="Arial" w:hAnsi="Arial"/>
                <w:sz w:val="16"/>
              </w:rPr>
              <w:t>zone_code</w:t>
            </w:r>
          </w:p>
        </w:tc>
        <w:tc>
          <w:tcPr>
            <w:tcW w:type="dxa" w:w="6336"/>
            <w:vAlign w:val="top"/>
          </w:tcPr>
          <w:p>
            <w:pPr>
              <w:spacing w:after="0"/>
            </w:pPr>
            <w:r>
              <w:rPr>
                <w:rFonts w:ascii="Arial" w:hAnsi="Arial"/>
                <w:sz w:val="16"/>
              </w:rPr>
              <w:t>ZEU</w:t>
            </w:r>
          </w:p>
        </w:tc>
      </w:tr>
      <w:tr>
        <w:trPr>
          <w:cantSplit/>
          <w:cantSplit/>
        </w:trPr>
        <w:tc>
          <w:tcPr>
            <w:tcW w:type="dxa" w:w="3024"/>
            <w:vAlign w:val="top"/>
          </w:tcPr>
          <w:p>
            <w:pPr>
              <w:spacing w:after="0"/>
            </w:pPr>
            <w:r>
              <w:rPr>
                <w:rFonts w:ascii="Arial" w:hAnsi="Arial"/>
                <w:sz w:val="16"/>
              </w:rPr>
              <w:t>parameter</w:t>
            </w:r>
          </w:p>
        </w:tc>
        <w:tc>
          <w:tcPr>
            <w:tcW w:type="dxa" w:w="6336"/>
            <w:vAlign w:val="top"/>
          </w:tcPr>
          <w:p>
            <w:pPr>
              <w:spacing w:after="0"/>
            </w:pPr>
            <w:r>
              <w:rPr>
                <w:rFonts w:ascii="Arial" w:hAnsi="Arial"/>
                <w:sz w:val="16"/>
              </w:rPr>
              <w:t>CA_MAX</w:t>
            </w:r>
          </w:p>
        </w:tc>
      </w:tr>
      <w:tr>
        <w:trPr>
          <w:cantSplit/>
          <w:cantSplit/>
        </w:trPr>
        <w:tc>
          <w:tcPr>
            <w:tcW w:type="dxa" w:w="3024"/>
            <w:vAlign w:val="top"/>
          </w:tcPr>
          <w:p>
            <w:pPr>
              <w:spacing w:after="0"/>
            </w:pPr>
            <w:r>
              <w:rPr>
                <w:rFonts w:ascii="Arial" w:hAnsi="Arial"/>
                <w:sz w:val="16"/>
              </w:rPr>
              <w:t>condition</w:t>
            </w:r>
          </w:p>
        </w:tc>
        <w:tc>
          <w:tcPr>
            <w:tcW w:type="dxa" w:w="6336"/>
            <w:vAlign w:val="top"/>
          </w:tcPr>
          <w:p>
            <w:pPr>
              <w:spacing w:after="0"/>
            </w:pPr>
            <w:r>
              <w:rPr>
                <w:rFonts w:ascii="Arial" w:hAnsi="Arial"/>
                <w:sz w:val="16"/>
              </w:rPr>
              <w:t>default</w:t>
            </w:r>
          </w:p>
        </w:tc>
      </w:tr>
      <w:tr>
        <w:trPr>
          <w:cantSplit/>
          <w:cantSplit/>
        </w:trPr>
        <w:tc>
          <w:tcPr>
            <w:tcW w:type="dxa" w:w="3024"/>
            <w:vAlign w:val="top"/>
          </w:tcPr>
          <w:p>
            <w:pPr>
              <w:spacing w:after="0"/>
            </w:pPr>
            <w:r>
              <w:rPr>
                <w:rFonts w:ascii="Arial" w:hAnsi="Arial"/>
                <w:sz w:val="16"/>
              </w:rPr>
              <w:t>value</w:t>
            </w:r>
          </w:p>
        </w:tc>
        <w:tc>
          <w:tcPr>
            <w:tcW w:type="dxa" w:w="6336"/>
            <w:vAlign w:val="top"/>
          </w:tcPr>
          <w:p>
            <w:pPr>
              <w:spacing w:after="0"/>
            </w:pPr>
            <w:r>
              <w:rPr>
                <w:rFonts w:ascii="Arial" w:hAnsi="Arial"/>
                <w:sz w:val="16"/>
              </w:rPr>
              <w:t>4.0</w:t>
            </w:r>
          </w:p>
        </w:tc>
      </w:tr>
      <w:tr>
        <w:trPr>
          <w:cantSplit/>
          <w:cantSplit/>
        </w:trPr>
        <w:tc>
          <w:tcPr>
            <w:tcW w:type="dxa" w:w="3024"/>
            <w:vAlign w:val="top"/>
          </w:tcPr>
          <w:p>
            <w:pPr>
              <w:spacing w:after="0"/>
            </w:pPr>
            <w:r>
              <w:rPr>
                <w:rFonts w:ascii="Arial" w:hAnsi="Arial"/>
                <w:sz w:val="16"/>
              </w:rPr>
              <w:t>unit</w:t>
            </w:r>
          </w:p>
        </w:tc>
        <w:tc>
          <w:tcPr>
            <w:tcW w:type="dxa" w:w="6336"/>
            <w:vAlign w:val="top"/>
          </w:tcPr>
          <w:p>
            <w:pPr>
              <w:spacing w:after="0"/>
            </w:pPr>
            <w:r>
              <w:rPr>
                <w:rFonts w:ascii="Arial" w:hAnsi="Arial"/>
                <w:sz w:val="16"/>
              </w:rPr>
              <w:t>ratio</w:t>
            </w:r>
          </w:p>
        </w:tc>
      </w:tr>
      <w:tr>
        <w:trPr>
          <w:cantSplit/>
          <w:cantSplit/>
        </w:trPr>
        <w:tc>
          <w:tcPr>
            <w:tcW w:type="dxa" w:w="3024"/>
            <w:vAlign w:val="top"/>
          </w:tcPr>
          <w:p>
            <w:pPr>
              <w:spacing w:after="0"/>
            </w:pPr>
            <w:r>
              <w:rPr>
                <w:rFonts w:ascii="Arial" w:hAnsi="Arial"/>
                <w:sz w:val="16"/>
              </w:rPr>
              <w:t>valid_from</w:t>
            </w:r>
          </w:p>
        </w:tc>
        <w:tc>
          <w:tcPr>
            <w:tcW w:type="dxa" w:w="6336"/>
            <w:vAlign w:val="top"/>
          </w:tcPr>
          <w:p>
            <w:pPr>
              <w:spacing w:after="0"/>
            </w:pPr>
            <w:r>
              <w:rPr>
                <w:rFonts w:ascii="Arial" w:hAnsi="Arial"/>
                <w:sz w:val="16"/>
              </w:rPr>
              <w:t>2024-...</w:t>
            </w:r>
          </w:p>
        </w:tc>
      </w:tr>
      <w:tr>
        <w:trPr>
          <w:cantSplit/>
          <w:cantSplit/>
        </w:trPr>
        <w:tc>
          <w:tcPr>
            <w:tcW w:type="dxa" w:w="3024"/>
            <w:vAlign w:val="top"/>
          </w:tcPr>
          <w:p>
            <w:pPr>
              <w:spacing w:after="0"/>
            </w:pPr>
            <w:r>
              <w:rPr>
                <w:rFonts w:ascii="Arial" w:hAnsi="Arial"/>
                <w:sz w:val="16"/>
              </w:rPr>
              <w:t>valid_to</w:t>
            </w:r>
          </w:p>
        </w:tc>
        <w:tc>
          <w:tcPr>
            <w:tcW w:type="dxa" w:w="6336"/>
            <w:vAlign w:val="top"/>
          </w:tcPr>
          <w:p>
            <w:pPr>
              <w:spacing w:after="0"/>
            </w:pPr>
            <w:r>
              <w:rPr>
                <w:rFonts w:ascii="Arial" w:hAnsi="Arial"/>
                <w:sz w:val="16"/>
              </w:rPr>
              <w:t>NULL</w:t>
            </w:r>
          </w:p>
        </w:tc>
      </w:tr>
      <w:tr>
        <w:trPr>
          <w:cantSplit/>
          <w:cantSplit/>
        </w:trPr>
        <w:tc>
          <w:tcPr>
            <w:tcW w:type="dxa" w:w="3024"/>
            <w:vAlign w:val="top"/>
          </w:tcPr>
          <w:p>
            <w:pPr>
              <w:spacing w:after="0"/>
            </w:pPr>
            <w:r>
              <w:rPr>
                <w:rFonts w:ascii="Arial" w:hAnsi="Arial"/>
                <w:sz w:val="16"/>
              </w:rPr>
              <w:t>source_document</w:t>
            </w:r>
          </w:p>
        </w:tc>
        <w:tc>
          <w:tcPr>
            <w:tcW w:type="dxa" w:w="6336"/>
            <w:vAlign w:val="top"/>
          </w:tcPr>
          <w:p>
            <w:pPr>
              <w:spacing w:after="0"/>
            </w:pPr>
            <w:r>
              <w:rPr>
                <w:rFonts w:ascii="Arial" w:hAnsi="Arial"/>
                <w:sz w:val="16"/>
              </w:rPr>
              <w:t>Lei municipal X</w:t>
            </w:r>
          </w:p>
        </w:tc>
      </w:tr>
      <w:tr>
        <w:trPr>
          <w:cantSplit/>
          <w:cantSplit/>
        </w:trPr>
        <w:tc>
          <w:tcPr>
            <w:tcW w:type="dxa" w:w="3024"/>
            <w:vAlign w:val="top"/>
          </w:tcPr>
          <w:p>
            <w:pPr>
              <w:spacing w:after="0"/>
            </w:pPr>
            <w:r>
              <w:rPr>
                <w:rFonts w:ascii="Arial" w:hAnsi="Arial"/>
                <w:sz w:val="16"/>
              </w:rPr>
              <w:t>source_locator</w:t>
            </w:r>
          </w:p>
        </w:tc>
        <w:tc>
          <w:tcPr>
            <w:tcW w:type="dxa" w:w="6336"/>
            <w:vAlign w:val="top"/>
          </w:tcPr>
          <w:p>
            <w:pPr>
              <w:spacing w:after="0"/>
            </w:pPr>
            <w:r>
              <w:rPr>
                <w:rFonts w:ascii="Arial" w:hAnsi="Arial"/>
                <w:sz w:val="16"/>
              </w:rPr>
              <w:t>Quadro 3 / linha ZEU</w:t>
            </w:r>
          </w:p>
        </w:tc>
      </w:tr>
      <w:tr>
        <w:trPr>
          <w:cantSplit/>
          <w:cantSplit/>
        </w:trPr>
        <w:tc>
          <w:tcPr>
            <w:tcW w:type="dxa" w:w="3024"/>
            <w:vAlign w:val="top"/>
          </w:tcPr>
          <w:p>
            <w:pPr>
              <w:spacing w:after="0"/>
            </w:pPr>
            <w:r>
              <w:rPr>
                <w:rFonts w:ascii="Arial" w:hAnsi="Arial"/>
                <w:sz w:val="16"/>
              </w:rPr>
              <w:t>status</w:t>
            </w:r>
          </w:p>
        </w:tc>
        <w:tc>
          <w:tcPr>
            <w:tcW w:type="dxa" w:w="6336"/>
            <w:vAlign w:val="top"/>
          </w:tcPr>
          <w:p>
            <w:pPr>
              <w:spacing w:after="0"/>
            </w:pPr>
            <w:r>
              <w:rPr>
                <w:rFonts w:ascii="Arial" w:hAnsi="Arial"/>
                <w:sz w:val="16"/>
              </w:rPr>
              <w:t>CONFIRMED</w:t>
            </w:r>
          </w:p>
        </w:tc>
      </w:tr>
      <w:tr>
        <w:trPr>
          <w:cantSplit/>
          <w:cantSplit/>
        </w:trPr>
        <w:tc>
          <w:tcPr>
            <w:tcW w:type="dxa" w:w="3024"/>
            <w:vAlign w:val="top"/>
          </w:tcPr>
          <w:p>
            <w:pPr>
              <w:spacing w:after="0"/>
            </w:pPr>
            <w:r>
              <w:rPr>
                <w:rFonts w:ascii="Arial" w:hAnsi="Arial"/>
                <w:sz w:val="16"/>
              </w:rPr>
              <w:t>parser_version</w:t>
            </w:r>
          </w:p>
        </w:tc>
        <w:tc>
          <w:tcPr>
            <w:tcW w:type="dxa" w:w="6336"/>
            <w:vAlign w:val="top"/>
          </w:tcPr>
          <w:p>
            <w:pPr>
              <w:spacing w:after="0"/>
            </w:pPr>
            <w:r>
              <w:rPr>
                <w:rFonts w:ascii="Arial" w:hAnsi="Arial"/>
                <w:sz w:val="16"/>
              </w:rPr>
              <w:t>legal-parser-3</w:t>
            </w:r>
          </w:p>
        </w:tc>
      </w:tr>
      <w:tr>
        <w:trPr>
          <w:cantSplit/>
          <w:cantSplit/>
        </w:trPr>
        <w:tc>
          <w:tcPr>
            <w:tcW w:type="dxa" w:w="3024"/>
            <w:vAlign w:val="top"/>
          </w:tcPr>
          <w:p>
            <w:pPr>
              <w:spacing w:after="0"/>
            </w:pPr>
            <w:r>
              <w:rPr>
                <w:rFonts w:ascii="Arial" w:hAnsi="Arial"/>
                <w:sz w:val="16"/>
              </w:rPr>
              <w:t>evidence_hash</w:t>
            </w:r>
          </w:p>
        </w:tc>
        <w:tc>
          <w:tcPr>
            <w:tcW w:type="dxa" w:w="6336"/>
            <w:vAlign w:val="top"/>
          </w:tcPr>
          <w:p>
            <w:pPr>
              <w:spacing w:after="0"/>
            </w:pPr>
            <w:r>
              <w:rPr>
                <w:rFonts w:ascii="Arial" w:hAnsi="Arial"/>
                <w:sz w:val="16"/>
              </w:rPr>
              <w:t>...</w:t>
            </w:r>
          </w:p>
        </w:tc>
      </w:tr>
    </w:tbl>
    <w:p>
      <w:pPr>
        <w:spacing w:after="20"/>
      </w:pPr>
    </w:p>
    <w:p>
      <w:pPr>
        <w:pStyle w:val="Small"/>
      </w:pPr>
      <w:r>
        <w:rPr>
          <w:b/>
        </w:rPr>
        <w:t xml:space="preserve">Exemplo de regra computável: </w:t>
      </w:r>
      <w:r>
        <w:t>IF zone='ZEU' AND lot_area &lt;= 500 THEN TO_MAX=0.85. A regra executável nunca substitui a evidência; ela aponta de volta para o artigo/quadro que a originou.</w:t>
      </w:r>
    </w:p>
    <w:p>
      <w:pPr>
        <w:pStyle w:val="Heading1"/>
        <w:keepNext/>
      </w:pPr>
      <w:r>
        <w:t>9. Arquitetura de dados e serviços</w:t>
      </w:r>
    </w:p>
    <w:p>
      <w:pPr>
        <w:jc w:val="center"/>
      </w:pPr>
      <w:r>
        <w:drawing>
          <wp:inline xmlns:a="http://schemas.openxmlformats.org/drawingml/2006/main" xmlns:pic="http://schemas.openxmlformats.org/drawingml/2006/picture">
            <wp:extent cx="5943600" cy="4413797"/>
            <wp:docPr id="3" name="Picture 3" descr="Figura 3 — Arquitetura de referência para ingestão nacional, normalização, análise e entrega." title="Figura 3 — Arquitetura de referência para ingestão nacional, normalização, análise e entrega."/>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943600" cy="4413797"/>
                    </a:xfrm>
                    <a:prstGeom prst="rect"/>
                  </pic:spPr>
                </pic:pic>
              </a:graphicData>
            </a:graphic>
          </wp:inline>
        </w:drawing>
      </w:r>
    </w:p>
    <w:p>
      <w:pPr>
        <w:pStyle w:val="CaptionLD"/>
        <w:spacing w:after="160"/>
        <w:jc w:val="center"/>
      </w:pPr>
      <w:r>
        <w:t>Figura 3 — Arquitetura de referência para ingestão nacional, normalização, análise e entrega.</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2088"/>
            <w:shd w:fill="EDEDED"/>
            <w:vAlign w:val="center"/>
          </w:tcPr>
          <w:p>
            <w:r>
              <w:rPr>
                <w:rFonts w:ascii="Arial" w:hAnsi="Arial"/>
                <w:b/>
                <w:sz w:val="15"/>
              </w:rPr>
              <w:t>Camada</w:t>
            </w:r>
          </w:p>
        </w:tc>
        <w:tc>
          <w:tcPr>
            <w:tcW w:type="dxa" w:w="2376"/>
            <w:shd w:fill="EDEDED"/>
            <w:vAlign w:val="center"/>
          </w:tcPr>
          <w:p>
            <w:r>
              <w:rPr>
                <w:rFonts w:ascii="Arial" w:hAnsi="Arial"/>
                <w:b/>
                <w:sz w:val="15"/>
              </w:rPr>
              <w:t>Tecnologia recomendada</w:t>
            </w:r>
          </w:p>
        </w:tc>
        <w:tc>
          <w:tcPr>
            <w:tcW w:type="dxa" w:w="4896"/>
            <w:shd w:fill="EDEDED"/>
            <w:vAlign w:val="center"/>
          </w:tcPr>
          <w:p>
            <w:r>
              <w:rPr>
                <w:rFonts w:ascii="Arial" w:hAnsi="Arial"/>
                <w:b/>
                <w:sz w:val="15"/>
              </w:rPr>
              <w:t>Função</w:t>
            </w:r>
          </w:p>
        </w:tc>
      </w:tr>
      <w:tr>
        <w:trPr>
          <w:cantSplit/>
        </w:trPr>
        <w:tc>
          <w:tcPr>
            <w:tcW w:type="dxa" w:w="2088"/>
            <w:vAlign w:val="top"/>
          </w:tcPr>
          <w:p>
            <w:pPr>
              <w:spacing w:after="0"/>
            </w:pPr>
            <w:r>
              <w:rPr>
                <w:rFonts w:ascii="Arial" w:hAnsi="Arial"/>
                <w:sz w:val="15"/>
              </w:rPr>
              <w:t>Banco transacional/geográfico</w:t>
            </w:r>
          </w:p>
        </w:tc>
        <w:tc>
          <w:tcPr>
            <w:tcW w:type="dxa" w:w="2376"/>
            <w:vAlign w:val="top"/>
          </w:tcPr>
          <w:p>
            <w:pPr>
              <w:spacing w:after="0"/>
            </w:pPr>
            <w:r>
              <w:rPr>
                <w:rFonts w:ascii="Arial" w:hAnsi="Arial"/>
                <w:sz w:val="15"/>
              </w:rPr>
              <w:t>PostgreSQL 18 + PostGIS 3.6</w:t>
            </w:r>
          </w:p>
        </w:tc>
        <w:tc>
          <w:tcPr>
            <w:tcW w:type="dxa" w:w="4896"/>
            <w:vAlign w:val="top"/>
          </w:tcPr>
          <w:p>
            <w:pPr>
              <w:spacing w:after="0"/>
            </w:pPr>
            <w:r>
              <w:rPr>
                <w:rFonts w:ascii="Arial" w:hAnsi="Arial"/>
                <w:sz w:val="15"/>
              </w:rPr>
              <w:t>Imóveis, geometrias, regras, cadastros, análises e relacionamentos.</w:t>
            </w:r>
          </w:p>
        </w:tc>
      </w:tr>
      <w:tr>
        <w:trPr>
          <w:cantSplit/>
        </w:trPr>
        <w:tc>
          <w:tcPr>
            <w:tcW w:type="dxa" w:w="2088"/>
            <w:vAlign w:val="top"/>
          </w:tcPr>
          <w:p>
            <w:pPr>
              <w:spacing w:after="0"/>
            </w:pPr>
            <w:r>
              <w:rPr>
                <w:rFonts w:ascii="Arial" w:hAnsi="Arial"/>
                <w:sz w:val="15"/>
              </w:rPr>
              <w:t>Data lake</w:t>
            </w:r>
          </w:p>
        </w:tc>
        <w:tc>
          <w:tcPr>
            <w:tcW w:type="dxa" w:w="2376"/>
            <w:vAlign w:val="top"/>
          </w:tcPr>
          <w:p>
            <w:pPr>
              <w:spacing w:after="0"/>
            </w:pPr>
            <w:r>
              <w:rPr>
                <w:rFonts w:ascii="Arial" w:hAnsi="Arial"/>
                <w:sz w:val="15"/>
              </w:rPr>
              <w:t>S3/MinIO</w:t>
            </w:r>
          </w:p>
        </w:tc>
        <w:tc>
          <w:tcPr>
            <w:tcW w:type="dxa" w:w="4896"/>
            <w:vAlign w:val="top"/>
          </w:tcPr>
          <w:p>
            <w:pPr>
              <w:spacing w:after="0"/>
            </w:pPr>
            <w:r>
              <w:rPr>
                <w:rFonts w:ascii="Arial" w:hAnsi="Arial"/>
                <w:sz w:val="15"/>
              </w:rPr>
              <w:t>Arquivos brutos imutáveis: PDFs, SHP, GPKG, CSV, imagens, ZIPs e snapshots.</w:t>
            </w:r>
          </w:p>
        </w:tc>
      </w:tr>
      <w:tr>
        <w:trPr>
          <w:cantSplit/>
        </w:trPr>
        <w:tc>
          <w:tcPr>
            <w:tcW w:type="dxa" w:w="2088"/>
            <w:vAlign w:val="top"/>
          </w:tcPr>
          <w:p>
            <w:pPr>
              <w:spacing w:after="0"/>
            </w:pPr>
            <w:r>
              <w:rPr>
                <w:rFonts w:ascii="Arial" w:hAnsi="Arial"/>
                <w:sz w:val="15"/>
              </w:rPr>
              <w:t>Busca jurídica</w:t>
            </w:r>
          </w:p>
        </w:tc>
        <w:tc>
          <w:tcPr>
            <w:tcW w:type="dxa" w:w="2376"/>
            <w:vAlign w:val="top"/>
          </w:tcPr>
          <w:p>
            <w:r>
              <w:t>OpenSearch híbrido: BM25 + filtros + vector search</w:t>
            </w:r>
          </w:p>
        </w:tc>
        <w:tc>
          <w:tcPr>
            <w:tcW w:type="dxa" w:w="4896"/>
            <w:vAlign w:val="top"/>
          </w:tcPr>
          <w:p>
            <w:pPr>
              <w:spacing w:after="0"/>
            </w:pPr>
            <w:r>
              <w:rPr>
                <w:rFonts w:ascii="Arial" w:hAnsi="Arial"/>
                <w:sz w:val="15"/>
              </w:rPr>
              <w:t>Busca full-text, filtros por município, lei, artigo, vigência e assunto.</w:t>
            </w:r>
          </w:p>
        </w:tc>
      </w:tr>
      <w:tr>
        <w:trPr>
          <w:cantSplit/>
        </w:trPr>
        <w:tc>
          <w:tcPr>
            <w:tcW w:type="dxa" w:w="2088"/>
            <w:vAlign w:val="top"/>
          </w:tcPr>
          <w:p>
            <w:pPr>
              <w:spacing w:after="0"/>
            </w:pPr>
            <w:r>
              <w:rPr>
                <w:rFonts w:ascii="Arial" w:hAnsi="Arial"/>
                <w:sz w:val="15"/>
              </w:rPr>
              <w:t>Cache</w:t>
            </w:r>
          </w:p>
        </w:tc>
        <w:tc>
          <w:tcPr>
            <w:tcW w:type="dxa" w:w="2376"/>
            <w:vAlign w:val="top"/>
          </w:tcPr>
          <w:p>
            <w:r>
              <w:t>Valkey</w:t>
            </w:r>
          </w:p>
        </w:tc>
        <w:tc>
          <w:tcPr>
            <w:tcW w:type="dxa" w:w="4896"/>
            <w:vAlign w:val="top"/>
          </w:tcPr>
          <w:p>
            <w:pPr>
              <w:spacing w:after="0"/>
            </w:pPr>
            <w:r>
              <w:rPr>
                <w:rFonts w:ascii="Arial" w:hAnsi="Arial"/>
                <w:sz w:val="15"/>
              </w:rPr>
              <w:t>Consultas repetidas, tiles, sessões e resultados de proximidade.</w:t>
            </w:r>
          </w:p>
        </w:tc>
      </w:tr>
      <w:tr>
        <w:trPr>
          <w:cantSplit/>
        </w:trPr>
        <w:tc>
          <w:tcPr>
            <w:tcW w:type="dxa" w:w="2088"/>
            <w:vAlign w:val="top"/>
          </w:tcPr>
          <w:p>
            <w:pPr>
              <w:spacing w:after="0"/>
            </w:pPr>
            <w:r>
              <w:rPr>
                <w:rFonts w:ascii="Arial" w:hAnsi="Arial"/>
                <w:sz w:val="15"/>
              </w:rPr>
              <w:t>Vector tiles</w:t>
            </w:r>
          </w:p>
        </w:tc>
        <w:tc>
          <w:tcPr>
            <w:tcW w:type="dxa" w:w="2376"/>
            <w:vAlign w:val="top"/>
          </w:tcPr>
          <w:p>
            <w:r>
              <w:t>Martin MVT</w:t>
            </w:r>
          </w:p>
        </w:tc>
        <w:tc>
          <w:tcPr>
            <w:tcW w:type="dxa" w:w="4896"/>
            <w:vAlign w:val="top"/>
          </w:tcPr>
          <w:p>
            <w:pPr>
              <w:spacing w:after="0"/>
            </w:pPr>
            <w:r>
              <w:rPr>
                <w:rFonts w:ascii="Arial" w:hAnsi="Arial"/>
                <w:sz w:val="15"/>
              </w:rPr>
              <w:t>MVT direto do PostGIS para mapa de grande volume.</w:t>
            </w:r>
          </w:p>
        </w:tc>
      </w:tr>
      <w:tr>
        <w:trPr>
          <w:cantSplit/>
        </w:trPr>
        <w:tc>
          <w:tcPr>
            <w:tcW w:type="dxa" w:w="2088"/>
            <w:vAlign w:val="top"/>
          </w:tcPr>
          <w:p>
            <w:pPr>
              <w:spacing w:after="0"/>
            </w:pPr>
            <w:r>
              <w:rPr>
                <w:rFonts w:ascii="Arial" w:hAnsi="Arial"/>
                <w:sz w:val="15"/>
              </w:rPr>
              <w:t>OGC/GIS interoperável</w:t>
            </w:r>
          </w:p>
        </w:tc>
        <w:tc>
          <w:tcPr>
            <w:tcW w:type="dxa" w:w="2376"/>
            <w:vAlign w:val="top"/>
          </w:tcPr>
          <w:p>
            <w:pPr>
              <w:spacing w:after="0"/>
            </w:pPr>
            <w:r>
              <w:rPr>
                <w:rFonts w:ascii="Arial" w:hAnsi="Arial"/>
                <w:sz w:val="15"/>
              </w:rPr>
              <w:t>GeoServer opcional</w:t>
            </w:r>
          </w:p>
        </w:tc>
        <w:tc>
          <w:tcPr>
            <w:tcW w:type="dxa" w:w="4896"/>
            <w:vAlign w:val="top"/>
          </w:tcPr>
          <w:p>
            <w:pPr>
              <w:spacing w:after="0"/>
            </w:pPr>
            <w:r>
              <w:rPr>
                <w:rFonts w:ascii="Arial" w:hAnsi="Arial"/>
                <w:sz w:val="15"/>
              </w:rPr>
              <w:t>WMS/WFS para interoperabilidade com prefeituras/QGIS e camadas que exijam padrão OGC.</w:t>
            </w:r>
          </w:p>
        </w:tc>
      </w:tr>
      <w:tr>
        <w:trPr>
          <w:cantSplit/>
        </w:trPr>
        <w:tc>
          <w:tcPr>
            <w:tcW w:type="dxa" w:w="2088"/>
            <w:vAlign w:val="top"/>
          </w:tcPr>
          <w:p>
            <w:pPr>
              <w:spacing w:after="0"/>
            </w:pPr>
            <w:r>
              <w:rPr>
                <w:rFonts w:ascii="Arial" w:hAnsi="Arial"/>
                <w:sz w:val="15"/>
              </w:rPr>
              <w:t>API</w:t>
            </w:r>
          </w:p>
        </w:tc>
        <w:tc>
          <w:tcPr>
            <w:tcW w:type="dxa" w:w="2376"/>
            <w:vAlign w:val="top"/>
          </w:tcPr>
          <w:p>
            <w:r>
              <w:t>TypeScript — NestJS + Fastify Adapter + Mercurius</w:t>
            </w:r>
          </w:p>
        </w:tc>
        <w:tc>
          <w:tcPr>
            <w:tcW w:type="dxa" w:w="4896"/>
            <w:vAlign w:val="top"/>
          </w:tcPr>
          <w:p>
            <w:pPr>
              <w:spacing w:after="0"/>
            </w:pPr>
            <w:r>
              <w:rPr>
                <w:rFonts w:ascii="Arial" w:hAnsi="Arial"/>
                <w:sz w:val="15"/>
              </w:rPr>
              <w:t>REST/GraphQL, autenticação, contratos de produto e composição dos resultados.</w:t>
            </w:r>
          </w:p>
        </w:tc>
      </w:tr>
      <w:tr>
        <w:trPr>
          <w:cantSplit/>
        </w:trPr>
        <w:tc>
          <w:tcPr>
            <w:tcW w:type="dxa" w:w="2088"/>
            <w:vAlign w:val="top"/>
          </w:tcPr>
          <w:p>
            <w:pPr>
              <w:spacing w:after="0"/>
            </w:pPr>
            <w:r>
              <w:rPr>
                <w:rFonts w:ascii="Arial" w:hAnsi="Arial"/>
                <w:sz w:val="15"/>
              </w:rPr>
              <w:t>Workers geoespaciais/ETL</w:t>
            </w:r>
          </w:p>
        </w:tc>
        <w:tc>
          <w:tcPr>
            <w:tcW w:type="dxa" w:w="2376"/>
            <w:vAlign w:val="top"/>
          </w:tcPr>
          <w:p>
            <w:pPr>
              <w:spacing w:after="0"/>
            </w:pPr>
            <w:r>
              <w:rPr>
                <w:rFonts w:ascii="Arial" w:hAnsi="Arial"/>
                <w:sz w:val="15"/>
              </w:rPr>
              <w:t>Python</w:t>
            </w:r>
          </w:p>
        </w:tc>
        <w:tc>
          <w:tcPr>
            <w:tcW w:type="dxa" w:w="4896"/>
            <w:vAlign w:val="top"/>
          </w:tcPr>
          <w:p>
            <w:pPr>
              <w:spacing w:after="0"/>
            </w:pPr>
            <w:r>
              <w:rPr>
                <w:rFonts w:ascii="Arial" w:hAnsi="Arial"/>
                <w:sz w:val="15"/>
              </w:rPr>
              <w:t>GDAL/OGR, GeoPandas, rasterio, parsers de documentos e cálculos especializados.</w:t>
            </w:r>
          </w:p>
        </w:tc>
      </w:tr>
      <w:tr>
        <w:trPr>
          <w:cantSplit/>
        </w:trPr>
        <w:tc>
          <w:tcPr>
            <w:tcW w:type="dxa" w:w="2088"/>
            <w:vAlign w:val="top"/>
          </w:tcPr>
          <w:p>
            <w:pPr>
              <w:spacing w:after="0"/>
            </w:pPr>
            <w:r>
              <w:rPr>
                <w:rFonts w:ascii="Arial" w:hAnsi="Arial"/>
                <w:sz w:val="15"/>
              </w:rPr>
              <w:t>Orquestração</w:t>
            </w:r>
          </w:p>
        </w:tc>
        <w:tc>
          <w:tcPr>
            <w:tcW w:type="dxa" w:w="2376"/>
            <w:vAlign w:val="top"/>
          </w:tcPr>
          <w:p>
            <w:pPr>
              <w:spacing w:after="0"/>
            </w:pPr>
            <w:r>
              <w:rPr>
                <w:rFonts w:ascii="Arial" w:hAnsi="Arial"/>
                <w:sz w:val="15"/>
              </w:rPr>
              <w:t>Dagster</w:t>
            </w:r>
          </w:p>
        </w:tc>
        <w:tc>
          <w:tcPr>
            <w:tcW w:type="dxa" w:w="4896"/>
            <w:vAlign w:val="top"/>
          </w:tcPr>
          <w:p>
            <w:pPr>
              <w:spacing w:after="0"/>
            </w:pPr>
            <w:r>
              <w:rPr>
                <w:rFonts w:ascii="Arial" w:hAnsi="Arial"/>
                <w:sz w:val="15"/>
              </w:rPr>
              <w:t>Pipelines agendados, dependências, reprocessamento e observabilidade dos dados.</w:t>
            </w:r>
          </w:p>
        </w:tc>
      </w:tr>
      <w:tr>
        <w:trPr>
          <w:cantSplit/>
        </w:trPr>
        <w:tc>
          <w:tcPr>
            <w:tcW w:type="dxa" w:w="2088"/>
            <w:vAlign w:val="top"/>
          </w:tcPr>
          <w:p>
            <w:pPr>
              <w:spacing w:after="0"/>
            </w:pPr>
            <w:r>
              <w:rPr>
                <w:rFonts w:ascii="Arial" w:hAnsi="Arial"/>
                <w:sz w:val="15"/>
              </w:rPr>
              <w:t>Mensageria</w:t>
            </w:r>
          </w:p>
        </w:tc>
        <w:tc>
          <w:tcPr>
            <w:tcW w:type="dxa" w:w="2376"/>
            <w:vAlign w:val="top"/>
          </w:tcPr>
          <w:p>
            <w:r>
              <w:t>NATS JetStream (baseline); Kafka somente por necessidade comprovada</w:t>
            </w:r>
          </w:p>
        </w:tc>
        <w:tc>
          <w:tcPr>
            <w:tcW w:type="dxa" w:w="4896"/>
            <w:vAlign w:val="top"/>
          </w:tcPr>
          <w:p>
            <w:pPr>
              <w:spacing w:after="0"/>
            </w:pPr>
            <w:r>
              <w:rPr>
                <w:rFonts w:ascii="Arial" w:hAnsi="Arial"/>
                <w:sz w:val="15"/>
              </w:rPr>
              <w:t>Eventos de ingestão, reanálise, atualização municipal e geração de relatório.</w:t>
            </w:r>
          </w:p>
        </w:tc>
      </w:tr>
      <w:tr>
        <w:trPr>
          <w:cantSplit/>
        </w:trPr>
        <w:tc>
          <w:tcPr>
            <w:tcW w:type="dxa" w:w="2088"/>
            <w:vAlign w:val="top"/>
          </w:tcPr>
          <w:p>
            <w:pPr>
              <w:spacing w:after="0"/>
            </w:pPr>
            <w:r>
              <w:rPr>
                <w:rFonts w:ascii="Arial" w:hAnsi="Arial"/>
                <w:sz w:val="15"/>
              </w:rPr>
              <w:t>Gateway</w:t>
            </w:r>
          </w:p>
        </w:tc>
        <w:tc>
          <w:tcPr>
            <w:tcW w:type="dxa" w:w="2376"/>
            <w:vAlign w:val="top"/>
          </w:tcPr>
          <w:p>
            <w:r>
              <w:t>Caddy no edge; Envoy apenas se houver service mesh/necessidade específica</w:t>
            </w:r>
          </w:p>
        </w:tc>
        <w:tc>
          <w:tcPr>
            <w:tcW w:type="dxa" w:w="4896"/>
            <w:vAlign w:val="top"/>
          </w:tcPr>
          <w:p>
            <w:pPr>
              <w:spacing w:after="0"/>
            </w:pPr>
            <w:r>
              <w:rPr>
                <w:rFonts w:ascii="Arial" w:hAnsi="Arial"/>
                <w:sz w:val="15"/>
              </w:rPr>
              <w:t>TLS, reverse proxy, rate limit e roteamento.</w:t>
            </w:r>
          </w:p>
        </w:tc>
      </w:tr>
      <w:tr>
        <w:trPr>
          <w:cantSplit/>
        </w:trPr>
        <w:tc>
          <w:tcPr>
            <w:tcW w:type="dxa" w:w="2088"/>
            <w:vAlign w:val="top"/>
          </w:tcPr>
          <w:p>
            <w:pPr>
              <w:spacing w:after="0"/>
            </w:pPr>
            <w:r>
              <w:rPr>
                <w:rFonts w:ascii="Arial" w:hAnsi="Arial"/>
                <w:sz w:val="15"/>
              </w:rPr>
              <w:t>IAM</w:t>
            </w:r>
          </w:p>
        </w:tc>
        <w:tc>
          <w:tcPr>
            <w:tcW w:type="dxa" w:w="2376"/>
            <w:vAlign w:val="top"/>
          </w:tcPr>
          <w:p>
            <w:r>
              <w:t>Keycloak OIDC/OAuth2 + MFA/WebAuthn</w:t>
            </w:r>
          </w:p>
        </w:tc>
        <w:tc>
          <w:tcPr>
            <w:tcW w:type="dxa" w:w="4896"/>
            <w:vAlign w:val="top"/>
          </w:tcPr>
          <w:p>
            <w:pPr>
              <w:spacing w:after="0"/>
            </w:pPr>
            <w:r>
              <w:rPr>
                <w:rFonts w:ascii="Arial" w:hAnsi="Arial"/>
                <w:sz w:val="15"/>
              </w:rPr>
              <w:t>Perfis, organizações, prefeitura, parceiro, acesso a dados licenciados/autenticados.</w:t>
            </w:r>
          </w:p>
        </w:tc>
      </w:tr>
      <w:tr>
        <w:trPr>
          <w:cantSplit/>
        </w:trPr>
        <w:tc>
          <w:tcPr>
            <w:tcW w:type="dxa" w:w="2088"/>
            <w:vAlign w:val="top"/>
          </w:tcPr>
          <w:p>
            <w:pPr>
              <w:spacing w:after="0"/>
            </w:pPr>
            <w:r>
              <w:rPr>
                <w:rFonts w:ascii="Arial" w:hAnsi="Arial"/>
                <w:sz w:val="15"/>
              </w:rPr>
              <w:t>Observabilidade</w:t>
            </w:r>
          </w:p>
        </w:tc>
        <w:tc>
          <w:tcPr>
            <w:tcW w:type="dxa" w:w="2376"/>
            <w:vAlign w:val="top"/>
          </w:tcPr>
          <w:p>
            <w:pPr>
              <w:spacing w:after="0"/>
            </w:pPr>
            <w:r>
              <w:rPr>
                <w:rFonts w:ascii="Arial" w:hAnsi="Arial"/>
                <w:sz w:val="15"/>
              </w:rPr>
              <w:t>OpenTelemetry + Prometheus/Grafana/Loki</w:t>
            </w:r>
          </w:p>
        </w:tc>
        <w:tc>
          <w:tcPr>
            <w:tcW w:type="dxa" w:w="4896"/>
            <w:vAlign w:val="top"/>
          </w:tcPr>
          <w:p>
            <w:pPr>
              <w:spacing w:after="0"/>
            </w:pPr>
            <w:r>
              <w:rPr>
                <w:rFonts w:ascii="Arial" w:hAnsi="Arial"/>
                <w:sz w:val="15"/>
              </w:rPr>
              <w:t>Métricas, tracing, logs, alertas e SLOs.</w:t>
            </w:r>
          </w:p>
        </w:tc>
      </w:tr>
      <w:tr>
        <w:trPr>
          <w:cantSplit/>
        </w:trPr>
        <w:tc>
          <w:tcPr>
            <w:tcW w:type="dxa" w:w="2088"/>
            <w:vAlign w:val="top"/>
          </w:tcPr>
          <w:p>
            <w:pPr>
              <w:spacing w:after="0"/>
            </w:pPr>
            <w:r>
              <w:rPr>
                <w:rFonts w:ascii="Arial" w:hAnsi="Arial"/>
                <w:sz w:val="15"/>
              </w:rPr>
              <w:t>Analytics</w:t>
            </w:r>
          </w:p>
        </w:tc>
        <w:tc>
          <w:tcPr>
            <w:tcW w:type="dxa" w:w="2376"/>
            <w:vAlign w:val="top"/>
          </w:tcPr>
          <w:p>
            <w:r>
              <w:t>Parquet + dbt + DuckDB; ClickHouse quando volume exigir</w:t>
            </w:r>
          </w:p>
        </w:tc>
        <w:tc>
          <w:tcPr>
            <w:tcW w:type="dxa" w:w="4896"/>
            <w:vAlign w:val="top"/>
          </w:tcPr>
          <w:p>
            <w:pPr>
              <w:spacing w:after="0"/>
            </w:pPr>
            <w:r>
              <w:rPr>
                <w:rFonts w:ascii="Arial" w:hAnsi="Arial"/>
                <w:sz w:val="15"/>
              </w:rPr>
              <w:t>Exploração, agregações de mercado e geração de indicadores sem sobrecarregar OLTP.</w:t>
            </w:r>
          </w:p>
        </w:tc>
      </w:tr>
    </w:tbl>
    <w:p>
      <w:pPr>
        <w:spacing w:after="20"/>
      </w:pPr>
    </w:p>
    <w:p>
      <w:pPr>
        <w:pStyle w:val="Heading1"/>
        <w:keepNext/>
      </w:pPr>
      <w:r>
        <w:t>10. Modelo de banco de dados por domínio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1656"/>
            <w:shd w:fill="EDEDED"/>
            <w:vAlign w:val="center"/>
          </w:tcPr>
          <w:p>
            <w:r>
              <w:rPr>
                <w:rFonts w:ascii="Arial" w:hAnsi="Arial"/>
                <w:b/>
                <w:sz w:val="14"/>
              </w:rPr>
              <w:t>Schema/domínio</w:t>
            </w:r>
          </w:p>
        </w:tc>
        <w:tc>
          <w:tcPr>
            <w:tcW w:type="dxa" w:w="7704"/>
            <w:shd w:fill="EDEDED"/>
            <w:vAlign w:val="center"/>
          </w:tcPr>
          <w:p>
            <w:r>
              <w:rPr>
                <w:rFonts w:ascii="Arial" w:hAnsi="Arial"/>
                <w:b/>
                <w:sz w:val="14"/>
              </w:rPr>
              <w:t>Tabelas principais</w:t>
            </w:r>
          </w:p>
        </w:tc>
      </w:tr>
      <w:tr>
        <w:trPr>
          <w:cantSplit/>
        </w:trPr>
        <w:tc>
          <w:tcPr>
            <w:tcW w:type="dxa" w:w="1656"/>
            <w:vAlign w:val="top"/>
          </w:tcPr>
          <w:p>
            <w:pPr>
              <w:spacing w:after="0"/>
            </w:pPr>
            <w:r>
              <w:rPr>
                <w:rFonts w:ascii="Arial" w:hAnsi="Arial"/>
                <w:sz w:val="14"/>
              </w:rPr>
              <w:t>core</w:t>
            </w:r>
          </w:p>
        </w:tc>
        <w:tc>
          <w:tcPr>
            <w:tcW w:type="dxa" w:w="7704"/>
            <w:vAlign w:val="top"/>
          </w:tcPr>
          <w:p>
            <w:pPr>
              <w:spacing w:after="0"/>
            </w:pPr>
            <w:r>
              <w:rPr>
                <w:rFonts w:ascii="Arial" w:hAnsi="Arial"/>
                <w:sz w:val="14"/>
              </w:rPr>
              <w:t>organization, user, role, permission, municipality, state, source_registry, source_credential_ref</w:t>
            </w:r>
          </w:p>
        </w:tc>
      </w:tr>
      <w:tr>
        <w:trPr>
          <w:cantSplit/>
        </w:trPr>
        <w:tc>
          <w:tcPr>
            <w:tcW w:type="dxa" w:w="1656"/>
            <w:vAlign w:val="top"/>
          </w:tcPr>
          <w:p>
            <w:pPr>
              <w:spacing w:after="0"/>
            </w:pPr>
            <w:r>
              <w:rPr>
                <w:rFonts w:ascii="Arial" w:hAnsi="Arial"/>
                <w:sz w:val="14"/>
              </w:rPr>
              <w:t>geo</w:t>
            </w:r>
          </w:p>
        </w:tc>
        <w:tc>
          <w:tcPr>
            <w:tcW w:type="dxa" w:w="7704"/>
            <w:vAlign w:val="top"/>
          </w:tcPr>
          <w:p>
            <w:pPr>
              <w:spacing w:after="0"/>
            </w:pPr>
            <w:r>
              <w:rPr>
                <w:rFonts w:ascii="Arial" w:hAnsi="Arial"/>
                <w:sz w:val="14"/>
              </w:rPr>
              <w:t>parcel, parcel_geometry_version, municipality_boundary, layer, feature, tile_config, spatial_relation, address_point</w:t>
            </w:r>
          </w:p>
        </w:tc>
      </w:tr>
      <w:tr>
        <w:trPr>
          <w:cantSplit/>
        </w:trPr>
        <w:tc>
          <w:tcPr>
            <w:tcW w:type="dxa" w:w="1656"/>
            <w:vAlign w:val="top"/>
          </w:tcPr>
          <w:p>
            <w:pPr>
              <w:spacing w:after="0"/>
            </w:pPr>
            <w:r>
              <w:rPr>
                <w:rFonts w:ascii="Arial" w:hAnsi="Arial"/>
                <w:sz w:val="14"/>
              </w:rPr>
              <w:t>legal</w:t>
            </w:r>
          </w:p>
        </w:tc>
        <w:tc>
          <w:tcPr>
            <w:tcW w:type="dxa" w:w="7704"/>
            <w:vAlign w:val="top"/>
          </w:tcPr>
          <w:p>
            <w:pPr>
              <w:spacing w:after="0"/>
            </w:pPr>
            <w:r>
              <w:rPr>
                <w:rFonts w:ascii="Arial" w:hAnsi="Arial"/>
                <w:sz w:val="14"/>
              </w:rPr>
              <w:t>document, document_version, legal_relation, article, annex, table, map_document, rule, rule_condition, legal_evidence</w:t>
            </w:r>
          </w:p>
        </w:tc>
      </w:tr>
      <w:tr>
        <w:trPr>
          <w:cantSplit/>
        </w:trPr>
        <w:tc>
          <w:tcPr>
            <w:tcW w:type="dxa" w:w="1656"/>
            <w:vAlign w:val="top"/>
          </w:tcPr>
          <w:p>
            <w:pPr>
              <w:spacing w:after="0"/>
            </w:pPr>
            <w:r>
              <w:rPr>
                <w:rFonts w:ascii="Arial" w:hAnsi="Arial"/>
                <w:sz w:val="14"/>
              </w:rPr>
              <w:t>planning</w:t>
            </w:r>
          </w:p>
        </w:tc>
        <w:tc>
          <w:tcPr>
            <w:tcW w:type="dxa" w:w="7704"/>
            <w:vAlign w:val="top"/>
          </w:tcPr>
          <w:p>
            <w:pPr>
              <w:spacing w:after="0"/>
            </w:pPr>
            <w:r>
              <w:rPr>
                <w:rFonts w:ascii="Arial" w:hAnsi="Arial"/>
                <w:sz w:val="14"/>
              </w:rPr>
              <w:t>zone, zone_geometry_version, urban_parameter, land_use_class, zone_use_permission, urban_instrument, operation_area</w:t>
            </w:r>
          </w:p>
        </w:tc>
      </w:tr>
      <w:tr>
        <w:trPr>
          <w:cantSplit/>
        </w:trPr>
        <w:tc>
          <w:tcPr>
            <w:tcW w:type="dxa" w:w="1656"/>
            <w:vAlign w:val="top"/>
          </w:tcPr>
          <w:p>
            <w:pPr>
              <w:spacing w:after="0"/>
            </w:pPr>
            <w:r>
              <w:rPr>
                <w:rFonts w:ascii="Arial" w:hAnsi="Arial"/>
                <w:sz w:val="14"/>
              </w:rPr>
              <w:t>cadastre</w:t>
            </w:r>
          </w:p>
        </w:tc>
        <w:tc>
          <w:tcPr>
            <w:tcW w:type="dxa" w:w="7704"/>
            <w:vAlign w:val="top"/>
          </w:tcPr>
          <w:p>
            <w:pPr>
              <w:spacing w:after="0"/>
            </w:pPr>
            <w:r>
              <w:rPr>
                <w:rFonts w:ascii="Arial" w:hAnsi="Arial"/>
                <w:sz w:val="14"/>
              </w:rPr>
              <w:t>municipal_property, tax_assessment, iptu_snapshot, itbi_transaction_public, building_record, cib_reference</w:t>
            </w:r>
          </w:p>
        </w:tc>
      </w:tr>
      <w:tr>
        <w:trPr>
          <w:cantSplit/>
        </w:trPr>
        <w:tc>
          <w:tcPr>
            <w:tcW w:type="dxa" w:w="1656"/>
            <w:vAlign w:val="top"/>
          </w:tcPr>
          <w:p>
            <w:pPr>
              <w:spacing w:after="0"/>
            </w:pPr>
            <w:r>
              <w:rPr>
                <w:rFonts w:ascii="Arial" w:hAnsi="Arial"/>
                <w:sz w:val="14"/>
              </w:rPr>
              <w:t>registry</w:t>
            </w:r>
          </w:p>
        </w:tc>
        <w:tc>
          <w:tcPr>
            <w:tcW w:type="dxa" w:w="7704"/>
            <w:vAlign w:val="top"/>
          </w:tcPr>
          <w:p>
            <w:pPr>
              <w:spacing w:after="0"/>
            </w:pPr>
            <w:r>
              <w:rPr>
                <w:rFonts w:ascii="Arial" w:hAnsi="Arial"/>
                <w:sz w:val="14"/>
              </w:rPr>
              <w:t>registry_reference, matricula_reference, certificate_reference, encumbrance_summary, authorized_access_log</w:t>
            </w:r>
          </w:p>
        </w:tc>
      </w:tr>
      <w:tr>
        <w:trPr>
          <w:cantSplit/>
        </w:trPr>
        <w:tc>
          <w:tcPr>
            <w:tcW w:type="dxa" w:w="1656"/>
            <w:vAlign w:val="top"/>
          </w:tcPr>
          <w:p>
            <w:pPr>
              <w:spacing w:after="0"/>
            </w:pPr>
            <w:r>
              <w:rPr>
                <w:rFonts w:ascii="Arial" w:hAnsi="Arial"/>
                <w:sz w:val="14"/>
              </w:rPr>
              <w:t>environment</w:t>
            </w:r>
          </w:p>
        </w:tc>
        <w:tc>
          <w:tcPr>
            <w:tcW w:type="dxa" w:w="7704"/>
            <w:vAlign w:val="top"/>
          </w:tcPr>
          <w:p>
            <w:pPr>
              <w:spacing w:after="0"/>
            </w:pPr>
            <w:r>
              <w:rPr>
                <w:rFonts w:ascii="Arial" w:hAnsi="Arial"/>
                <w:sz w:val="14"/>
              </w:rPr>
              <w:t>app_feature, protected_area, vegetation, embargo, contaminated_site, car_reference, environmental_license</w:t>
            </w:r>
          </w:p>
        </w:tc>
      </w:tr>
      <w:tr>
        <w:trPr>
          <w:cantSplit/>
        </w:trPr>
        <w:tc>
          <w:tcPr>
            <w:tcW w:type="dxa" w:w="1656"/>
            <w:vAlign w:val="top"/>
          </w:tcPr>
          <w:p>
            <w:pPr>
              <w:spacing w:after="0"/>
            </w:pPr>
            <w:r>
              <w:rPr>
                <w:rFonts w:ascii="Arial" w:hAnsi="Arial"/>
                <w:sz w:val="14"/>
              </w:rPr>
              <w:t>risk</w:t>
            </w:r>
          </w:p>
        </w:tc>
        <w:tc>
          <w:tcPr>
            <w:tcW w:type="dxa" w:w="7704"/>
            <w:vAlign w:val="top"/>
          </w:tcPr>
          <w:p>
            <w:pPr>
              <w:spacing w:after="0"/>
            </w:pPr>
            <w:r>
              <w:rPr>
                <w:rFonts w:ascii="Arial" w:hAnsi="Arial"/>
                <w:sz w:val="14"/>
              </w:rPr>
              <w:t>flood_zone, landslide_zone, susceptibility, geotechnical_zone, dam_influence, climate_indicator</w:t>
            </w:r>
          </w:p>
        </w:tc>
      </w:tr>
      <w:tr>
        <w:trPr>
          <w:cantSplit/>
        </w:trPr>
        <w:tc>
          <w:tcPr>
            <w:tcW w:type="dxa" w:w="1656"/>
            <w:vAlign w:val="top"/>
          </w:tcPr>
          <w:p>
            <w:pPr>
              <w:spacing w:after="0"/>
            </w:pPr>
            <w:r>
              <w:rPr>
                <w:rFonts w:ascii="Arial" w:hAnsi="Arial"/>
                <w:sz w:val="14"/>
              </w:rPr>
              <w:t>infra</w:t>
            </w:r>
          </w:p>
        </w:tc>
        <w:tc>
          <w:tcPr>
            <w:tcW w:type="dxa" w:w="7704"/>
            <w:vAlign w:val="top"/>
          </w:tcPr>
          <w:p>
            <w:pPr>
              <w:spacing w:after="0"/>
            </w:pPr>
            <w:r>
              <w:rPr>
                <w:rFonts w:ascii="Arial" w:hAnsi="Arial"/>
                <w:sz w:val="14"/>
              </w:rPr>
              <w:t>electric_asset, gas_asset, water_asset, sewer_asset, drainage_asset, telecom_indicator, utility_service_area</w:t>
            </w:r>
          </w:p>
        </w:tc>
      </w:tr>
      <w:tr>
        <w:trPr>
          <w:cantSplit/>
        </w:trPr>
        <w:tc>
          <w:tcPr>
            <w:tcW w:type="dxa" w:w="1656"/>
            <w:vAlign w:val="top"/>
          </w:tcPr>
          <w:p>
            <w:pPr>
              <w:spacing w:after="0"/>
            </w:pPr>
            <w:r>
              <w:rPr>
                <w:rFonts w:ascii="Arial" w:hAnsi="Arial"/>
                <w:sz w:val="14"/>
              </w:rPr>
              <w:t>mobility</w:t>
            </w:r>
          </w:p>
        </w:tc>
        <w:tc>
          <w:tcPr>
            <w:tcW w:type="dxa" w:w="7704"/>
            <w:vAlign w:val="top"/>
          </w:tcPr>
          <w:p>
            <w:pPr>
              <w:spacing w:after="0"/>
            </w:pPr>
            <w:r>
              <w:rPr>
                <w:rFonts w:ascii="Arial" w:hAnsi="Arial"/>
                <w:sz w:val="14"/>
              </w:rPr>
              <w:t>road_segment, official_alignment, planned_road, transit_stop, transit_route, bike_network, access_constraint</w:t>
            </w:r>
          </w:p>
        </w:tc>
      </w:tr>
      <w:tr>
        <w:trPr>
          <w:cantSplit/>
        </w:trPr>
        <w:tc>
          <w:tcPr>
            <w:tcW w:type="dxa" w:w="1656"/>
            <w:vAlign w:val="top"/>
          </w:tcPr>
          <w:p>
            <w:pPr>
              <w:spacing w:after="0"/>
            </w:pPr>
            <w:r>
              <w:rPr>
                <w:rFonts w:ascii="Arial" w:hAnsi="Arial"/>
                <w:sz w:val="14"/>
              </w:rPr>
              <w:t>heritage</w:t>
            </w:r>
          </w:p>
        </w:tc>
        <w:tc>
          <w:tcPr>
            <w:tcW w:type="dxa" w:w="7704"/>
            <w:vAlign w:val="top"/>
          </w:tcPr>
          <w:p>
            <w:pPr>
              <w:spacing w:after="0"/>
            </w:pPr>
            <w:r>
              <w:rPr>
                <w:rFonts w:ascii="Arial" w:hAnsi="Arial"/>
                <w:sz w:val="14"/>
              </w:rPr>
              <w:t>protected_asset, protection_area, archaeological_reference, heritage_rule</w:t>
            </w:r>
          </w:p>
        </w:tc>
      </w:tr>
      <w:tr>
        <w:trPr>
          <w:cantSplit/>
        </w:trPr>
        <w:tc>
          <w:tcPr>
            <w:tcW w:type="dxa" w:w="1656"/>
            <w:vAlign w:val="top"/>
          </w:tcPr>
          <w:p>
            <w:pPr>
              <w:spacing w:after="0"/>
            </w:pPr>
            <w:r>
              <w:rPr>
                <w:rFonts w:ascii="Arial" w:hAnsi="Arial"/>
                <w:sz w:val="14"/>
              </w:rPr>
              <w:t>market</w:t>
            </w:r>
          </w:p>
        </w:tc>
        <w:tc>
          <w:tcPr>
            <w:tcW w:type="dxa" w:w="7704"/>
            <w:vAlign w:val="top"/>
          </w:tcPr>
          <w:p>
            <w:pPr>
              <w:spacing w:after="0"/>
            </w:pPr>
            <w:r>
              <w:rPr>
                <w:rFonts w:ascii="Arial" w:hAnsi="Arial"/>
                <w:sz w:val="14"/>
              </w:rPr>
              <w:t>listing_observation, transaction_observation, launch, market_index, comparable_set</w:t>
            </w:r>
          </w:p>
        </w:tc>
      </w:tr>
      <w:tr>
        <w:trPr>
          <w:cantSplit/>
        </w:trPr>
        <w:tc>
          <w:tcPr>
            <w:tcW w:type="dxa" w:w="1656"/>
            <w:vAlign w:val="top"/>
          </w:tcPr>
          <w:p>
            <w:pPr>
              <w:spacing w:after="0"/>
            </w:pPr>
            <w:r>
              <w:rPr>
                <w:rFonts w:ascii="Arial" w:hAnsi="Arial"/>
                <w:sz w:val="14"/>
              </w:rPr>
              <w:t>licensing</w:t>
            </w:r>
          </w:p>
        </w:tc>
        <w:tc>
          <w:tcPr>
            <w:tcW w:type="dxa" w:w="7704"/>
            <w:vAlign w:val="top"/>
          </w:tcPr>
          <w:p>
            <w:pPr>
              <w:spacing w:after="0"/>
            </w:pPr>
            <w:r>
              <w:rPr>
                <w:rFonts w:ascii="Arial" w:hAnsi="Arial"/>
                <w:sz w:val="14"/>
              </w:rPr>
              <w:t>permit, process, inspection, violation, approval_requirement</w:t>
            </w:r>
          </w:p>
        </w:tc>
      </w:tr>
      <w:tr>
        <w:trPr>
          <w:cantSplit/>
        </w:trPr>
        <w:tc>
          <w:tcPr>
            <w:tcW w:type="dxa" w:w="1656"/>
            <w:vAlign w:val="top"/>
          </w:tcPr>
          <w:p>
            <w:pPr>
              <w:spacing w:after="0"/>
            </w:pPr>
            <w:r>
              <w:rPr>
                <w:rFonts w:ascii="Arial" w:hAnsi="Arial"/>
                <w:sz w:val="14"/>
              </w:rPr>
              <w:t>analysis</w:t>
            </w:r>
          </w:p>
        </w:tc>
        <w:tc>
          <w:tcPr>
            <w:tcW w:type="dxa" w:w="7704"/>
            <w:vAlign w:val="top"/>
          </w:tcPr>
          <w:p>
            <w:pPr>
              <w:spacing w:after="0"/>
            </w:pPr>
            <w:r>
              <w:rPr>
                <w:rFonts w:ascii="Arial" w:hAnsi="Arial"/>
                <w:sz w:val="14"/>
              </w:rPr>
              <w:t>analysis_run, analysis_input, finding, calculation, scenario, report, report_section</w:t>
            </w:r>
          </w:p>
        </w:tc>
      </w:tr>
      <w:tr>
        <w:trPr>
          <w:cantSplit/>
        </w:trPr>
        <w:tc>
          <w:tcPr>
            <w:tcW w:type="dxa" w:w="1656"/>
            <w:vAlign w:val="top"/>
          </w:tcPr>
          <w:p>
            <w:pPr>
              <w:spacing w:after="0"/>
            </w:pPr>
            <w:r>
              <w:rPr>
                <w:rFonts w:ascii="Arial" w:hAnsi="Arial"/>
                <w:sz w:val="14"/>
              </w:rPr>
              <w:t>evidence</w:t>
            </w:r>
          </w:p>
        </w:tc>
        <w:tc>
          <w:tcPr>
            <w:tcW w:type="dxa" w:w="7704"/>
            <w:vAlign w:val="top"/>
          </w:tcPr>
          <w:p>
            <w:pPr>
              <w:spacing w:after="0"/>
            </w:pPr>
            <w:r>
              <w:rPr>
                <w:rFonts w:ascii="Arial" w:hAnsi="Arial"/>
                <w:sz w:val="14"/>
              </w:rPr>
              <w:t>evidence, source_snapshot, hash, citation, quality_assessment, conflict</w:t>
            </w:r>
          </w:p>
        </w:tc>
      </w:tr>
      <w:tr>
        <w:trPr>
          <w:cantSplit/>
        </w:trPr>
        <w:tc>
          <w:tcPr>
            <w:tcW w:type="dxa" w:w="1656"/>
            <w:vAlign w:val="top"/>
          </w:tcPr>
          <w:p>
            <w:pPr>
              <w:spacing w:after="0"/>
            </w:pPr>
            <w:r>
              <w:rPr>
                <w:rFonts w:ascii="Arial" w:hAnsi="Arial"/>
                <w:sz w:val="14"/>
              </w:rPr>
              <w:t>audit</w:t>
            </w:r>
          </w:p>
        </w:tc>
        <w:tc>
          <w:tcPr>
            <w:tcW w:type="dxa" w:w="7704"/>
            <w:vAlign w:val="top"/>
          </w:tcPr>
          <w:p>
            <w:pPr>
              <w:spacing w:after="0"/>
            </w:pPr>
            <w:r>
              <w:rPr>
                <w:rFonts w:ascii="Arial" w:hAnsi="Arial"/>
                <w:sz w:val="14"/>
              </w:rPr>
              <w:t>ingestion_run, parser_run, rule_change, user_access, export_log</w:t>
            </w:r>
          </w:p>
        </w:tc>
      </w:tr>
    </w:tbl>
    <w:p>
      <w:pPr>
        <w:spacing w:after="20"/>
      </w:pPr>
    </w:p>
    <w:p>
      <w:pPr>
        <w:pStyle w:val="Heading1"/>
        <w:keepNext/>
      </w:pPr>
      <w:r>
        <w:t>11. Motor espacial e Parcel Resolver</w:t>
      </w:r>
    </w:p>
    <w:p>
      <w:pPr>
        <w:spacing w:after="30"/>
        <w:ind w:left="259" w:hanging="173"/>
      </w:pPr>
      <w:r>
        <w:t xml:space="preserve">• </w:t>
      </w:r>
      <w:r>
        <w:t>Entrada aceita: endereço, coordenada, polígono, inscrição municipal, CIB, matrícula de referência ou upload de GeoJSON/KML/SHP.</w:t>
      </w:r>
    </w:p>
    <w:p>
      <w:pPr>
        <w:spacing w:after="30"/>
        <w:ind w:left="259" w:hanging="173"/>
      </w:pPr>
      <w:r>
        <w:t xml:space="preserve">• </w:t>
      </w:r>
      <w:r>
        <w:t>Geocodificar e determinar município/UF/geocódigo.</w:t>
      </w:r>
    </w:p>
    <w:p>
      <w:pPr>
        <w:spacing w:after="30"/>
        <w:ind w:left="259" w:hanging="173"/>
      </w:pPr>
      <w:r>
        <w:t xml:space="preserve">• </w:t>
      </w:r>
      <w:r>
        <w:t>Encontrar lote fiscal por ST_Contains/ST_Intersects; se houver múltiplos candidatos, retornar ranking e solicitar confirmação.</w:t>
      </w:r>
    </w:p>
    <w:p>
      <w:pPr>
        <w:spacing w:after="30"/>
        <w:ind w:left="259" w:hanging="173"/>
      </w:pPr>
      <w:r>
        <w:t xml:space="preserve">• </w:t>
      </w:r>
      <w:r>
        <w:t>Comparar geometria do lote, cadastro, SINTER e geometria fornecida pelo usuário.</w:t>
      </w:r>
    </w:p>
    <w:p>
      <w:pPr>
        <w:spacing w:after="30"/>
        <w:ind w:left="259" w:hanging="173"/>
      </w:pPr>
      <w:r>
        <w:t xml:space="preserve">• </w:t>
      </w:r>
      <w:r>
        <w:t>Executar intersections para zoneamento, ambiente, risco, patrimônio, infraestrutura e servidões.</w:t>
      </w:r>
    </w:p>
    <w:p>
      <w:pPr>
        <w:spacing w:after="30"/>
        <w:ind w:left="259" w:hanging="173"/>
      </w:pPr>
      <w:r>
        <w:t xml:space="preserve">• </w:t>
      </w:r>
      <w:r>
        <w:t>Executar ST_DWithin/ST_Distance para equipamentos, transporte, redes e interferências.</w:t>
      </w:r>
    </w:p>
    <w:p>
      <w:pPr>
        <w:spacing w:after="30"/>
        <w:ind w:left="259" w:hanging="173"/>
      </w:pPr>
      <w:r>
        <w:t xml:space="preserve">• </w:t>
      </w:r>
      <w:r>
        <w:t>Gerar buffers configuráveis e estatísticas de entorno.</w:t>
      </w:r>
    </w:p>
    <w:p>
      <w:pPr>
        <w:spacing w:after="30"/>
        <w:ind w:left="259" w:hanging="173"/>
      </w:pPr>
      <w:r>
        <w:t xml:space="preserve">• </w:t>
      </w:r>
      <w:r>
        <w:t>Reprojetar para sistemas adequados ao cálculo de área/distância; armazenar origem e SRID.</w:t>
      </w:r>
    </w:p>
    <w:p>
      <w:pPr>
        <w:spacing w:after="30"/>
        <w:ind w:left="259" w:hanging="173"/>
      </w:pPr>
      <w:r>
        <w:t xml:space="preserve">• </w:t>
      </w:r>
      <w:r>
        <w:t>Usar versão temporal das geometrias quando zoneamento/mapa mudou ao longo do tempo.</w:t>
      </w:r>
    </w:p>
    <w:p>
      <w:pPr>
        <w:spacing w:after="30"/>
        <w:ind w:left="259" w:hanging="173"/>
      </w:pPr>
      <w:r>
        <w:t xml:space="preserve">• </w:t>
      </w:r>
      <w:r>
        <w:t>Guardar cada relação espacial como evidência reproduzível: feature_id, operação, distância/área de interseção e versão da camada.</w:t>
      </w:r>
    </w:p>
    <w:p>
      <w:pPr>
        <w:pStyle w:val="Heading1"/>
        <w:keepNext/>
      </w:pPr>
      <w:r>
        <w:t>12. Motor de regras e cálculos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1944"/>
            <w:shd w:fill="EDEDED"/>
            <w:vAlign w:val="center"/>
          </w:tcPr>
          <w:p>
            <w:r>
              <w:rPr>
                <w:rFonts w:ascii="Arial" w:hAnsi="Arial"/>
                <w:b/>
                <w:sz w:val="15"/>
              </w:rPr>
              <w:t>Cálculo</w:t>
            </w:r>
          </w:p>
        </w:tc>
        <w:tc>
          <w:tcPr>
            <w:tcW w:type="dxa" w:w="3024"/>
            <w:shd w:fill="EDEDED"/>
            <w:vAlign w:val="center"/>
          </w:tcPr>
          <w:p>
            <w:r>
              <w:rPr>
                <w:rFonts w:ascii="Arial" w:hAnsi="Arial"/>
                <w:b/>
                <w:sz w:val="15"/>
              </w:rPr>
              <w:t>Modelo</w:t>
            </w:r>
          </w:p>
        </w:tc>
        <w:tc>
          <w:tcPr>
            <w:tcW w:type="dxa" w:w="4392"/>
            <w:shd w:fill="EDEDED"/>
            <w:vAlign w:val="center"/>
          </w:tcPr>
          <w:p>
            <w:r>
              <w:rPr>
                <w:rFonts w:ascii="Arial" w:hAnsi="Arial"/>
                <w:b/>
                <w:sz w:val="15"/>
              </w:rPr>
              <w:t>Controle</w:t>
            </w:r>
          </w:p>
        </w:tc>
      </w:tr>
      <w:tr>
        <w:trPr>
          <w:cantSplit/>
        </w:trPr>
        <w:tc>
          <w:tcPr>
            <w:tcW w:type="dxa" w:w="1944"/>
            <w:vAlign w:val="top"/>
          </w:tcPr>
          <w:p>
            <w:pPr>
              <w:spacing w:after="0"/>
            </w:pPr>
            <w:r>
              <w:rPr>
                <w:rFonts w:ascii="Arial" w:hAnsi="Arial"/>
                <w:sz w:val="15"/>
              </w:rPr>
              <w:t>Potencial básico</w:t>
            </w:r>
          </w:p>
        </w:tc>
        <w:tc>
          <w:tcPr>
            <w:tcW w:type="dxa" w:w="3024"/>
            <w:vAlign w:val="top"/>
          </w:tcPr>
          <w:p>
            <w:pPr>
              <w:spacing w:after="0"/>
            </w:pPr>
            <w:r>
              <w:rPr>
                <w:rFonts w:ascii="Arial" w:hAnsi="Arial"/>
                <w:sz w:val="15"/>
              </w:rPr>
              <w:t>área_lote × CA_básico</w:t>
            </w:r>
          </w:p>
        </w:tc>
        <w:tc>
          <w:tcPr>
            <w:tcW w:type="dxa" w:w="4392"/>
            <w:vAlign w:val="top"/>
          </w:tcPr>
          <w:p>
            <w:pPr>
              <w:spacing w:after="0"/>
            </w:pPr>
            <w:r>
              <w:rPr>
                <w:rFonts w:ascii="Arial" w:hAnsi="Arial"/>
                <w:sz w:val="15"/>
              </w:rPr>
              <w:t>Exibir como potencial teórico, sujeito às demais limitações.</w:t>
            </w:r>
          </w:p>
        </w:tc>
      </w:tr>
      <w:tr>
        <w:trPr>
          <w:cantSplit/>
        </w:trPr>
        <w:tc>
          <w:tcPr>
            <w:tcW w:type="dxa" w:w="1944"/>
            <w:vAlign w:val="top"/>
          </w:tcPr>
          <w:p>
            <w:pPr>
              <w:spacing w:after="0"/>
            </w:pPr>
            <w:r>
              <w:rPr>
                <w:rFonts w:ascii="Arial" w:hAnsi="Arial"/>
                <w:sz w:val="15"/>
              </w:rPr>
              <w:t>Potencial máximo</w:t>
            </w:r>
          </w:p>
        </w:tc>
        <w:tc>
          <w:tcPr>
            <w:tcW w:type="dxa" w:w="3024"/>
            <w:vAlign w:val="top"/>
          </w:tcPr>
          <w:p>
            <w:pPr>
              <w:spacing w:after="0"/>
            </w:pPr>
            <w:r>
              <w:rPr>
                <w:rFonts w:ascii="Arial" w:hAnsi="Arial"/>
                <w:sz w:val="15"/>
              </w:rPr>
              <w:t>área_lote × CA_máximo</w:t>
            </w:r>
          </w:p>
        </w:tc>
        <w:tc>
          <w:tcPr>
            <w:tcW w:type="dxa" w:w="4392"/>
            <w:vAlign w:val="top"/>
          </w:tcPr>
          <w:p>
            <w:pPr>
              <w:spacing w:after="0"/>
            </w:pPr>
            <w:r>
              <w:rPr>
                <w:rFonts w:ascii="Arial" w:hAnsi="Arial"/>
                <w:sz w:val="15"/>
              </w:rPr>
              <w:t>Não confundir com área vendável.</w:t>
            </w:r>
          </w:p>
        </w:tc>
      </w:tr>
      <w:tr>
        <w:trPr>
          <w:cantSplit/>
        </w:trPr>
        <w:tc>
          <w:tcPr>
            <w:tcW w:type="dxa" w:w="1944"/>
            <w:vAlign w:val="top"/>
          </w:tcPr>
          <w:p>
            <w:pPr>
              <w:spacing w:after="0"/>
            </w:pPr>
            <w:r>
              <w:rPr>
                <w:rFonts w:ascii="Arial" w:hAnsi="Arial"/>
                <w:sz w:val="15"/>
              </w:rPr>
              <w:t>Projeção máxima</w:t>
            </w:r>
          </w:p>
        </w:tc>
        <w:tc>
          <w:tcPr>
            <w:tcW w:type="dxa" w:w="3024"/>
            <w:vAlign w:val="top"/>
          </w:tcPr>
          <w:p>
            <w:pPr>
              <w:spacing w:after="0"/>
            </w:pPr>
            <w:r>
              <w:rPr>
                <w:rFonts w:ascii="Arial" w:hAnsi="Arial"/>
                <w:sz w:val="15"/>
              </w:rPr>
              <w:t>área_lote × TO</w:t>
            </w:r>
          </w:p>
        </w:tc>
        <w:tc>
          <w:tcPr>
            <w:tcW w:type="dxa" w:w="4392"/>
            <w:vAlign w:val="top"/>
          </w:tcPr>
          <w:p>
            <w:pPr>
              <w:spacing w:after="0"/>
            </w:pPr>
            <w:r>
              <w:rPr>
                <w:rFonts w:ascii="Arial" w:hAnsi="Arial"/>
                <w:sz w:val="15"/>
              </w:rPr>
              <w:t>Validar recuos e áreas não ocupáveis.</w:t>
            </w:r>
          </w:p>
        </w:tc>
      </w:tr>
      <w:tr>
        <w:trPr>
          <w:cantSplit/>
        </w:trPr>
        <w:tc>
          <w:tcPr>
            <w:tcW w:type="dxa" w:w="1944"/>
            <w:vAlign w:val="top"/>
          </w:tcPr>
          <w:p>
            <w:pPr>
              <w:spacing w:after="0"/>
            </w:pPr>
            <w:r>
              <w:rPr>
                <w:rFonts w:ascii="Arial" w:hAnsi="Arial"/>
                <w:sz w:val="15"/>
              </w:rPr>
              <w:t>Permeável mínima</w:t>
            </w:r>
          </w:p>
        </w:tc>
        <w:tc>
          <w:tcPr>
            <w:tcW w:type="dxa" w:w="3024"/>
            <w:vAlign w:val="top"/>
          </w:tcPr>
          <w:p>
            <w:pPr>
              <w:spacing w:after="0"/>
            </w:pPr>
            <w:r>
              <w:rPr>
                <w:rFonts w:ascii="Arial" w:hAnsi="Arial"/>
                <w:sz w:val="15"/>
              </w:rPr>
              <w:t>área_lote × TP</w:t>
            </w:r>
          </w:p>
        </w:tc>
        <w:tc>
          <w:tcPr>
            <w:tcW w:type="dxa" w:w="4392"/>
            <w:vAlign w:val="top"/>
          </w:tcPr>
          <w:p>
            <w:pPr>
              <w:spacing w:after="0"/>
            </w:pPr>
            <w:r>
              <w:rPr>
                <w:rFonts w:ascii="Arial" w:hAnsi="Arial"/>
                <w:sz w:val="15"/>
              </w:rPr>
              <w:t>Aplicar regras locais de equivalência/compensação.</w:t>
            </w:r>
          </w:p>
        </w:tc>
      </w:tr>
      <w:tr>
        <w:trPr>
          <w:cantSplit/>
        </w:trPr>
        <w:tc>
          <w:tcPr>
            <w:tcW w:type="dxa" w:w="1944"/>
            <w:vAlign w:val="top"/>
          </w:tcPr>
          <w:p>
            <w:pPr>
              <w:spacing w:after="0"/>
            </w:pPr>
            <w:r>
              <w:rPr>
                <w:rFonts w:ascii="Arial" w:hAnsi="Arial"/>
                <w:sz w:val="15"/>
              </w:rPr>
              <w:t>Outorga</w:t>
            </w:r>
          </w:p>
        </w:tc>
        <w:tc>
          <w:tcPr>
            <w:tcW w:type="dxa" w:w="3024"/>
            <w:vAlign w:val="top"/>
          </w:tcPr>
          <w:p>
            <w:pPr>
              <w:spacing w:after="0"/>
            </w:pPr>
            <w:r>
              <w:rPr>
                <w:rFonts w:ascii="Arial" w:hAnsi="Arial"/>
                <w:sz w:val="15"/>
              </w:rPr>
              <w:t>fórmula municipal parametrizada</w:t>
            </w:r>
          </w:p>
        </w:tc>
        <w:tc>
          <w:tcPr>
            <w:tcW w:type="dxa" w:w="4392"/>
            <w:vAlign w:val="top"/>
          </w:tcPr>
          <w:p>
            <w:pPr>
              <w:spacing w:after="0"/>
            </w:pPr>
            <w:r>
              <w:rPr>
                <w:rFonts w:ascii="Arial" w:hAnsi="Arial"/>
                <w:sz w:val="15"/>
              </w:rPr>
              <w:t>Guardar fatores e valor base usado.</w:t>
            </w:r>
          </w:p>
        </w:tc>
      </w:tr>
      <w:tr>
        <w:trPr>
          <w:cantSplit/>
        </w:trPr>
        <w:tc>
          <w:tcPr>
            <w:tcW w:type="dxa" w:w="1944"/>
            <w:vAlign w:val="top"/>
          </w:tcPr>
          <w:p>
            <w:pPr>
              <w:spacing w:after="0"/>
            </w:pPr>
            <w:r>
              <w:rPr>
                <w:rFonts w:ascii="Arial" w:hAnsi="Arial"/>
                <w:sz w:val="15"/>
              </w:rPr>
              <w:t>Área de interseção</w:t>
            </w:r>
          </w:p>
        </w:tc>
        <w:tc>
          <w:tcPr>
            <w:tcW w:type="dxa" w:w="3024"/>
            <w:vAlign w:val="top"/>
          </w:tcPr>
          <w:p>
            <w:pPr>
              <w:spacing w:after="0"/>
            </w:pPr>
            <w:r>
              <w:rPr>
                <w:rFonts w:ascii="Arial" w:hAnsi="Arial"/>
                <w:sz w:val="15"/>
              </w:rPr>
              <w:t>ST_Area(ST_Intersection(...))</w:t>
            </w:r>
          </w:p>
        </w:tc>
        <w:tc>
          <w:tcPr>
            <w:tcW w:type="dxa" w:w="4392"/>
            <w:vAlign w:val="top"/>
          </w:tcPr>
          <w:p>
            <w:pPr>
              <w:spacing w:after="0"/>
            </w:pPr>
            <w:r>
              <w:rPr>
                <w:rFonts w:ascii="Arial" w:hAnsi="Arial"/>
                <w:sz w:val="15"/>
              </w:rPr>
              <w:t>Usar SRID adequado e registrar precisão.</w:t>
            </w:r>
          </w:p>
        </w:tc>
      </w:tr>
      <w:tr>
        <w:trPr>
          <w:cantSplit/>
        </w:trPr>
        <w:tc>
          <w:tcPr>
            <w:tcW w:type="dxa" w:w="1944"/>
            <w:vAlign w:val="top"/>
          </w:tcPr>
          <w:p>
            <w:pPr>
              <w:spacing w:after="0"/>
            </w:pPr>
            <w:r>
              <w:rPr>
                <w:rFonts w:ascii="Arial" w:hAnsi="Arial"/>
                <w:sz w:val="15"/>
              </w:rPr>
              <w:t>Distância</w:t>
            </w:r>
          </w:p>
        </w:tc>
        <w:tc>
          <w:tcPr>
            <w:tcW w:type="dxa" w:w="3024"/>
            <w:vAlign w:val="top"/>
          </w:tcPr>
          <w:p>
            <w:pPr>
              <w:spacing w:after="0"/>
            </w:pPr>
            <w:r>
              <w:rPr>
                <w:rFonts w:ascii="Arial" w:hAnsi="Arial"/>
                <w:sz w:val="15"/>
              </w:rPr>
              <w:t>ST_Distance geodesic/geography</w:t>
            </w:r>
          </w:p>
        </w:tc>
        <w:tc>
          <w:tcPr>
            <w:tcW w:type="dxa" w:w="4392"/>
            <w:vAlign w:val="top"/>
          </w:tcPr>
          <w:p>
            <w:pPr>
              <w:spacing w:after="0"/>
            </w:pPr>
            <w:r>
              <w:rPr>
                <w:rFonts w:ascii="Arial" w:hAnsi="Arial"/>
                <w:sz w:val="15"/>
              </w:rPr>
              <w:t>Mostrar método e unidade.</w:t>
            </w:r>
          </w:p>
        </w:tc>
      </w:tr>
      <w:tr>
        <w:trPr>
          <w:cantSplit/>
        </w:trPr>
        <w:tc>
          <w:tcPr>
            <w:tcW w:type="dxa" w:w="1944"/>
            <w:vAlign w:val="top"/>
          </w:tcPr>
          <w:p>
            <w:pPr>
              <w:spacing w:after="0"/>
            </w:pPr>
            <w:r>
              <w:rPr>
                <w:rFonts w:ascii="Arial" w:hAnsi="Arial"/>
                <w:sz w:val="15"/>
              </w:rPr>
              <w:t>Envelope</w:t>
            </w:r>
          </w:p>
        </w:tc>
        <w:tc>
          <w:tcPr>
            <w:tcW w:type="dxa" w:w="3024"/>
            <w:vAlign w:val="top"/>
          </w:tcPr>
          <w:p>
            <w:pPr>
              <w:spacing w:after="0"/>
            </w:pPr>
            <w:r>
              <w:rPr>
                <w:rFonts w:ascii="Arial" w:hAnsi="Arial"/>
                <w:sz w:val="15"/>
              </w:rPr>
              <w:t>lote − recuos − áreas não edificáveis + altura</w:t>
            </w:r>
          </w:p>
        </w:tc>
        <w:tc>
          <w:tcPr>
            <w:tcW w:type="dxa" w:w="4392"/>
            <w:vAlign w:val="top"/>
          </w:tcPr>
          <w:p>
            <w:pPr>
              <w:spacing w:after="0"/>
            </w:pPr>
            <w:r>
              <w:rPr>
                <w:rFonts w:ascii="Arial" w:hAnsi="Arial"/>
                <w:sz w:val="15"/>
              </w:rPr>
              <w:t>Resultado preliminar, não projeto executivo.</w:t>
            </w:r>
          </w:p>
        </w:tc>
      </w:tr>
      <w:tr>
        <w:trPr>
          <w:cantSplit/>
        </w:trPr>
        <w:tc>
          <w:tcPr>
            <w:tcW w:type="dxa" w:w="1944"/>
            <w:vAlign w:val="top"/>
          </w:tcPr>
          <w:p>
            <w:pPr>
              <w:spacing w:after="0"/>
            </w:pPr>
            <w:r>
              <w:rPr>
                <w:rFonts w:ascii="Arial" w:hAnsi="Arial"/>
                <w:sz w:val="15"/>
              </w:rPr>
              <w:t>Cenários</w:t>
            </w:r>
          </w:p>
        </w:tc>
        <w:tc>
          <w:tcPr>
            <w:tcW w:type="dxa" w:w="3024"/>
            <w:vAlign w:val="top"/>
          </w:tcPr>
          <w:p>
            <w:pPr>
              <w:spacing w:after="0"/>
            </w:pPr>
            <w:r>
              <w:rPr>
                <w:rFonts w:ascii="Arial" w:hAnsi="Arial"/>
                <w:sz w:val="15"/>
              </w:rPr>
              <w:t>conservador/provável/máximo</w:t>
            </w:r>
          </w:p>
        </w:tc>
        <w:tc>
          <w:tcPr>
            <w:tcW w:type="dxa" w:w="4392"/>
            <w:vAlign w:val="top"/>
          </w:tcPr>
          <w:p>
            <w:pPr>
              <w:spacing w:after="0"/>
            </w:pPr>
            <w:r>
              <w:rPr>
                <w:rFonts w:ascii="Arial" w:hAnsi="Arial"/>
                <w:sz w:val="15"/>
              </w:rPr>
              <w:t>Hipóteses explícitas e comparáveis.</w:t>
            </w:r>
          </w:p>
        </w:tc>
      </w:tr>
      <w:tr>
        <w:trPr>
          <w:cantSplit/>
        </w:trPr>
        <w:tc>
          <w:tcPr>
            <w:tcW w:type="dxa" w:w="1944"/>
            <w:vAlign w:val="top"/>
          </w:tcPr>
          <w:p>
            <w:pPr>
              <w:spacing w:after="0"/>
            </w:pPr>
            <w:r>
              <w:rPr>
                <w:rFonts w:ascii="Arial" w:hAnsi="Arial"/>
                <w:sz w:val="15"/>
              </w:rPr>
              <w:t>Score de risco</w:t>
            </w:r>
          </w:p>
        </w:tc>
        <w:tc>
          <w:tcPr>
            <w:tcW w:type="dxa" w:w="3024"/>
            <w:vAlign w:val="top"/>
          </w:tcPr>
          <w:p>
            <w:pPr>
              <w:spacing w:after="0"/>
            </w:pPr>
            <w:r>
              <w:rPr>
                <w:rFonts w:ascii="Arial" w:hAnsi="Arial"/>
                <w:sz w:val="15"/>
              </w:rPr>
              <w:t>regra transparente por categoria</w:t>
            </w:r>
          </w:p>
        </w:tc>
        <w:tc>
          <w:tcPr>
            <w:tcW w:type="dxa" w:w="4392"/>
            <w:vAlign w:val="top"/>
          </w:tcPr>
          <w:p>
            <w:pPr>
              <w:spacing w:after="0"/>
            </w:pPr>
            <w:r>
              <w:rPr>
                <w:rFonts w:ascii="Arial" w:hAnsi="Arial"/>
                <w:sz w:val="15"/>
              </w:rPr>
              <w:t>Nunca substituir laudo técnico.</w:t>
            </w:r>
          </w:p>
        </w:tc>
      </w:tr>
    </w:tbl>
    <w:p>
      <w:pPr>
        <w:spacing w:after="20"/>
      </w:pPr>
    </w:p>
    <w:p>
      <w:pPr>
        <w:pStyle w:val="Heading1"/>
        <w:keepNext/>
      </w:pPr>
      <w:r>
        <w:t>13. Contratos de API recomendados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3312"/>
            <w:shd w:fill="EDEDED"/>
            <w:vAlign w:val="center"/>
          </w:tcPr>
          <w:p>
            <w:r>
              <w:rPr>
                <w:rFonts w:ascii="Arial" w:hAnsi="Arial"/>
                <w:b/>
                <w:sz w:val="16"/>
              </w:rPr>
              <w:t>Endpoint</w:t>
            </w:r>
          </w:p>
        </w:tc>
        <w:tc>
          <w:tcPr>
            <w:tcW w:type="dxa" w:w="6048"/>
            <w:shd w:fill="EDEDED"/>
            <w:vAlign w:val="center"/>
          </w:tcPr>
          <w:p>
            <w:r>
              <w:rPr>
                <w:rFonts w:ascii="Arial" w:hAnsi="Arial"/>
                <w:b/>
                <w:sz w:val="16"/>
              </w:rPr>
              <w:t>Função</w:t>
            </w:r>
          </w:p>
        </w:tc>
      </w:tr>
      <w:tr>
        <w:trPr>
          <w:cantSplit/>
        </w:trPr>
        <w:tc>
          <w:tcPr>
            <w:tcW w:type="dxa" w:w="3312"/>
            <w:vAlign w:val="top"/>
          </w:tcPr>
          <w:p>
            <w:pPr>
              <w:spacing w:after="0"/>
            </w:pPr>
            <w:r>
              <w:rPr>
                <w:rFonts w:ascii="Arial" w:hAnsi="Arial"/>
                <w:sz w:val="16"/>
              </w:rPr>
              <w:t>POST /parcel/resolve</w:t>
            </w:r>
          </w:p>
        </w:tc>
        <w:tc>
          <w:tcPr>
            <w:tcW w:type="dxa" w:w="6048"/>
            <w:vAlign w:val="top"/>
          </w:tcPr>
          <w:p>
            <w:pPr>
              <w:spacing w:after="0"/>
            </w:pPr>
            <w:r>
              <w:rPr>
                <w:rFonts w:ascii="Arial" w:hAnsi="Arial"/>
                <w:sz w:val="16"/>
              </w:rPr>
              <w:t>Resolver imóvel a partir de endereço/CIB/inscrição/polígono.</w:t>
            </w:r>
          </w:p>
        </w:tc>
      </w:tr>
      <w:tr>
        <w:trPr>
          <w:cantSplit/>
        </w:trPr>
        <w:tc>
          <w:tcPr>
            <w:tcW w:type="dxa" w:w="3312"/>
            <w:vAlign w:val="top"/>
          </w:tcPr>
          <w:p>
            <w:pPr>
              <w:spacing w:after="0"/>
            </w:pPr>
            <w:r>
              <w:rPr>
                <w:rFonts w:ascii="Arial" w:hAnsi="Arial"/>
                <w:sz w:val="16"/>
              </w:rPr>
              <w:t>GET /municipalities/{ibge}/coverage</w:t>
            </w:r>
          </w:p>
        </w:tc>
        <w:tc>
          <w:tcPr>
            <w:tcW w:type="dxa" w:w="6048"/>
            <w:vAlign w:val="top"/>
          </w:tcPr>
          <w:p>
            <w:pPr>
              <w:spacing w:after="0"/>
            </w:pPr>
            <w:r>
              <w:rPr>
                <w:rFonts w:ascii="Arial" w:hAnsi="Arial"/>
                <w:sz w:val="16"/>
              </w:rPr>
              <w:t>Mostrar quais fontes/camadas estão disponíveis e sua saúde.</w:t>
            </w:r>
          </w:p>
        </w:tc>
      </w:tr>
      <w:tr>
        <w:trPr>
          <w:cantSplit/>
        </w:trPr>
        <w:tc>
          <w:tcPr>
            <w:tcW w:type="dxa" w:w="3312"/>
            <w:vAlign w:val="top"/>
          </w:tcPr>
          <w:p>
            <w:pPr>
              <w:spacing w:after="0"/>
            </w:pPr>
            <w:r>
              <w:rPr>
                <w:rFonts w:ascii="Arial" w:hAnsi="Arial"/>
                <w:sz w:val="16"/>
              </w:rPr>
              <w:t>GET /laws/search</w:t>
            </w:r>
          </w:p>
        </w:tc>
        <w:tc>
          <w:tcPr>
            <w:tcW w:type="dxa" w:w="6048"/>
            <w:vAlign w:val="top"/>
          </w:tcPr>
          <w:p>
            <w:pPr>
              <w:spacing w:after="0"/>
            </w:pPr>
            <w:r>
              <w:rPr>
                <w:rFonts w:ascii="Arial" w:hAnsi="Arial"/>
                <w:sz w:val="16"/>
              </w:rPr>
              <w:t>Pesquisar leis, artigos, anexos e versões.</w:t>
            </w:r>
          </w:p>
        </w:tc>
      </w:tr>
      <w:tr>
        <w:trPr>
          <w:cantSplit/>
        </w:trPr>
        <w:tc>
          <w:tcPr>
            <w:tcW w:type="dxa" w:w="3312"/>
            <w:vAlign w:val="top"/>
          </w:tcPr>
          <w:p>
            <w:pPr>
              <w:spacing w:after="0"/>
            </w:pPr>
            <w:r>
              <w:rPr>
                <w:rFonts w:ascii="Arial" w:hAnsi="Arial"/>
                <w:sz w:val="16"/>
              </w:rPr>
              <w:t>GET /rules/effective</w:t>
            </w:r>
          </w:p>
        </w:tc>
        <w:tc>
          <w:tcPr>
            <w:tcW w:type="dxa" w:w="6048"/>
            <w:vAlign w:val="top"/>
          </w:tcPr>
          <w:p>
            <w:pPr>
              <w:spacing w:after="0"/>
            </w:pPr>
            <w:r>
              <w:rPr>
                <w:rFonts w:ascii="Arial" w:hAnsi="Arial"/>
                <w:sz w:val="16"/>
              </w:rPr>
              <w:t>Retornar regras vigentes para zona/data.</w:t>
            </w:r>
          </w:p>
        </w:tc>
      </w:tr>
      <w:tr>
        <w:trPr>
          <w:cantSplit/>
        </w:trPr>
        <w:tc>
          <w:tcPr>
            <w:tcW w:type="dxa" w:w="3312"/>
            <w:vAlign w:val="top"/>
          </w:tcPr>
          <w:p>
            <w:pPr>
              <w:spacing w:after="0"/>
            </w:pPr>
            <w:r>
              <w:rPr>
                <w:rFonts w:ascii="Arial" w:hAnsi="Arial"/>
                <w:sz w:val="16"/>
              </w:rPr>
              <w:t>POST /spatial/intersections</w:t>
            </w:r>
          </w:p>
        </w:tc>
        <w:tc>
          <w:tcPr>
            <w:tcW w:type="dxa" w:w="6048"/>
            <w:vAlign w:val="top"/>
          </w:tcPr>
          <w:p>
            <w:pPr>
              <w:spacing w:after="0"/>
            </w:pPr>
            <w:r>
              <w:rPr>
                <w:rFonts w:ascii="Arial" w:hAnsi="Arial"/>
                <w:sz w:val="16"/>
              </w:rPr>
              <w:t>Cruzar polígono com camadas selecionadas.</w:t>
            </w:r>
          </w:p>
        </w:tc>
      </w:tr>
      <w:tr>
        <w:trPr>
          <w:cantSplit/>
        </w:trPr>
        <w:tc>
          <w:tcPr>
            <w:tcW w:type="dxa" w:w="3312"/>
            <w:vAlign w:val="top"/>
          </w:tcPr>
          <w:p>
            <w:pPr>
              <w:spacing w:after="0"/>
            </w:pPr>
            <w:r>
              <w:rPr>
                <w:rFonts w:ascii="Arial" w:hAnsi="Arial"/>
                <w:sz w:val="16"/>
              </w:rPr>
              <w:t>GET /nearby</w:t>
            </w:r>
          </w:p>
        </w:tc>
        <w:tc>
          <w:tcPr>
            <w:tcW w:type="dxa" w:w="6048"/>
            <w:vAlign w:val="top"/>
          </w:tcPr>
          <w:p>
            <w:pPr>
              <w:spacing w:after="0"/>
            </w:pPr>
            <w:r>
              <w:rPr>
                <w:rFonts w:ascii="Arial" w:hAnsi="Arial"/>
                <w:sz w:val="16"/>
              </w:rPr>
              <w:t>Equipamentos/infraestrutura por distância.</w:t>
            </w:r>
          </w:p>
        </w:tc>
      </w:tr>
      <w:tr>
        <w:trPr>
          <w:cantSplit/>
        </w:trPr>
        <w:tc>
          <w:tcPr>
            <w:tcW w:type="dxa" w:w="3312"/>
            <w:vAlign w:val="top"/>
          </w:tcPr>
          <w:p>
            <w:pPr>
              <w:spacing w:after="0"/>
            </w:pPr>
            <w:r>
              <w:rPr>
                <w:rFonts w:ascii="Arial" w:hAnsi="Arial"/>
                <w:sz w:val="16"/>
              </w:rPr>
              <w:t>POST /analysis</w:t>
            </w:r>
          </w:p>
        </w:tc>
        <w:tc>
          <w:tcPr>
            <w:tcW w:type="dxa" w:w="6048"/>
            <w:vAlign w:val="top"/>
          </w:tcPr>
          <w:p>
            <w:pPr>
              <w:spacing w:after="0"/>
            </w:pPr>
            <w:r>
              <w:rPr>
                <w:rFonts w:ascii="Arial" w:hAnsi="Arial"/>
                <w:sz w:val="16"/>
              </w:rPr>
              <w:t>Executar análise completa e gerar findings/cálculos.</w:t>
            </w:r>
          </w:p>
        </w:tc>
      </w:tr>
      <w:tr>
        <w:trPr>
          <w:cantSplit/>
        </w:trPr>
        <w:tc>
          <w:tcPr>
            <w:tcW w:type="dxa" w:w="3312"/>
            <w:vAlign w:val="top"/>
          </w:tcPr>
          <w:p>
            <w:pPr>
              <w:spacing w:after="0"/>
            </w:pPr>
            <w:r>
              <w:rPr>
                <w:rFonts w:ascii="Arial" w:hAnsi="Arial"/>
                <w:sz w:val="16"/>
              </w:rPr>
              <w:t>GET /analysis/{id}/evidence</w:t>
            </w:r>
          </w:p>
        </w:tc>
        <w:tc>
          <w:tcPr>
            <w:tcW w:type="dxa" w:w="6048"/>
            <w:vAlign w:val="top"/>
          </w:tcPr>
          <w:p>
            <w:pPr>
              <w:spacing w:after="0"/>
            </w:pPr>
            <w:r>
              <w:rPr>
                <w:rFonts w:ascii="Arial" w:hAnsi="Arial"/>
                <w:sz w:val="16"/>
              </w:rPr>
              <w:t>Evidências e conflitos da análise.</w:t>
            </w:r>
          </w:p>
        </w:tc>
      </w:tr>
      <w:tr>
        <w:trPr>
          <w:cantSplit/>
        </w:trPr>
        <w:tc>
          <w:tcPr>
            <w:tcW w:type="dxa" w:w="3312"/>
            <w:vAlign w:val="top"/>
          </w:tcPr>
          <w:p>
            <w:pPr>
              <w:spacing w:after="0"/>
            </w:pPr>
            <w:r>
              <w:rPr>
                <w:rFonts w:ascii="Arial" w:hAnsi="Arial"/>
                <w:sz w:val="16"/>
              </w:rPr>
              <w:t>POST /report</w:t>
            </w:r>
          </w:p>
        </w:tc>
        <w:tc>
          <w:tcPr>
            <w:tcW w:type="dxa" w:w="6048"/>
            <w:vAlign w:val="top"/>
          </w:tcPr>
          <w:p>
            <w:pPr>
              <w:spacing w:after="0"/>
            </w:pPr>
            <w:r>
              <w:rPr>
                <w:rFonts w:ascii="Arial" w:hAnsi="Arial"/>
                <w:sz w:val="16"/>
              </w:rPr>
              <w:t>Gerar PDF/DOCX/JSON técnico.</w:t>
            </w:r>
          </w:p>
        </w:tc>
      </w:tr>
      <w:tr>
        <w:trPr>
          <w:cantSplit/>
        </w:trPr>
        <w:tc>
          <w:tcPr>
            <w:tcW w:type="dxa" w:w="3312"/>
            <w:vAlign w:val="top"/>
          </w:tcPr>
          <w:p>
            <w:pPr>
              <w:spacing w:after="0"/>
            </w:pPr>
            <w:r>
              <w:rPr>
                <w:rFonts w:ascii="Arial" w:hAnsi="Arial"/>
                <w:sz w:val="16"/>
              </w:rPr>
              <w:t>GET /tiles/{layer}/{z}/{x}/{y}.pbf</w:t>
            </w:r>
          </w:p>
        </w:tc>
        <w:tc>
          <w:tcPr>
            <w:tcW w:type="dxa" w:w="6048"/>
            <w:vAlign w:val="top"/>
          </w:tcPr>
          <w:p>
            <w:pPr>
              <w:spacing w:after="0"/>
            </w:pPr>
            <w:r>
              <w:rPr>
                <w:rFonts w:ascii="Arial" w:hAnsi="Arial"/>
                <w:sz w:val="16"/>
              </w:rPr>
              <w:t>Vector tiles.</w:t>
            </w:r>
          </w:p>
        </w:tc>
      </w:tr>
      <w:tr>
        <w:trPr>
          <w:cantSplit/>
        </w:trPr>
        <w:tc>
          <w:tcPr>
            <w:tcW w:type="dxa" w:w="3312"/>
            <w:vAlign w:val="top"/>
          </w:tcPr>
          <w:p>
            <w:pPr>
              <w:spacing w:after="0"/>
            </w:pPr>
            <w:r>
              <w:rPr>
                <w:rFonts w:ascii="Arial" w:hAnsi="Arial"/>
                <w:sz w:val="16"/>
              </w:rPr>
              <w:t>GET /sources/status</w:t>
            </w:r>
          </w:p>
        </w:tc>
        <w:tc>
          <w:tcPr>
            <w:tcW w:type="dxa" w:w="6048"/>
            <w:vAlign w:val="top"/>
          </w:tcPr>
          <w:p>
            <w:pPr>
              <w:spacing w:after="0"/>
            </w:pPr>
            <w:r>
              <w:rPr>
                <w:rFonts w:ascii="Arial" w:hAnsi="Arial"/>
                <w:sz w:val="16"/>
              </w:rPr>
              <w:t>Saúde dos conectores e última atualização.</w:t>
            </w:r>
          </w:p>
        </w:tc>
      </w:tr>
      <w:tr>
        <w:trPr>
          <w:cantSplit/>
        </w:trPr>
        <w:tc>
          <w:tcPr>
            <w:tcW w:type="dxa" w:w="3312"/>
            <w:vAlign w:val="top"/>
          </w:tcPr>
          <w:p>
            <w:pPr>
              <w:spacing w:after="0"/>
            </w:pPr>
            <w:r>
              <w:rPr>
                <w:rFonts w:ascii="Arial" w:hAnsi="Arial"/>
                <w:sz w:val="16"/>
              </w:rPr>
              <w:t>POST /ingestion/reprocess</w:t>
            </w:r>
          </w:p>
        </w:tc>
        <w:tc>
          <w:tcPr>
            <w:tcW w:type="dxa" w:w="6048"/>
            <w:vAlign w:val="top"/>
          </w:tcPr>
          <w:p>
            <w:pPr>
              <w:spacing w:after="0"/>
            </w:pPr>
            <w:r>
              <w:rPr>
                <w:rFonts w:ascii="Arial" w:hAnsi="Arial"/>
                <w:sz w:val="16"/>
              </w:rPr>
              <w:t>Reprocessar fonte/município com controle administrativo.</w:t>
            </w:r>
          </w:p>
        </w:tc>
      </w:tr>
    </w:tbl>
    <w:p>
      <w:pPr>
        <w:spacing w:after="20"/>
      </w:pPr>
    </w:p>
    <w:p>
      <w:pPr>
        <w:pStyle w:val="Heading1"/>
        <w:keepNext/>
      </w:pPr>
      <w:r>
        <w:t>14. Modelo do relatório entregue ao usuário</w:t>
      </w:r>
    </w:p>
    <w:p>
      <w:pPr>
        <w:spacing w:after="40"/>
        <w:ind w:left="317" w:hanging="259"/>
      </w:pPr>
      <w:r>
        <w:rPr>
          <w:b/>
        </w:rPr>
        <w:t xml:space="preserve">1. </w:t>
      </w:r>
      <w:r>
        <w:t>Capa: imóvel, endereço, coordenada, data-base, solicitante e ID da análise.</w:t>
      </w:r>
    </w:p>
    <w:p>
      <w:pPr>
        <w:spacing w:after="40"/>
        <w:ind w:left="317" w:hanging="259"/>
      </w:pPr>
      <w:r>
        <w:rPr>
          <w:b/>
        </w:rPr>
        <w:t xml:space="preserve">2. </w:t>
      </w:r>
      <w:r>
        <w:t>Resumo executivo: 10–20 achados críticos e “pode/não pode/condicionado”.</w:t>
      </w:r>
    </w:p>
    <w:p>
      <w:pPr>
        <w:spacing w:after="40"/>
        <w:ind w:left="317" w:hanging="259"/>
      </w:pPr>
      <w:r>
        <w:rPr>
          <w:b/>
        </w:rPr>
        <w:t xml:space="preserve">3. </w:t>
      </w:r>
      <w:r>
        <w:t>Ficha de identificação: lote, cadastro, CIB/matrícula de referência, áreas e divergências.</w:t>
      </w:r>
    </w:p>
    <w:p>
      <w:pPr>
        <w:spacing w:after="40"/>
        <w:ind w:left="317" w:hanging="259"/>
      </w:pPr>
      <w:r>
        <w:rPr>
          <w:b/>
        </w:rPr>
        <w:t xml:space="preserve">4. </w:t>
      </w:r>
      <w:r>
        <w:t>Mapa síntese com lote e principais restrições.</w:t>
      </w:r>
    </w:p>
    <w:p>
      <w:pPr>
        <w:spacing w:after="40"/>
        <w:ind w:left="317" w:hanging="259"/>
      </w:pPr>
      <w:r>
        <w:rPr>
          <w:b/>
        </w:rPr>
        <w:t xml:space="preserve">5. </w:t>
      </w:r>
      <w:r>
        <w:t>Enquadramento urbanístico e hierarquia legal.</w:t>
      </w:r>
    </w:p>
    <w:p>
      <w:pPr>
        <w:spacing w:after="40"/>
        <w:ind w:left="317" w:hanging="259"/>
      </w:pPr>
      <w:r>
        <w:rPr>
          <w:b/>
        </w:rPr>
        <w:t xml:space="preserve">6. </w:t>
      </w:r>
      <w:r>
        <w:t>Tabela de usos: permitido/condicionado/proibido.</w:t>
      </w:r>
    </w:p>
    <w:p>
      <w:pPr>
        <w:spacing w:after="40"/>
        <w:ind w:left="317" w:hanging="259"/>
      </w:pPr>
      <w:r>
        <w:rPr>
          <w:b/>
        </w:rPr>
        <w:t xml:space="preserve">7. </w:t>
      </w:r>
      <w:r>
        <w:t>Tabela de parâmetros: CA/TO/TP/gabarito/recuos/lote/vagas/densidade.</w:t>
      </w:r>
    </w:p>
    <w:p>
      <w:pPr>
        <w:spacing w:after="40"/>
        <w:ind w:left="317" w:hanging="259"/>
      </w:pPr>
      <w:r>
        <w:rPr>
          <w:b/>
        </w:rPr>
        <w:t xml:space="preserve">8. </w:t>
      </w:r>
      <w:r>
        <w:t>Cálculo de potencial e cenários.</w:t>
      </w:r>
    </w:p>
    <w:p>
      <w:pPr>
        <w:spacing w:after="40"/>
        <w:ind w:left="317" w:hanging="259"/>
      </w:pPr>
      <w:r>
        <w:rPr>
          <w:b/>
        </w:rPr>
        <w:t xml:space="preserve">9. </w:t>
      </w:r>
      <w:r>
        <w:t>Outorga/CEPAC/TDC/instrumentos e estimativa de custo quando possível.</w:t>
      </w:r>
    </w:p>
    <w:p>
      <w:pPr>
        <w:spacing w:after="40"/>
        <w:ind w:left="317" w:hanging="259"/>
      </w:pPr>
      <w:r>
        <w:rPr>
          <w:b/>
        </w:rPr>
        <w:t xml:space="preserve">10. </w:t>
      </w:r>
      <w:r>
        <w:t>Meio ambiente, vegetação, contaminação e embargos.</w:t>
      </w:r>
    </w:p>
    <w:p>
      <w:pPr>
        <w:spacing w:after="40"/>
        <w:ind w:left="317" w:hanging="259"/>
      </w:pPr>
      <w:r>
        <w:rPr>
          <w:b/>
        </w:rPr>
        <w:t xml:space="preserve">11. </w:t>
      </w:r>
      <w:r>
        <w:t>Risco geológico/hidrológico/climático.</w:t>
      </w:r>
    </w:p>
    <w:p>
      <w:pPr>
        <w:spacing w:after="40"/>
        <w:ind w:left="317" w:hanging="259"/>
      </w:pPr>
      <w:r>
        <w:rPr>
          <w:b/>
        </w:rPr>
        <w:t xml:space="preserve">12. </w:t>
      </w:r>
      <w:r>
        <w:t>Infraestrutura: água/esgoto/drenagem/energia/gás/telecom.</w:t>
      </w:r>
    </w:p>
    <w:p>
      <w:pPr>
        <w:spacing w:after="40"/>
        <w:ind w:left="317" w:hanging="259"/>
      </w:pPr>
      <w:r>
        <w:rPr>
          <w:b/>
        </w:rPr>
        <w:t xml:space="preserve">13. </w:t>
      </w:r>
      <w:r>
        <w:t>Mobilidade/acessos/melhoramentos viários.</w:t>
      </w:r>
    </w:p>
    <w:p>
      <w:pPr>
        <w:spacing w:after="40"/>
        <w:ind w:left="317" w:hanging="259"/>
      </w:pPr>
      <w:r>
        <w:rPr>
          <w:b/>
        </w:rPr>
        <w:t xml:space="preserve">14. </w:t>
      </w:r>
      <w:r>
        <w:t>Patrimônio, arqueologia e restrições aeronáuticas.</w:t>
      </w:r>
    </w:p>
    <w:p>
      <w:pPr>
        <w:spacing w:after="40"/>
        <w:ind w:left="317" w:hanging="259"/>
      </w:pPr>
      <w:r>
        <w:rPr>
          <w:b/>
        </w:rPr>
        <w:t xml:space="preserve">15. </w:t>
      </w:r>
      <w:r>
        <w:t>Mineração/dutos/ferrovias/rodovias/portos e servidões.</w:t>
      </w:r>
    </w:p>
    <w:p>
      <w:pPr>
        <w:spacing w:after="40"/>
        <w:ind w:left="317" w:hanging="259"/>
      </w:pPr>
      <w:r>
        <w:rPr>
          <w:b/>
        </w:rPr>
        <w:t xml:space="preserve">16. </w:t>
      </w:r>
      <w:r>
        <w:t>Equipamentos e análise do entorno.</w:t>
      </w:r>
    </w:p>
    <w:p>
      <w:pPr>
        <w:spacing w:after="40"/>
        <w:ind w:left="317" w:hanging="259"/>
      </w:pPr>
      <w:r>
        <w:rPr>
          <w:b/>
        </w:rPr>
        <w:t xml:space="preserve">17. </w:t>
      </w:r>
      <w:r>
        <w:t>Fiscal/cadastro/ITBI/IPTU e mercado.</w:t>
      </w:r>
    </w:p>
    <w:p>
      <w:pPr>
        <w:spacing w:after="40"/>
        <w:ind w:left="317" w:hanging="259"/>
      </w:pPr>
      <w:r>
        <w:rPr>
          <w:b/>
        </w:rPr>
        <w:t xml:space="preserve">18. </w:t>
      </w:r>
      <w:r>
        <w:t>Licenças e órgãos que precisam aprovar.</w:t>
      </w:r>
    </w:p>
    <w:p>
      <w:pPr>
        <w:spacing w:after="40"/>
        <w:ind w:left="317" w:hanging="259"/>
      </w:pPr>
      <w:r>
        <w:rPr>
          <w:b/>
        </w:rPr>
        <w:t xml:space="preserve">19. </w:t>
      </w:r>
      <w:r>
        <w:t>Checklist de diligências pendentes.</w:t>
      </w:r>
    </w:p>
    <w:p>
      <w:pPr>
        <w:spacing w:after="40"/>
        <w:ind w:left="317" w:hanging="259"/>
      </w:pPr>
      <w:r>
        <w:rPr>
          <w:b/>
        </w:rPr>
        <w:t xml:space="preserve">20. </w:t>
      </w:r>
      <w:r>
        <w:t>Anexo de evidências: fonte, artigo, mapa, link, data, hash e status de confiança.</w:t>
      </w:r>
    </w:p>
    <w:p>
      <w:pPr>
        <w:pStyle w:val="Heading1"/>
        <w:keepNext/>
      </w:pPr>
      <w:r>
        <w:t>15. Semáforo técnico do relatório</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1440"/>
            <w:shd w:fill="EDEDED"/>
            <w:vAlign w:val="center"/>
          </w:tcPr>
          <w:p>
            <w:r>
              <w:rPr>
                <w:rFonts w:ascii="Arial" w:hAnsi="Arial"/>
                <w:b/>
                <w:sz w:val="16"/>
              </w:rPr>
              <w:t>Status</w:t>
            </w:r>
          </w:p>
        </w:tc>
        <w:tc>
          <w:tcPr>
            <w:tcW w:type="dxa" w:w="3312"/>
            <w:shd w:fill="EDEDED"/>
            <w:vAlign w:val="center"/>
          </w:tcPr>
          <w:p>
            <w:r>
              <w:rPr>
                <w:rFonts w:ascii="Arial" w:hAnsi="Arial"/>
                <w:b/>
                <w:sz w:val="16"/>
              </w:rPr>
              <w:t>Significado</w:t>
            </w:r>
          </w:p>
        </w:tc>
        <w:tc>
          <w:tcPr>
            <w:tcW w:type="dxa" w:w="4608"/>
            <w:shd w:fill="EDEDED"/>
            <w:vAlign w:val="center"/>
          </w:tcPr>
          <w:p>
            <w:r>
              <w:rPr>
                <w:rFonts w:ascii="Arial" w:hAnsi="Arial"/>
                <w:b/>
                <w:sz w:val="16"/>
              </w:rPr>
              <w:t>Exemplo</w:t>
            </w:r>
          </w:p>
        </w:tc>
      </w:tr>
      <w:tr>
        <w:trPr>
          <w:cantSplit/>
        </w:trPr>
        <w:tc>
          <w:tcPr>
            <w:tcW w:type="dxa" w:w="1440"/>
            <w:vAlign w:val="top"/>
          </w:tcPr>
          <w:p>
            <w:pPr>
              <w:spacing w:after="0"/>
            </w:pPr>
            <w:r>
              <w:rPr>
                <w:rFonts w:ascii="Arial" w:hAnsi="Arial"/>
                <w:sz w:val="16"/>
              </w:rPr>
              <w:t>VERDE</w:t>
            </w:r>
          </w:p>
        </w:tc>
        <w:tc>
          <w:tcPr>
            <w:tcW w:type="dxa" w:w="3312"/>
            <w:vAlign w:val="top"/>
          </w:tcPr>
          <w:p>
            <w:pPr>
              <w:spacing w:after="0"/>
            </w:pPr>
            <w:r>
              <w:rPr>
                <w:rFonts w:ascii="Arial" w:hAnsi="Arial"/>
                <w:sz w:val="16"/>
              </w:rPr>
              <w:t>Confirmado por fonte primária e sem conflito relevante.</w:t>
            </w:r>
          </w:p>
        </w:tc>
        <w:tc>
          <w:tcPr>
            <w:tcW w:type="dxa" w:w="4608"/>
            <w:vAlign w:val="top"/>
          </w:tcPr>
          <w:p>
            <w:pPr>
              <w:spacing w:after="0"/>
            </w:pPr>
            <w:r>
              <w:rPr>
                <w:rFonts w:ascii="Arial" w:hAnsi="Arial"/>
                <w:sz w:val="16"/>
              </w:rPr>
              <w:t>Ex.: zona identificada em WFS oficial e parâmetro no quadro vigente.</w:t>
            </w:r>
          </w:p>
        </w:tc>
      </w:tr>
      <w:tr>
        <w:trPr>
          <w:cantSplit/>
        </w:trPr>
        <w:tc>
          <w:tcPr>
            <w:tcW w:type="dxa" w:w="1440"/>
            <w:vAlign w:val="top"/>
          </w:tcPr>
          <w:p>
            <w:pPr>
              <w:spacing w:after="0"/>
            </w:pPr>
            <w:r>
              <w:rPr>
                <w:rFonts w:ascii="Arial" w:hAnsi="Arial"/>
                <w:sz w:val="16"/>
              </w:rPr>
              <w:t>AMARELO</w:t>
            </w:r>
          </w:p>
        </w:tc>
        <w:tc>
          <w:tcPr>
            <w:tcW w:type="dxa" w:w="3312"/>
            <w:vAlign w:val="top"/>
          </w:tcPr>
          <w:p>
            <w:pPr>
              <w:spacing w:after="0"/>
            </w:pPr>
            <w:r>
              <w:rPr>
                <w:rFonts w:ascii="Arial" w:hAnsi="Arial"/>
                <w:sz w:val="16"/>
              </w:rPr>
              <w:t>Dado confirmado, mas sujeito a condicionante/consulta complementar.</w:t>
            </w:r>
          </w:p>
        </w:tc>
        <w:tc>
          <w:tcPr>
            <w:tcW w:type="dxa" w:w="4608"/>
            <w:vAlign w:val="top"/>
          </w:tcPr>
          <w:p>
            <w:pPr>
              <w:spacing w:after="0"/>
            </w:pPr>
            <w:r>
              <w:rPr>
                <w:rFonts w:ascii="Arial" w:hAnsi="Arial"/>
                <w:sz w:val="16"/>
              </w:rPr>
              <w:t>Ex.: uso permitido com EIV; rede disponível no bairro, capacidade a confirmar.</w:t>
            </w:r>
          </w:p>
        </w:tc>
      </w:tr>
      <w:tr>
        <w:trPr>
          <w:cantSplit/>
        </w:trPr>
        <w:tc>
          <w:tcPr>
            <w:tcW w:type="dxa" w:w="1440"/>
            <w:vAlign w:val="top"/>
          </w:tcPr>
          <w:p>
            <w:pPr>
              <w:spacing w:after="0"/>
            </w:pPr>
            <w:r>
              <w:rPr>
                <w:rFonts w:ascii="Arial" w:hAnsi="Arial"/>
                <w:sz w:val="16"/>
              </w:rPr>
              <w:t>LARANJA</w:t>
            </w:r>
          </w:p>
        </w:tc>
        <w:tc>
          <w:tcPr>
            <w:tcW w:type="dxa" w:w="3312"/>
            <w:vAlign w:val="top"/>
          </w:tcPr>
          <w:p>
            <w:pPr>
              <w:spacing w:after="0"/>
            </w:pPr>
            <w:r>
              <w:rPr>
                <w:rFonts w:ascii="Arial" w:hAnsi="Arial"/>
                <w:sz w:val="16"/>
              </w:rPr>
              <w:t>Inferência ou fonte desatualizada/escala inadequada.</w:t>
            </w:r>
          </w:p>
        </w:tc>
        <w:tc>
          <w:tcPr>
            <w:tcW w:type="dxa" w:w="4608"/>
            <w:vAlign w:val="top"/>
          </w:tcPr>
          <w:p>
            <w:pPr>
              <w:spacing w:after="0"/>
            </w:pPr>
            <w:r>
              <w:rPr>
                <w:rFonts w:ascii="Arial" w:hAnsi="Arial"/>
                <w:sz w:val="16"/>
              </w:rPr>
              <w:t>Ex.: lote aproximado por imagem porque cadastro fiscal não é aberto.</w:t>
            </w:r>
          </w:p>
        </w:tc>
      </w:tr>
      <w:tr>
        <w:trPr>
          <w:cantSplit/>
        </w:trPr>
        <w:tc>
          <w:tcPr>
            <w:tcW w:type="dxa" w:w="1440"/>
            <w:vAlign w:val="top"/>
          </w:tcPr>
          <w:p>
            <w:pPr>
              <w:spacing w:after="0"/>
            </w:pPr>
            <w:r>
              <w:rPr>
                <w:rFonts w:ascii="Arial" w:hAnsi="Arial"/>
                <w:sz w:val="16"/>
              </w:rPr>
              <w:t>VERMELHO</w:t>
            </w:r>
          </w:p>
        </w:tc>
        <w:tc>
          <w:tcPr>
            <w:tcW w:type="dxa" w:w="3312"/>
            <w:vAlign w:val="top"/>
          </w:tcPr>
          <w:p>
            <w:pPr>
              <w:spacing w:after="0"/>
            </w:pPr>
            <w:r>
              <w:rPr>
                <w:rFonts w:ascii="Arial" w:hAnsi="Arial"/>
                <w:sz w:val="16"/>
              </w:rPr>
              <w:t>Restrição severa/conflito que pode impedir ou alterar substancialmente o projeto.</w:t>
            </w:r>
          </w:p>
        </w:tc>
        <w:tc>
          <w:tcPr>
            <w:tcW w:type="dxa" w:w="4608"/>
            <w:vAlign w:val="top"/>
          </w:tcPr>
          <w:p>
            <w:pPr>
              <w:spacing w:after="0"/>
            </w:pPr>
            <w:r>
              <w:rPr>
                <w:rFonts w:ascii="Arial" w:hAnsi="Arial"/>
                <w:sz w:val="16"/>
              </w:rPr>
              <w:t>Ex.: área não edificável, embargo, risco alto, proteção patrimonial.</w:t>
            </w:r>
          </w:p>
        </w:tc>
      </w:tr>
      <w:tr>
        <w:trPr>
          <w:cantSplit/>
        </w:trPr>
        <w:tc>
          <w:tcPr>
            <w:tcW w:type="dxa" w:w="1440"/>
            <w:vAlign w:val="top"/>
          </w:tcPr>
          <w:p>
            <w:pPr>
              <w:spacing w:after="0"/>
            </w:pPr>
            <w:r>
              <w:rPr>
                <w:rFonts w:ascii="Arial" w:hAnsi="Arial"/>
                <w:sz w:val="16"/>
              </w:rPr>
              <w:t>CINZA</w:t>
            </w:r>
          </w:p>
        </w:tc>
        <w:tc>
          <w:tcPr>
            <w:tcW w:type="dxa" w:w="3312"/>
            <w:vAlign w:val="top"/>
          </w:tcPr>
          <w:p>
            <w:pPr>
              <w:spacing w:after="0"/>
            </w:pPr>
            <w:r>
              <w:rPr>
                <w:rFonts w:ascii="Arial" w:hAnsi="Arial"/>
                <w:sz w:val="16"/>
              </w:rPr>
              <w:t>Não disponível ou exige acesso autorizado/licenciado.</w:t>
            </w:r>
          </w:p>
        </w:tc>
        <w:tc>
          <w:tcPr>
            <w:tcW w:type="dxa" w:w="4608"/>
            <w:vAlign w:val="top"/>
          </w:tcPr>
          <w:p>
            <w:pPr>
              <w:spacing w:after="0"/>
            </w:pPr>
            <w:r>
              <w:rPr>
                <w:rFonts w:ascii="Arial" w:hAnsi="Arial"/>
                <w:sz w:val="16"/>
              </w:rPr>
              <w:t>Ex.: matrícula sem autorização, rede fina de fibra não publicada.</w:t>
            </w:r>
          </w:p>
        </w:tc>
      </w:tr>
    </w:tbl>
    <w:p>
      <w:pPr>
        <w:spacing w:after="20"/>
      </w:pPr>
    </w:p>
    <w:p>
      <w:pPr>
        <w:pStyle w:val="Heading1"/>
        <w:keepNext/>
      </w:pPr>
      <w:r>
        <w:t>16. Qualidade, evidência e governança</w:t>
      </w:r>
    </w:p>
    <w:p>
      <w:pPr>
        <w:spacing w:after="30"/>
        <w:ind w:left="259" w:hanging="173"/>
      </w:pPr>
      <w:r>
        <w:t xml:space="preserve">• </w:t>
      </w:r>
      <w:r>
        <w:t>Nenhum valor técnico deve existir sem provenance: source_id + snapshot_id + parser_version + data de consulta.</w:t>
      </w:r>
    </w:p>
    <w:p>
      <w:pPr>
        <w:spacing w:after="30"/>
        <w:ind w:left="259" w:hanging="173"/>
      </w:pPr>
      <w:r>
        <w:t xml:space="preserve">• </w:t>
      </w:r>
      <w:r>
        <w:t>Guardar arquivo bruto e hash para que um relatório antigo possa ser reproduzido.</w:t>
      </w:r>
    </w:p>
    <w:p>
      <w:pPr>
        <w:spacing w:after="30"/>
        <w:ind w:left="259" w:hanging="173"/>
      </w:pPr>
      <w:r>
        <w:t xml:space="preserve">• </w:t>
      </w:r>
      <w:r>
        <w:t>Distinguir “data de publicação da fonte”, “data de vigência da lei”, “data de ingestão” e “data da análise”.</w:t>
      </w:r>
    </w:p>
    <w:p>
      <w:pPr>
        <w:spacing w:after="30"/>
        <w:ind w:left="259" w:hanging="173"/>
      </w:pPr>
      <w:r>
        <w:t xml:space="preserve">• </w:t>
      </w:r>
      <w:r>
        <w:t>Validar geometrias (ST_IsValid), SRID, escala e tolerância.</w:t>
      </w:r>
    </w:p>
    <w:p>
      <w:pPr>
        <w:spacing w:after="30"/>
        <w:ind w:left="259" w:hanging="173"/>
      </w:pPr>
      <w:r>
        <w:t xml:space="preserve">• </w:t>
      </w:r>
      <w:r>
        <w:t>Detectar mudança de schema/API e bloquear ingestão silenciosamente errada.</w:t>
      </w:r>
    </w:p>
    <w:p>
      <w:pPr>
        <w:spacing w:after="30"/>
        <w:ind w:left="259" w:hanging="173"/>
      </w:pPr>
      <w:r>
        <w:t xml:space="preserve">• </w:t>
      </w:r>
      <w:r>
        <w:t>Comparar contagem, bbox e distribuição de atributos entre versões para detectar fonte quebrada.</w:t>
      </w:r>
    </w:p>
    <w:p>
      <w:pPr>
        <w:spacing w:after="30"/>
        <w:ind w:left="259" w:hanging="173"/>
      </w:pPr>
      <w:r>
        <w:t xml:space="preserve">• </w:t>
      </w:r>
      <w:r>
        <w:t>Aplicar revisão humana às regras jurídicas críticas antes de marcá-las como CONFIRMED.</w:t>
      </w:r>
    </w:p>
    <w:p>
      <w:pPr>
        <w:spacing w:after="30"/>
        <w:ind w:left="259" w:hanging="173"/>
      </w:pPr>
      <w:r>
        <w:t xml:space="preserve">• </w:t>
      </w:r>
      <w:r>
        <w:t>Manter trilha de auditoria de quem aprovou/alterou regra e quando.</w:t>
      </w:r>
    </w:p>
    <w:p>
      <w:pPr>
        <w:spacing w:after="30"/>
        <w:ind w:left="259" w:hanging="173"/>
      </w:pPr>
      <w:r>
        <w:t xml:space="preserve">• </w:t>
      </w:r>
      <w:r>
        <w:t>Expor conflito ao usuário em vez de “escolher” fonte escondido.</w:t>
      </w:r>
    </w:p>
    <w:p>
      <w:pPr>
        <w:spacing w:after="30"/>
        <w:ind w:left="259" w:hanging="173"/>
      </w:pPr>
      <w:r>
        <w:t xml:space="preserve">• </w:t>
      </w:r>
      <w:r>
        <w:t>Criar SLO de atualização por classe: diário, semanal, mensal, anual, por evento legal.</w:t>
      </w:r>
    </w:p>
    <w:p>
      <w:pPr>
        <w:pStyle w:val="Heading1"/>
        <w:keepNext/>
      </w:pPr>
      <w:r>
        <w:t>17. Segurança, LGPD e acesso a dados sensíveis</w:t>
      </w:r>
    </w:p>
    <w:p>
      <w:pPr>
        <w:spacing w:after="30"/>
        <w:ind w:left="259" w:hanging="173"/>
      </w:pPr>
      <w:r>
        <w:t xml:space="preserve">• </w:t>
      </w:r>
      <w:r>
        <w:t>Dados pessoais de proprietários, CPF/CNPJ vinculados a pessoa física, contatos e histórico individual devem ter base legal, minimização e controle de acesso.</w:t>
      </w:r>
    </w:p>
    <w:p>
      <w:pPr>
        <w:spacing w:after="30"/>
        <w:ind w:left="259" w:hanging="173"/>
      </w:pPr>
      <w:r>
        <w:t xml:space="preserve">• </w:t>
      </w:r>
      <w:r>
        <w:t>Matrícula e serviços registrais devem ser acessados por integração/serviço autorizado; não fazer scraping ou contornar autenticação.</w:t>
      </w:r>
    </w:p>
    <w:p>
      <w:pPr>
        <w:spacing w:after="30"/>
        <w:ind w:left="259" w:hanging="173"/>
      </w:pPr>
      <w:r>
        <w:t xml:space="preserve">• </w:t>
      </w:r>
      <w:r>
        <w:t>Segredos de API/credenciais ficam em vault/KMS, nunca em frontend.</w:t>
      </w:r>
    </w:p>
    <w:p>
      <w:pPr>
        <w:spacing w:after="30"/>
        <w:ind w:left="259" w:hanging="173"/>
      </w:pPr>
      <w:r>
        <w:t xml:space="preserve">• </w:t>
      </w:r>
      <w:r>
        <w:t>RBAC/ABAC por organização, município, projeto e classe de dado.</w:t>
      </w:r>
    </w:p>
    <w:p>
      <w:pPr>
        <w:spacing w:after="30"/>
        <w:ind w:left="259" w:hanging="173"/>
      </w:pPr>
      <w:r>
        <w:t xml:space="preserve">• </w:t>
      </w:r>
      <w:r>
        <w:t>Log de auditoria para consulta/exportação de dados autenticados e licenciados.</w:t>
      </w:r>
    </w:p>
    <w:p>
      <w:pPr>
        <w:spacing w:after="30"/>
        <w:ind w:left="259" w:hanging="173"/>
      </w:pPr>
      <w:r>
        <w:t xml:space="preserve">• </w:t>
      </w:r>
      <w:r>
        <w:t>Criptografia em trânsito e repouso; backups testados; segregação de tenants.</w:t>
      </w:r>
    </w:p>
    <w:p>
      <w:pPr>
        <w:spacing w:after="30"/>
        <w:ind w:left="259" w:hanging="173"/>
      </w:pPr>
      <w:r>
        <w:t xml:space="preserve">• </w:t>
      </w:r>
      <w:r>
        <w:t>Data lake bruto com política de retenção e classificação de informação.</w:t>
      </w:r>
    </w:p>
    <w:p>
      <w:pPr>
        <w:spacing w:after="30"/>
        <w:ind w:left="259" w:hanging="173"/>
      </w:pPr>
      <w:r>
        <w:t xml:space="preserve">• </w:t>
      </w:r>
      <w:r>
        <w:t>Documentos enviados pelo cliente têm acesso privado e não alimentam base pública sem autorização.</w:t>
      </w:r>
    </w:p>
    <w:p>
      <w:pPr>
        <w:spacing w:after="30"/>
        <w:ind w:left="259" w:hanging="173"/>
      </w:pPr>
      <w:r>
        <w:t xml:space="preserve">• </w:t>
      </w:r>
      <w:r>
        <w:t>Relatórios devem indicar quais dados são oficiais, derivados, licenciados e fornecidos pelo usuário.</w:t>
      </w:r>
    </w:p>
    <w:p>
      <w:pPr>
        <w:pStyle w:val="Heading1"/>
        <w:keepNext/>
      </w:pPr>
      <w:r>
        <w:t>18. Estratégia de atualização</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2232"/>
            <w:shd w:fill="EDEDED"/>
            <w:vAlign w:val="center"/>
          </w:tcPr>
          <w:p>
            <w:r>
              <w:rPr>
                <w:rFonts w:ascii="Arial" w:hAnsi="Arial"/>
                <w:b/>
                <w:sz w:val="16"/>
              </w:rPr>
              <w:t>Fonte/tipo</w:t>
            </w:r>
          </w:p>
        </w:tc>
        <w:tc>
          <w:tcPr>
            <w:tcW w:type="dxa" w:w="2232"/>
            <w:shd w:fill="EDEDED"/>
            <w:vAlign w:val="center"/>
          </w:tcPr>
          <w:p>
            <w:r>
              <w:rPr>
                <w:rFonts w:ascii="Arial" w:hAnsi="Arial"/>
                <w:b/>
                <w:sz w:val="16"/>
              </w:rPr>
              <w:t>Cadência alvo</w:t>
            </w:r>
          </w:p>
        </w:tc>
        <w:tc>
          <w:tcPr>
            <w:tcW w:type="dxa" w:w="4896"/>
            <w:shd w:fill="EDEDED"/>
            <w:vAlign w:val="center"/>
          </w:tcPr>
          <w:p>
            <w:r>
              <w:rPr>
                <w:rFonts w:ascii="Arial" w:hAnsi="Arial"/>
                <w:b/>
                <w:sz w:val="16"/>
              </w:rPr>
              <w:t>Observação</w:t>
            </w:r>
          </w:p>
        </w:tc>
      </w:tr>
      <w:tr>
        <w:trPr>
          <w:cantSplit/>
        </w:trPr>
        <w:tc>
          <w:tcPr>
            <w:tcW w:type="dxa" w:w="2232"/>
            <w:vAlign w:val="top"/>
          </w:tcPr>
          <w:p>
            <w:pPr>
              <w:spacing w:after="0"/>
            </w:pPr>
            <w:r>
              <w:rPr>
                <w:rFonts w:ascii="Arial" w:hAnsi="Arial"/>
                <w:sz w:val="16"/>
              </w:rPr>
              <w:t>Leis/diário oficial</w:t>
            </w:r>
          </w:p>
        </w:tc>
        <w:tc>
          <w:tcPr>
            <w:tcW w:type="dxa" w:w="2232"/>
            <w:vAlign w:val="top"/>
          </w:tcPr>
          <w:p>
            <w:pPr>
              <w:spacing w:after="0"/>
            </w:pPr>
            <w:r>
              <w:rPr>
                <w:rFonts w:ascii="Arial" w:hAnsi="Arial"/>
                <w:sz w:val="16"/>
              </w:rPr>
              <w:t>Diário + gatilho por alteração</w:t>
            </w:r>
          </w:p>
        </w:tc>
        <w:tc>
          <w:tcPr>
            <w:tcW w:type="dxa" w:w="4896"/>
            <w:vAlign w:val="top"/>
          </w:tcPr>
          <w:p>
            <w:pPr>
              <w:spacing w:after="0"/>
            </w:pPr>
            <w:r>
              <w:rPr>
                <w:rFonts w:ascii="Arial" w:hAnsi="Arial"/>
                <w:sz w:val="16"/>
              </w:rPr>
              <w:t>Detectar nova lei/decreto/anexo; não ativar regra crítica sem validação.</w:t>
            </w:r>
          </w:p>
        </w:tc>
      </w:tr>
      <w:tr>
        <w:trPr>
          <w:cantSplit/>
        </w:trPr>
        <w:tc>
          <w:tcPr>
            <w:tcW w:type="dxa" w:w="2232"/>
            <w:vAlign w:val="top"/>
          </w:tcPr>
          <w:p>
            <w:pPr>
              <w:spacing w:after="0"/>
            </w:pPr>
            <w:r>
              <w:rPr>
                <w:rFonts w:ascii="Arial" w:hAnsi="Arial"/>
                <w:sz w:val="16"/>
              </w:rPr>
              <w:t>Zoneamento/GIS municipal</w:t>
            </w:r>
          </w:p>
        </w:tc>
        <w:tc>
          <w:tcPr>
            <w:tcW w:type="dxa" w:w="2232"/>
            <w:vAlign w:val="top"/>
          </w:tcPr>
          <w:p>
            <w:pPr>
              <w:spacing w:after="0"/>
            </w:pPr>
            <w:r>
              <w:rPr>
                <w:rFonts w:ascii="Arial" w:hAnsi="Arial"/>
                <w:sz w:val="16"/>
              </w:rPr>
              <w:t>Diário/semanal conforme fonte</w:t>
            </w:r>
          </w:p>
        </w:tc>
        <w:tc>
          <w:tcPr>
            <w:tcW w:type="dxa" w:w="4896"/>
            <w:vAlign w:val="top"/>
          </w:tcPr>
          <w:p>
            <w:pPr>
              <w:spacing w:after="0"/>
            </w:pPr>
            <w:r>
              <w:rPr>
                <w:rFonts w:ascii="Arial" w:hAnsi="Arial"/>
                <w:sz w:val="16"/>
              </w:rPr>
              <w:t>Hash de capabilities/schema + contagem de features.</w:t>
            </w:r>
          </w:p>
        </w:tc>
      </w:tr>
      <w:tr>
        <w:trPr>
          <w:cantSplit/>
        </w:trPr>
        <w:tc>
          <w:tcPr>
            <w:tcW w:type="dxa" w:w="2232"/>
            <w:vAlign w:val="top"/>
          </w:tcPr>
          <w:p>
            <w:pPr>
              <w:spacing w:after="0"/>
            </w:pPr>
            <w:r>
              <w:rPr>
                <w:rFonts w:ascii="Arial" w:hAnsi="Arial"/>
                <w:sz w:val="16"/>
              </w:rPr>
              <w:t>IBGE/limites/censo</w:t>
            </w:r>
          </w:p>
        </w:tc>
        <w:tc>
          <w:tcPr>
            <w:tcW w:type="dxa" w:w="2232"/>
            <w:vAlign w:val="top"/>
          </w:tcPr>
          <w:p>
            <w:pPr>
              <w:spacing w:after="0"/>
            </w:pPr>
            <w:r>
              <w:rPr>
                <w:rFonts w:ascii="Arial" w:hAnsi="Arial"/>
                <w:sz w:val="16"/>
              </w:rPr>
              <w:t>Por publicação</w:t>
            </w:r>
          </w:p>
        </w:tc>
        <w:tc>
          <w:tcPr>
            <w:tcW w:type="dxa" w:w="4896"/>
            <w:vAlign w:val="top"/>
          </w:tcPr>
          <w:p>
            <w:pPr>
              <w:spacing w:after="0"/>
            </w:pPr>
            <w:r>
              <w:rPr>
                <w:rFonts w:ascii="Arial" w:hAnsi="Arial"/>
                <w:sz w:val="16"/>
              </w:rPr>
              <w:t>Versionar geocódigos e geometrias.</w:t>
            </w:r>
          </w:p>
        </w:tc>
      </w:tr>
      <w:tr>
        <w:trPr>
          <w:cantSplit/>
        </w:trPr>
        <w:tc>
          <w:tcPr>
            <w:tcW w:type="dxa" w:w="2232"/>
            <w:vAlign w:val="top"/>
          </w:tcPr>
          <w:p>
            <w:pPr>
              <w:spacing w:after="0"/>
            </w:pPr>
            <w:r>
              <w:rPr>
                <w:rFonts w:ascii="Arial" w:hAnsi="Arial"/>
                <w:sz w:val="16"/>
              </w:rPr>
              <w:t>SINTER</w:t>
            </w:r>
          </w:p>
        </w:tc>
        <w:tc>
          <w:tcPr>
            <w:tcW w:type="dxa" w:w="2232"/>
            <w:vAlign w:val="top"/>
          </w:tcPr>
          <w:p>
            <w:pPr>
              <w:spacing w:after="0"/>
            </w:pPr>
            <w:r>
              <w:rPr>
                <w:rFonts w:ascii="Arial" w:hAnsi="Arial"/>
                <w:sz w:val="16"/>
              </w:rPr>
              <w:t>Conforme disponibilidade/integração</w:t>
            </w:r>
          </w:p>
        </w:tc>
        <w:tc>
          <w:tcPr>
            <w:tcW w:type="dxa" w:w="4896"/>
            <w:vAlign w:val="top"/>
          </w:tcPr>
          <w:p>
            <w:pPr>
              <w:spacing w:after="0"/>
            </w:pPr>
            <w:r>
              <w:rPr>
                <w:rFonts w:ascii="Arial" w:hAnsi="Arial"/>
                <w:sz w:val="16"/>
              </w:rPr>
              <w:t>Atualizar mapa de cobertura e dados permitidos.</w:t>
            </w:r>
          </w:p>
        </w:tc>
      </w:tr>
      <w:tr>
        <w:trPr>
          <w:cantSplit/>
        </w:trPr>
        <w:tc>
          <w:tcPr>
            <w:tcW w:type="dxa" w:w="2232"/>
            <w:vAlign w:val="top"/>
          </w:tcPr>
          <w:p>
            <w:pPr>
              <w:spacing w:after="0"/>
            </w:pPr>
            <w:r>
              <w:rPr>
                <w:rFonts w:ascii="Arial" w:hAnsi="Arial"/>
                <w:sz w:val="16"/>
              </w:rPr>
              <w:t>ANM</w:t>
            </w:r>
          </w:p>
        </w:tc>
        <w:tc>
          <w:tcPr>
            <w:tcW w:type="dxa" w:w="2232"/>
            <w:vAlign w:val="top"/>
          </w:tcPr>
          <w:p>
            <w:pPr>
              <w:spacing w:after="0"/>
            </w:pPr>
            <w:r>
              <w:rPr>
                <w:rFonts w:ascii="Arial" w:hAnsi="Arial"/>
                <w:sz w:val="16"/>
              </w:rPr>
              <w:t>Diário</w:t>
            </w:r>
          </w:p>
        </w:tc>
        <w:tc>
          <w:tcPr>
            <w:tcW w:type="dxa" w:w="4896"/>
            <w:vAlign w:val="top"/>
          </w:tcPr>
          <w:p>
            <w:pPr>
              <w:spacing w:after="0"/>
            </w:pPr>
            <w:r>
              <w:rPr>
                <w:rFonts w:ascii="Arial" w:hAnsi="Arial"/>
                <w:sz w:val="16"/>
              </w:rPr>
              <w:t>SIGMINE declara frequência diária para processos ativos.</w:t>
            </w:r>
          </w:p>
        </w:tc>
      </w:tr>
      <w:tr>
        <w:trPr>
          <w:cantSplit/>
        </w:trPr>
        <w:tc>
          <w:tcPr>
            <w:tcW w:type="dxa" w:w="2232"/>
            <w:vAlign w:val="top"/>
          </w:tcPr>
          <w:p>
            <w:pPr>
              <w:spacing w:after="0"/>
            </w:pPr>
            <w:r>
              <w:rPr>
                <w:rFonts w:ascii="Arial" w:hAnsi="Arial"/>
                <w:sz w:val="16"/>
              </w:rPr>
              <w:t>ANEEL BDGD</w:t>
            </w:r>
          </w:p>
        </w:tc>
        <w:tc>
          <w:tcPr>
            <w:tcW w:type="dxa" w:w="2232"/>
            <w:vAlign w:val="top"/>
          </w:tcPr>
          <w:p>
            <w:pPr>
              <w:spacing w:after="0"/>
            </w:pPr>
            <w:r>
              <w:rPr>
                <w:rFonts w:ascii="Arial" w:hAnsi="Arial"/>
                <w:sz w:val="16"/>
              </w:rPr>
              <w:t>Anual</w:t>
            </w:r>
          </w:p>
        </w:tc>
        <w:tc>
          <w:tcPr>
            <w:tcW w:type="dxa" w:w="4896"/>
            <w:vAlign w:val="top"/>
          </w:tcPr>
          <w:p>
            <w:pPr>
              <w:spacing w:after="0"/>
            </w:pPr>
            <w:r>
              <w:rPr>
                <w:rFonts w:ascii="Arial" w:hAnsi="Arial"/>
                <w:sz w:val="16"/>
              </w:rPr>
              <w:t>Base regulatória por distribuidora.</w:t>
            </w:r>
          </w:p>
        </w:tc>
      </w:tr>
      <w:tr>
        <w:trPr>
          <w:cantSplit/>
        </w:trPr>
        <w:tc>
          <w:tcPr>
            <w:tcW w:type="dxa" w:w="2232"/>
            <w:vAlign w:val="top"/>
          </w:tcPr>
          <w:p>
            <w:pPr>
              <w:spacing w:after="0"/>
            </w:pPr>
            <w:r>
              <w:rPr>
                <w:rFonts w:ascii="Arial" w:hAnsi="Arial"/>
                <w:sz w:val="16"/>
              </w:rPr>
              <w:t>IBAMA/INPE</w:t>
            </w:r>
          </w:p>
        </w:tc>
        <w:tc>
          <w:tcPr>
            <w:tcW w:type="dxa" w:w="2232"/>
            <w:vAlign w:val="top"/>
          </w:tcPr>
          <w:p>
            <w:pPr>
              <w:spacing w:after="0"/>
            </w:pPr>
            <w:r>
              <w:rPr>
                <w:rFonts w:ascii="Arial" w:hAnsi="Arial"/>
                <w:sz w:val="16"/>
              </w:rPr>
              <w:t>Frequente conforme fonte</w:t>
            </w:r>
          </w:p>
        </w:tc>
        <w:tc>
          <w:tcPr>
            <w:tcW w:type="dxa" w:w="4896"/>
            <w:vAlign w:val="top"/>
          </w:tcPr>
          <w:p>
            <w:pPr>
              <w:spacing w:after="0"/>
            </w:pPr>
            <w:r>
              <w:rPr>
                <w:rFonts w:ascii="Arial" w:hAnsi="Arial"/>
                <w:sz w:val="16"/>
              </w:rPr>
              <w:t>Embargos e monitoramento temporal.</w:t>
            </w:r>
          </w:p>
        </w:tc>
      </w:tr>
      <w:tr>
        <w:trPr>
          <w:cantSplit/>
        </w:trPr>
        <w:tc>
          <w:tcPr>
            <w:tcW w:type="dxa" w:w="2232"/>
            <w:vAlign w:val="top"/>
          </w:tcPr>
          <w:p>
            <w:pPr>
              <w:spacing w:after="0"/>
            </w:pPr>
            <w:r>
              <w:rPr>
                <w:rFonts w:ascii="Arial" w:hAnsi="Arial"/>
                <w:sz w:val="16"/>
              </w:rPr>
              <w:t>Mercado</w:t>
            </w:r>
          </w:p>
        </w:tc>
        <w:tc>
          <w:tcPr>
            <w:tcW w:type="dxa" w:w="2232"/>
            <w:vAlign w:val="top"/>
          </w:tcPr>
          <w:p>
            <w:pPr>
              <w:spacing w:after="0"/>
            </w:pPr>
            <w:r>
              <w:rPr>
                <w:rFonts w:ascii="Arial" w:hAnsi="Arial"/>
                <w:sz w:val="16"/>
              </w:rPr>
              <w:t>Diário/semanal</w:t>
            </w:r>
          </w:p>
        </w:tc>
        <w:tc>
          <w:tcPr>
            <w:tcW w:type="dxa" w:w="4896"/>
            <w:vAlign w:val="top"/>
          </w:tcPr>
          <w:p>
            <w:pPr>
              <w:spacing w:after="0"/>
            </w:pPr>
            <w:r>
              <w:rPr>
                <w:rFonts w:ascii="Arial" w:hAnsi="Arial"/>
                <w:sz w:val="16"/>
              </w:rPr>
              <w:t>Depende de contrato/licença e origem.</w:t>
            </w:r>
          </w:p>
        </w:tc>
      </w:tr>
      <w:tr>
        <w:trPr>
          <w:cantSplit/>
        </w:trPr>
        <w:tc>
          <w:tcPr>
            <w:tcW w:type="dxa" w:w="2232"/>
            <w:vAlign w:val="top"/>
          </w:tcPr>
          <w:p>
            <w:pPr>
              <w:spacing w:after="0"/>
            </w:pPr>
            <w:r>
              <w:rPr>
                <w:rFonts w:ascii="Arial" w:hAnsi="Arial"/>
                <w:sz w:val="16"/>
              </w:rPr>
              <w:t>Licenças/alvarás/ITBI</w:t>
            </w:r>
          </w:p>
        </w:tc>
        <w:tc>
          <w:tcPr>
            <w:tcW w:type="dxa" w:w="2232"/>
            <w:vAlign w:val="top"/>
          </w:tcPr>
          <w:p>
            <w:pPr>
              <w:spacing w:after="0"/>
            </w:pPr>
            <w:r>
              <w:rPr>
                <w:rFonts w:ascii="Arial" w:hAnsi="Arial"/>
                <w:sz w:val="16"/>
              </w:rPr>
              <w:t>Semanal/mensal</w:t>
            </w:r>
          </w:p>
        </w:tc>
        <w:tc>
          <w:tcPr>
            <w:tcW w:type="dxa" w:w="4896"/>
            <w:vAlign w:val="top"/>
          </w:tcPr>
          <w:p>
            <w:pPr>
              <w:spacing w:after="0"/>
            </w:pPr>
            <w:r>
              <w:rPr>
                <w:rFonts w:ascii="Arial" w:hAnsi="Arial"/>
                <w:sz w:val="16"/>
              </w:rPr>
              <w:t>Municipal e altamente variável.</w:t>
            </w:r>
          </w:p>
        </w:tc>
      </w:tr>
      <w:tr>
        <w:trPr>
          <w:cantSplit/>
        </w:trPr>
        <w:tc>
          <w:tcPr>
            <w:tcW w:type="dxa" w:w="2232"/>
            <w:vAlign w:val="top"/>
          </w:tcPr>
          <w:p>
            <w:pPr>
              <w:spacing w:after="0"/>
            </w:pPr>
            <w:r>
              <w:rPr>
                <w:rFonts w:ascii="Arial" w:hAnsi="Arial"/>
                <w:sz w:val="16"/>
              </w:rPr>
              <w:t>Matrícula/SREI</w:t>
            </w:r>
          </w:p>
        </w:tc>
        <w:tc>
          <w:tcPr>
            <w:tcW w:type="dxa" w:w="2232"/>
            <w:vAlign w:val="top"/>
          </w:tcPr>
          <w:p>
            <w:pPr>
              <w:spacing w:after="0"/>
            </w:pPr>
            <w:r>
              <w:rPr>
                <w:rFonts w:ascii="Arial" w:hAnsi="Arial"/>
                <w:sz w:val="16"/>
              </w:rPr>
              <w:t>Sob demanda</w:t>
            </w:r>
          </w:p>
        </w:tc>
        <w:tc>
          <w:tcPr>
            <w:tcW w:type="dxa" w:w="4896"/>
            <w:vAlign w:val="top"/>
          </w:tcPr>
          <w:p>
            <w:pPr>
              <w:spacing w:after="0"/>
            </w:pPr>
            <w:r>
              <w:rPr>
                <w:rFonts w:ascii="Arial" w:hAnsi="Arial"/>
                <w:sz w:val="16"/>
              </w:rPr>
              <w:t>Não espelhar dados pessoais sem necessidade.</w:t>
            </w:r>
          </w:p>
        </w:tc>
      </w:tr>
    </w:tbl>
    <w:p>
      <w:pPr>
        <w:spacing w:after="20"/>
      </w:pPr>
    </w:p>
    <w:p>
      <w:pPr>
        <w:pStyle w:val="Heading1"/>
        <w:keepNext/>
      </w:pPr>
      <w:r>
        <w:t>19. Factory de onboarding dos municípios</w:t>
      </w:r>
    </w:p>
    <w:p>
      <w:pPr>
        <w:spacing w:after="40"/>
        <w:ind w:left="317" w:hanging="259"/>
      </w:pPr>
      <w:r>
        <w:rPr>
          <w:b/>
        </w:rPr>
        <w:t xml:space="preserve">1. </w:t>
      </w:r>
      <w:r>
        <w:t>Criar registro do município a partir do IBGE e confirmar domínios oficiais.</w:t>
      </w:r>
    </w:p>
    <w:p>
      <w:pPr>
        <w:spacing w:after="40"/>
        <w:ind w:left="317" w:hanging="259"/>
      </w:pPr>
      <w:r>
        <w:rPr>
          <w:b/>
        </w:rPr>
        <w:t xml:space="preserve">2. </w:t>
      </w:r>
      <w:r>
        <w:t>Executar crawler de descoberta e classificar fontes encontradas.</w:t>
      </w:r>
    </w:p>
    <w:p>
      <w:pPr>
        <w:spacing w:after="40"/>
        <w:ind w:left="317" w:hanging="259"/>
      </w:pPr>
      <w:r>
        <w:rPr>
          <w:b/>
        </w:rPr>
        <w:t xml:space="preserve">3. </w:t>
      </w:r>
      <w:r>
        <w:t>Conectar leis e baixar Plano Diretor/LPUOS/Código de Obras + anexos.</w:t>
      </w:r>
    </w:p>
    <w:p>
      <w:pPr>
        <w:spacing w:after="40"/>
        <w:ind w:left="317" w:hanging="259"/>
      </w:pPr>
      <w:r>
        <w:rPr>
          <w:b/>
        </w:rPr>
        <w:t xml:space="preserve">4. </w:t>
      </w:r>
      <w:r>
        <w:t>Conectar GIS e identificar camadas de lote/zoneamento/instrumentos.</w:t>
      </w:r>
    </w:p>
    <w:p>
      <w:pPr>
        <w:spacing w:after="40"/>
        <w:ind w:left="317" w:hanging="259"/>
      </w:pPr>
      <w:r>
        <w:rPr>
          <w:b/>
        </w:rPr>
        <w:t xml:space="preserve">5. </w:t>
      </w:r>
      <w:r>
        <w:t>Construir zone dictionary e mapear códigos de zona.</w:t>
      </w:r>
    </w:p>
    <w:p>
      <w:pPr>
        <w:spacing w:after="40"/>
        <w:ind w:left="317" w:hanging="259"/>
      </w:pPr>
      <w:r>
        <w:rPr>
          <w:b/>
        </w:rPr>
        <w:t xml:space="preserve">6. </w:t>
      </w:r>
      <w:r>
        <w:t>Extrair quadros urbanísticos e transformar em regras estruturadas.</w:t>
      </w:r>
    </w:p>
    <w:p>
      <w:pPr>
        <w:spacing w:after="40"/>
        <w:ind w:left="317" w:hanging="259"/>
      </w:pPr>
      <w:r>
        <w:rPr>
          <w:b/>
        </w:rPr>
        <w:t xml:space="preserve">7. </w:t>
      </w:r>
      <w:r>
        <w:t>Validar 10–20 lotes de teste manualmente contra consulta oficial.</w:t>
      </w:r>
    </w:p>
    <w:p>
      <w:pPr>
        <w:spacing w:after="40"/>
        <w:ind w:left="317" w:hanging="259"/>
      </w:pPr>
      <w:r>
        <w:rPr>
          <w:b/>
        </w:rPr>
        <w:t xml:space="preserve">8. </w:t>
      </w:r>
      <w:r>
        <w:t>Ativar relatório em modo “beta” com indicadores de cobertura.</w:t>
      </w:r>
    </w:p>
    <w:p>
      <w:pPr>
        <w:spacing w:after="40"/>
        <w:ind w:left="317" w:hanging="259"/>
      </w:pPr>
      <w:r>
        <w:rPr>
          <w:b/>
        </w:rPr>
        <w:t xml:space="preserve">9. </w:t>
      </w:r>
      <w:r>
        <w:t>Revisão técnica por urbanista/engenheiro/advogado local para regras críticas.</w:t>
      </w:r>
    </w:p>
    <w:p>
      <w:pPr>
        <w:spacing w:after="40"/>
        <w:ind w:left="317" w:hanging="259"/>
      </w:pPr>
      <w:r>
        <w:rPr>
          <w:b/>
        </w:rPr>
        <w:t xml:space="preserve">10. </w:t>
      </w:r>
      <w:r>
        <w:t>Promover município para “produção” e iniciar monitoramento automático de mudanças.</w:t>
      </w:r>
    </w:p>
    <w:p>
      <w:pPr>
        <w:pStyle w:val="Heading1"/>
        <w:keepNext/>
      </w:pPr>
      <w:r>
        <w:t>20. Roadmap recomendado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376"/>
            <w:shd w:fill="EDEDED"/>
            <w:vAlign w:val="center"/>
          </w:tcPr>
          <w:p>
            <w:r>
              <w:rPr>
                <w:rFonts w:ascii="Arial" w:hAnsi="Arial"/>
                <w:b/>
                <w:sz w:val="16"/>
              </w:rPr>
              <w:t>Fase</w:t>
            </w:r>
          </w:p>
        </w:tc>
        <w:tc>
          <w:tcPr>
            <w:tcW w:type="dxa" w:w="6984"/>
            <w:shd w:fill="EDEDED"/>
            <w:vAlign w:val="center"/>
          </w:tcPr>
          <w:p>
            <w:r>
              <w:rPr>
                <w:rFonts w:ascii="Arial" w:hAnsi="Arial"/>
                <w:b/>
                <w:sz w:val="16"/>
              </w:rPr>
              <w:t>Entrega</w:t>
            </w:r>
          </w:p>
        </w:tc>
      </w:tr>
      <w:tr>
        <w:trPr>
          <w:cantSplit/>
        </w:trPr>
        <w:tc>
          <w:tcPr>
            <w:tcW w:type="dxa" w:w="2376"/>
            <w:vAlign w:val="top"/>
          </w:tcPr>
          <w:p>
            <w:pPr>
              <w:spacing w:after="0"/>
            </w:pPr>
            <w:r>
              <w:rPr>
                <w:rFonts w:ascii="Arial" w:hAnsi="Arial"/>
                <w:sz w:val="16"/>
              </w:rPr>
              <w:t>Fase 0 — Fundação</w:t>
            </w:r>
          </w:p>
        </w:tc>
        <w:tc>
          <w:tcPr>
            <w:tcW w:type="dxa" w:w="6984"/>
            <w:vAlign w:val="top"/>
          </w:tcPr>
          <w:p>
            <w:pPr>
              <w:spacing w:after="0"/>
            </w:pPr>
            <w:r>
              <w:rPr>
                <w:rFonts w:ascii="Arial" w:hAnsi="Arial"/>
                <w:sz w:val="16"/>
              </w:rPr>
              <w:t>Catálogo nacional, códigos IBGE, data lake, PostGIS, evidence model, source registry, observabilidade.</w:t>
            </w:r>
          </w:p>
        </w:tc>
      </w:tr>
      <w:tr>
        <w:trPr>
          <w:cantSplit/>
        </w:trPr>
        <w:tc>
          <w:tcPr>
            <w:tcW w:type="dxa" w:w="2376"/>
            <w:vAlign w:val="top"/>
          </w:tcPr>
          <w:p>
            <w:pPr>
              <w:spacing w:after="0"/>
            </w:pPr>
            <w:r>
              <w:rPr>
                <w:rFonts w:ascii="Arial" w:hAnsi="Arial"/>
                <w:sz w:val="16"/>
              </w:rPr>
              <w:t>Fase 1 — Camadas nacionais</w:t>
            </w:r>
          </w:p>
        </w:tc>
        <w:tc>
          <w:tcPr>
            <w:tcW w:type="dxa" w:w="6984"/>
            <w:vAlign w:val="top"/>
          </w:tcPr>
          <w:p>
            <w:pPr>
              <w:spacing w:after="0"/>
            </w:pPr>
            <w:r>
              <w:rPr>
                <w:rFonts w:ascii="Arial" w:hAnsi="Arial"/>
                <w:sz w:val="16"/>
              </w:rPr>
              <w:t>IBGE, ANM, IBAMA, INPE, ICMBio, ANEEL, INEP, CNES, SGB, Anatel, ANAC, ANP.</w:t>
            </w:r>
          </w:p>
        </w:tc>
      </w:tr>
      <w:tr>
        <w:trPr>
          <w:cantSplit/>
        </w:trPr>
        <w:tc>
          <w:tcPr>
            <w:tcW w:type="dxa" w:w="2376"/>
            <w:vAlign w:val="top"/>
          </w:tcPr>
          <w:p>
            <w:pPr>
              <w:spacing w:after="0"/>
            </w:pPr>
            <w:r>
              <w:rPr>
                <w:rFonts w:ascii="Arial" w:hAnsi="Arial"/>
                <w:sz w:val="16"/>
              </w:rPr>
              <w:t>Fase 2 — Cidade laboratório</w:t>
            </w:r>
          </w:p>
        </w:tc>
        <w:tc>
          <w:tcPr>
            <w:tcW w:type="dxa" w:w="6984"/>
            <w:vAlign w:val="top"/>
          </w:tcPr>
          <w:p>
            <w:pPr>
              <w:spacing w:after="0"/>
            </w:pPr>
            <w:r>
              <w:rPr>
                <w:rFonts w:ascii="Arial" w:hAnsi="Arial"/>
                <w:sz w:val="16"/>
              </w:rPr>
              <w:t>Implementar 1 município de ponta a ponta: lote, zoneamento, leis, parâmetros, relatório, testes.</w:t>
            </w:r>
          </w:p>
        </w:tc>
      </w:tr>
      <w:tr>
        <w:trPr>
          <w:cantSplit/>
        </w:trPr>
        <w:tc>
          <w:tcPr>
            <w:tcW w:type="dxa" w:w="2376"/>
            <w:vAlign w:val="top"/>
          </w:tcPr>
          <w:p>
            <w:pPr>
              <w:spacing w:after="0"/>
            </w:pPr>
            <w:r>
              <w:rPr>
                <w:rFonts w:ascii="Arial" w:hAnsi="Arial"/>
                <w:sz w:val="16"/>
              </w:rPr>
              <w:t>Fase 3 — Capitais e maiores mercados</w:t>
            </w:r>
          </w:p>
        </w:tc>
        <w:tc>
          <w:tcPr>
            <w:tcW w:type="dxa" w:w="6984"/>
            <w:vAlign w:val="top"/>
          </w:tcPr>
          <w:p>
            <w:pPr>
              <w:spacing w:after="0"/>
            </w:pPr>
            <w:r>
              <w:rPr>
                <w:rFonts w:ascii="Arial" w:hAnsi="Arial"/>
                <w:sz w:val="16"/>
              </w:rPr>
              <w:t>Criar conectores reutilizáveis para GeoServer, ArcGIS REST, portais legislativos e cadastros.</w:t>
            </w:r>
          </w:p>
        </w:tc>
      </w:tr>
      <w:tr>
        <w:trPr>
          <w:cantSplit/>
        </w:trPr>
        <w:tc>
          <w:tcPr>
            <w:tcW w:type="dxa" w:w="2376"/>
            <w:vAlign w:val="top"/>
          </w:tcPr>
          <w:p>
            <w:pPr>
              <w:spacing w:after="0"/>
            </w:pPr>
            <w:r>
              <w:rPr>
                <w:rFonts w:ascii="Arial" w:hAnsi="Arial"/>
                <w:sz w:val="16"/>
              </w:rPr>
              <w:t>Fase 4 — Factory nacional</w:t>
            </w:r>
          </w:p>
        </w:tc>
        <w:tc>
          <w:tcPr>
            <w:tcW w:type="dxa" w:w="6984"/>
            <w:vAlign w:val="top"/>
          </w:tcPr>
          <w:p>
            <w:pPr>
              <w:spacing w:after="0"/>
            </w:pPr>
            <w:r>
              <w:rPr>
                <w:rFonts w:ascii="Arial" w:hAnsi="Arial"/>
                <w:sz w:val="16"/>
              </w:rPr>
              <w:t>Automatizar descoberta/onboarding e priorizar municípios por população, mercado e disponibilidade.</w:t>
            </w:r>
          </w:p>
        </w:tc>
      </w:tr>
      <w:tr>
        <w:trPr>
          <w:cantSplit/>
        </w:trPr>
        <w:tc>
          <w:tcPr>
            <w:tcW w:type="dxa" w:w="2376"/>
            <w:vAlign w:val="top"/>
          </w:tcPr>
          <w:p>
            <w:pPr>
              <w:spacing w:after="0"/>
            </w:pPr>
            <w:r>
              <w:rPr>
                <w:rFonts w:ascii="Arial" w:hAnsi="Arial"/>
                <w:sz w:val="16"/>
              </w:rPr>
              <w:t>Fase 5 — Integrações autenticadas</w:t>
            </w:r>
          </w:p>
        </w:tc>
        <w:tc>
          <w:tcPr>
            <w:tcW w:type="dxa" w:w="6984"/>
            <w:vAlign w:val="top"/>
          </w:tcPr>
          <w:p>
            <w:pPr>
              <w:spacing w:after="0"/>
            </w:pPr>
            <w:r>
              <w:rPr>
                <w:rFonts w:ascii="Arial" w:hAnsi="Arial"/>
                <w:sz w:val="16"/>
              </w:rPr>
              <w:t>SINTER, SICAR/Conecta, SIGEF e SREI/ONR conforme contratos, perfis e finalidades.</w:t>
            </w:r>
          </w:p>
        </w:tc>
      </w:tr>
      <w:tr>
        <w:trPr>
          <w:cantSplit/>
        </w:trPr>
        <w:tc>
          <w:tcPr>
            <w:tcW w:type="dxa" w:w="2376"/>
            <w:vAlign w:val="top"/>
          </w:tcPr>
          <w:p>
            <w:pPr>
              <w:spacing w:after="0"/>
            </w:pPr>
            <w:r>
              <w:rPr>
                <w:rFonts w:ascii="Arial" w:hAnsi="Arial"/>
                <w:sz w:val="16"/>
              </w:rPr>
              <w:t>Fase 6 — Mercado e utilities</w:t>
            </w:r>
          </w:p>
        </w:tc>
        <w:tc>
          <w:tcPr>
            <w:tcW w:type="dxa" w:w="6984"/>
            <w:vAlign w:val="top"/>
          </w:tcPr>
          <w:p>
            <w:pPr>
              <w:spacing w:after="0"/>
            </w:pPr>
            <w:r>
              <w:rPr>
                <w:rFonts w:ascii="Arial" w:hAnsi="Arial"/>
                <w:sz w:val="16"/>
              </w:rPr>
              <w:t>Contratos licenciados, redes locais, capacidade de infraestrutura e dados de mercado.</w:t>
            </w:r>
          </w:p>
        </w:tc>
      </w:tr>
      <w:tr>
        <w:trPr>
          <w:cantSplit/>
        </w:trPr>
        <w:tc>
          <w:tcPr>
            <w:tcW w:type="dxa" w:w="2376"/>
            <w:vAlign w:val="top"/>
          </w:tcPr>
          <w:p>
            <w:pPr>
              <w:spacing w:after="0"/>
            </w:pPr>
            <w:r>
              <w:rPr>
                <w:rFonts w:ascii="Arial" w:hAnsi="Arial"/>
                <w:sz w:val="16"/>
              </w:rPr>
              <w:t>Fase 7 — Certificação e APIs</w:t>
            </w:r>
          </w:p>
        </w:tc>
        <w:tc>
          <w:tcPr>
            <w:tcW w:type="dxa" w:w="6984"/>
            <w:vAlign w:val="top"/>
          </w:tcPr>
          <w:p>
            <w:pPr>
              <w:spacing w:after="0"/>
            </w:pPr>
            <w:r>
              <w:rPr>
                <w:rFonts w:ascii="Arial" w:hAnsi="Arial"/>
                <w:sz w:val="16"/>
              </w:rPr>
              <w:t>SLA, auditoria, API para prefeituras/empresas e relatórios com assinatura/ART quando houver fluxo profissional.</w:t>
            </w:r>
          </w:p>
        </w:tc>
      </w:tr>
    </w:tbl>
    <w:p>
      <w:pPr>
        <w:spacing w:after="20"/>
      </w:pPr>
    </w:p>
    <w:p>
      <w:pPr>
        <w:pStyle w:val="Heading1"/>
        <w:keepNext/>
      </w:pPr>
      <w:r>
        <w:t>21. MVP que já cria valor real</w:t>
      </w:r>
    </w:p>
    <w:p>
      <w:pPr>
        <w:spacing w:after="30"/>
        <w:ind w:left="259" w:hanging="173"/>
      </w:pPr>
      <w:r>
        <w:t xml:space="preserve">• </w:t>
      </w:r>
      <w:r>
        <w:t>Entrada por endereço/coordenada/polígono.</w:t>
      </w:r>
    </w:p>
    <w:p>
      <w:pPr>
        <w:spacing w:after="30"/>
        <w:ind w:left="259" w:hanging="173"/>
      </w:pPr>
      <w:r>
        <w:t xml:space="preserve">• </w:t>
      </w:r>
      <w:r>
        <w:t>Identificação de município e lote quando lote fiscal estiver disponível.</w:t>
      </w:r>
    </w:p>
    <w:p>
      <w:pPr>
        <w:spacing w:after="30"/>
        <w:ind w:left="259" w:hanging="173"/>
      </w:pPr>
      <w:r>
        <w:t xml:space="preserve">• </w:t>
      </w:r>
      <w:r>
        <w:t>Plano Diretor/LPUOS/Código de Obras com busca e evidência.</w:t>
      </w:r>
    </w:p>
    <w:p>
      <w:pPr>
        <w:spacing w:after="30"/>
        <w:ind w:left="259" w:hanging="173"/>
      </w:pPr>
      <w:r>
        <w:t xml:space="preserve">• </w:t>
      </w:r>
      <w:r>
        <w:t>Zona + usos + CA/TO/TP/gabarito/recuos + cálculo básico.</w:t>
      </w:r>
    </w:p>
    <w:p>
      <w:pPr>
        <w:spacing w:after="30"/>
        <w:ind w:left="259" w:hanging="173"/>
      </w:pPr>
      <w:r>
        <w:t xml:space="preserve">• </w:t>
      </w:r>
      <w:r>
        <w:t>Camadas nacionais: ambiente, mineração, risco, energia macro, equipamentos, transporte e patrimônio.</w:t>
      </w:r>
    </w:p>
    <w:p>
      <w:pPr>
        <w:spacing w:after="30"/>
        <w:ind w:left="259" w:hanging="173"/>
      </w:pPr>
      <w:r>
        <w:t xml:space="preserve">• </w:t>
      </w:r>
      <w:r>
        <w:t>Relatório com 5 estados de confiança e fontes clicáveis.</w:t>
      </w:r>
    </w:p>
    <w:p>
      <w:pPr>
        <w:spacing w:after="30"/>
        <w:ind w:left="259" w:hanging="173"/>
      </w:pPr>
      <w:r>
        <w:t xml:space="preserve">• </w:t>
      </w:r>
      <w:r>
        <w:t>Painel de cobertura por município: o usuário sabe antes de comprar a análise o que existe.</w:t>
      </w:r>
    </w:p>
    <w:p>
      <w:pPr>
        <w:spacing w:after="30"/>
        <w:ind w:left="259" w:hanging="173"/>
      </w:pPr>
      <w:r>
        <w:t xml:space="preserve">• </w:t>
      </w:r>
      <w:r>
        <w:t>Editor administrativo de regras para validação humana.</w:t>
      </w:r>
    </w:p>
    <w:p>
      <w:pPr>
        <w:spacing w:after="30"/>
        <w:ind w:left="259" w:hanging="173"/>
      </w:pPr>
      <w:r>
        <w:t xml:space="preserve">• </w:t>
      </w:r>
      <w:r>
        <w:t>Histórico de versão da lei e da análise.</w:t>
      </w:r>
    </w:p>
    <w:p>
      <w:pPr>
        <w:spacing w:after="30"/>
        <w:ind w:left="259" w:hanging="173"/>
      </w:pPr>
      <w:r>
        <w:t xml:space="preserve">• </w:t>
      </w:r>
      <w:r>
        <w:t>API e mapa com MVT.</w:t>
      </w:r>
    </w:p>
    <w:p>
      <w:pPr>
        <w:pStyle w:val="Heading1"/>
        <w:keepNext/>
      </w:pPr>
      <w:r>
        <w:t>22. Regras de produto que não podem ser quebradas</w:t>
      </w:r>
    </w:p>
    <w:p>
      <w:pPr>
        <w:spacing w:after="30"/>
        <w:ind w:left="259" w:hanging="173"/>
      </w:pPr>
      <w:r>
        <w:t xml:space="preserve">• </w:t>
      </w:r>
      <w:r>
        <w:t>Nunca responder “o que posso construir?” usando apenas o Plano Diretor.</w:t>
      </w:r>
    </w:p>
    <w:p>
      <w:pPr>
        <w:spacing w:after="30"/>
        <w:ind w:left="259" w:hanging="173"/>
      </w:pPr>
      <w:r>
        <w:t xml:space="preserve">• </w:t>
      </w:r>
      <w:r>
        <w:t>Nunca esconder a fonte de um parâmetro urbanístico.</w:t>
      </w:r>
    </w:p>
    <w:p>
      <w:pPr>
        <w:spacing w:after="30"/>
        <w:ind w:left="259" w:hanging="173"/>
      </w:pPr>
      <w:r>
        <w:t xml:space="preserve">• </w:t>
      </w:r>
      <w:r>
        <w:t>Nunca tratar mapa visual/raster como limite cadastral preciso sem qualificação.</w:t>
      </w:r>
    </w:p>
    <w:p>
      <w:pPr>
        <w:spacing w:after="30"/>
        <w:ind w:left="259" w:hanging="173"/>
      </w:pPr>
      <w:r>
        <w:t xml:space="preserve">• </w:t>
      </w:r>
      <w:r>
        <w:t>Nunca converter presença municipal de fibra/gás em disponibilidade física no lote sem fonte específica.</w:t>
      </w:r>
    </w:p>
    <w:p>
      <w:pPr>
        <w:spacing w:after="30"/>
        <w:ind w:left="259" w:hanging="173"/>
      </w:pPr>
      <w:r>
        <w:t xml:space="preserve">• </w:t>
      </w:r>
      <w:r>
        <w:t>Nunca expor titularidade/dados pessoais sem base legal e controle de acesso.</w:t>
      </w:r>
    </w:p>
    <w:p>
      <w:pPr>
        <w:spacing w:after="30"/>
        <w:ind w:left="259" w:hanging="173"/>
      </w:pPr>
      <w:r>
        <w:t xml:space="preserve">• </w:t>
      </w:r>
      <w:r>
        <w:t>Nunca sobrescrever uma lei antiga; versionar e manter data de vigência.</w:t>
      </w:r>
    </w:p>
    <w:p>
      <w:pPr>
        <w:spacing w:after="30"/>
        <w:ind w:left="259" w:hanging="173"/>
      </w:pPr>
      <w:r>
        <w:t xml:space="preserve">• </w:t>
      </w:r>
      <w:r>
        <w:t>Nunca marcar OCR/inferência como “confirmado” sem validação.</w:t>
      </w:r>
    </w:p>
    <w:p>
      <w:pPr>
        <w:spacing w:after="30"/>
        <w:ind w:left="259" w:hanging="173"/>
      </w:pPr>
      <w:r>
        <w:t xml:space="preserve">• </w:t>
      </w:r>
      <w:r>
        <w:t>Nunca usar um dado comercial sem licença compatível.</w:t>
      </w:r>
    </w:p>
    <w:p>
      <w:pPr>
        <w:spacing w:after="30"/>
        <w:ind w:left="259" w:hanging="173"/>
      </w:pPr>
      <w:r>
        <w:t xml:space="preserve">• </w:t>
      </w:r>
      <w:r>
        <w:t>Nunca apagar conflito entre fontes: mostrar e encaminhar para revisão.</w:t>
      </w:r>
    </w:p>
    <w:p>
      <w:pPr>
        <w:spacing w:after="30"/>
        <w:ind w:left="259" w:hanging="173"/>
      </w:pPr>
      <w:r>
        <w:t xml:space="preserve">• </w:t>
      </w:r>
      <w:r>
        <w:t>Nunca confundir potencial urbanístico máximo com potencial econômico/projetável.</w:t>
      </w:r>
    </w:p>
    <w:p>
      <w:pPr>
        <w:pStyle w:val="Heading1"/>
        <w:keepNext/>
      </w:pPr>
      <w:r>
        <w:t>23. Decisão histórica de arquitetura inicial — supersedida pela Seção 32</w:t>
      </w:r>
    </w:p>
    <w:p>
      <w:r>
        <w:rPr>
          <w:b/>
        </w:rPr>
        <w:t xml:space="preserve">Base recomendada para implementação. </w:t>
      </w:r>
      <w:r>
        <w:t>Construir primeiro o catálogo nacional de fontes + schema PostGIS/evidence + um município laboratório totalmente funcional. A estrutura nacional deve existir desde o primeiro dia, mas a validação das regras municipais deve crescer por uma “factory” repetível, e não por um parser único que tente entender todos os municípios sem controle.</w:t>
      </w:r>
    </w:p>
    <w:p>
      <w:r>
        <w:rPr>
          <w:b/>
        </w:rPr>
        <w:t xml:space="preserve">Próxima instrução ideal. </w:t>
      </w:r>
      <w:r>
        <w:t>Escolher o primeiro município e implementar o fluxo real: descoberta de fontes oficiais → ingestão de leis e GIS → normalização → regras → lote real → relatório. Depois transformar o que funcionou em conector reutilizável para o próximo grupo de municípios.</w:t>
      </w:r>
    </w:p>
    <w:p>
      <w:r>
        <w:br w:type="page"/>
      </w:r>
    </w:p>
    <w:p>
      <w:pPr>
        <w:pStyle w:val="Heading1"/>
        <w:keepNext/>
      </w:pPr>
      <w:r>
        <w:t>24. Imóvel 360 — camada operacional de inteligência imobiliária</w:t>
      </w:r>
    </w:p>
    <w:p>
      <w:pPr>
        <w:spacing w:after="60"/>
      </w:pPr>
      <w:r>
        <w:rPr>
          <w:b/>
        </w:rPr>
        <w:t xml:space="preserve">Definição. </w:t>
      </w:r>
      <w:r>
        <w:t>Imóvel 360 é o módulo de experiência do LoteDiretor que transforma o núcleo jurídico, cadastral, geoespacial, infraestrutural e mercadológico em fluxos de trabalho para análise, prospecção, cadastro, avaliação, desenvolvimento e decisão sobre um imóvel. A especificação abaixo foi reconstruída a partir do frontend fornecido e adaptada para uma infraestrutura própria do LoteDiretor.</w:t>
      </w:r>
    </w:p>
    <w:p>
      <w:pPr>
        <w:pStyle w:val="Small"/>
        <w:spacing w:before="80" w:after="120"/>
        <w:ind w:left="259" w:right="259"/>
      </w:pPr>
      <w:r>
        <w:rPr>
          <w:b/>
        </w:rPr>
        <w:t xml:space="preserve">Nota de engenharia reversa funcional: </w:t>
      </w:r>
      <w:r>
        <w:t>O arquivo fornecido permite observar telas, rotas, contratos GraphQL/REST, modelos de camada, filtros e integrações do frontend. Ele não contém necessariamente o backend, os ETLs, o banco completo nem a resposta de todos os serviços dinâmicos por município. Por isso, o Imóvel 360 deve reproduzir as abstrações funcionais usando nossas fontes, nosso PostGIS e nosso service_registry, sem depender dos servidores antigos.</w:t>
      </w:r>
    </w:p>
    <w:p>
      <w:pPr>
        <w:pStyle w:val="Heading2"/>
        <w:keepNext/>
      </w:pPr>
      <w:r>
        <w:t>24.1 Evidência funcional observada no arquivo</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232"/>
            <w:shd w:fill="EDEDED"/>
            <w:vAlign w:val="center"/>
          </w:tcPr>
          <w:p>
            <w:pPr>
              <w:spacing w:after="0"/>
            </w:pPr>
            <w:r>
              <w:rPr>
                <w:rFonts w:ascii="Arial" w:hAnsi="Arial"/>
                <w:b/>
                <w:sz w:val="16"/>
              </w:rPr>
              <w:t>Indicador</w:t>
            </w:r>
          </w:p>
        </w:tc>
        <w:tc>
          <w:tcPr>
            <w:tcW w:type="dxa" w:w="7128"/>
            <w:shd w:fill="EDEDED"/>
            <w:vAlign w:val="center"/>
          </w:tcPr>
          <w:p>
            <w:pPr>
              <w:spacing w:after="0"/>
            </w:pPr>
            <w:r>
              <w:rPr>
                <w:rFonts w:ascii="Arial" w:hAnsi="Arial"/>
                <w:b/>
                <w:sz w:val="16"/>
              </w:rPr>
              <w:t>Observação</w:t>
            </w:r>
          </w:p>
        </w:tc>
      </w:tr>
      <w:tr>
        <w:trPr>
          <w:cantSplit/>
          <w:cantSplit/>
        </w:trPr>
        <w:tc>
          <w:tcPr>
            <w:tcW w:type="dxa" w:w="2232"/>
            <w:vAlign w:val="top"/>
          </w:tcPr>
          <w:p>
            <w:pPr>
              <w:spacing w:after="0"/>
            </w:pPr>
            <w:r>
              <w:rPr>
                <w:rFonts w:ascii="Arial" w:hAnsi="Arial"/>
                <w:sz w:val="16"/>
              </w:rPr>
              <w:t>80 rotas declaradas</w:t>
            </w:r>
          </w:p>
        </w:tc>
        <w:tc>
          <w:tcPr>
            <w:tcW w:type="dxa" w:w="7128"/>
            <w:vAlign w:val="top"/>
          </w:tcPr>
          <w:p>
            <w:pPr>
              <w:spacing w:after="0"/>
            </w:pPr>
            <w:r>
              <w:rPr>
                <w:rFonts w:ascii="Arial" w:hAnsi="Arial"/>
                <w:sz w:val="16"/>
              </w:rPr>
              <w:t>66 rotas privadas e 14 públicas/auxiliares no roteador analisado.</w:t>
            </w:r>
          </w:p>
        </w:tc>
      </w:tr>
      <w:tr>
        <w:trPr>
          <w:cantSplit/>
          <w:cantSplit/>
        </w:trPr>
        <w:tc>
          <w:tcPr>
            <w:tcW w:type="dxa" w:w="2232"/>
            <w:vAlign w:val="top"/>
          </w:tcPr>
          <w:p>
            <w:pPr>
              <w:spacing w:after="0"/>
            </w:pPr>
            <w:r>
              <w:rPr>
                <w:rFonts w:ascii="Arial" w:hAnsi="Arial"/>
                <w:sz w:val="16"/>
              </w:rPr>
              <w:t>266 operações GraphQL únicas</w:t>
            </w:r>
          </w:p>
        </w:tc>
        <w:tc>
          <w:tcPr>
            <w:tcW w:type="dxa" w:w="7128"/>
            <w:vAlign w:val="top"/>
          </w:tcPr>
          <w:p>
            <w:pPr>
              <w:spacing w:after="0"/>
            </w:pPr>
            <w:r>
              <w:rPr>
                <w:rFonts w:ascii="Arial" w:hAnsi="Arial"/>
                <w:sz w:val="16"/>
              </w:rPr>
              <w:t>Famílias para imóveis, empreendimentos, usuários, mercado, AVM, Explorer, CRM, serviços e backoffice.</w:t>
            </w:r>
          </w:p>
        </w:tc>
      </w:tr>
      <w:tr>
        <w:trPr>
          <w:cantSplit/>
          <w:cantSplit/>
        </w:trPr>
        <w:tc>
          <w:tcPr>
            <w:tcW w:type="dxa" w:w="2232"/>
            <w:vAlign w:val="top"/>
          </w:tcPr>
          <w:p>
            <w:pPr>
              <w:spacing w:after="0"/>
            </w:pPr>
            <w:r>
              <w:rPr>
                <w:rFonts w:ascii="Arial" w:hAnsi="Arial"/>
                <w:sz w:val="16"/>
              </w:rPr>
              <w:t>53 módulos de serviços GraphQL</w:t>
            </w:r>
          </w:p>
        </w:tc>
        <w:tc>
          <w:tcPr>
            <w:tcW w:type="dxa" w:w="7128"/>
            <w:vAlign w:val="top"/>
          </w:tcPr>
          <w:p>
            <w:pPr>
              <w:spacing w:after="0"/>
            </w:pPr>
            <w:r>
              <w:rPr>
                <w:rFonts w:ascii="Arial" w:hAnsi="Arial"/>
                <w:sz w:val="16"/>
              </w:rPr>
              <w:t>Distribuídos entre aplicação principal e backoffice.</w:t>
            </w:r>
          </w:p>
        </w:tc>
      </w:tr>
      <w:tr>
        <w:trPr>
          <w:cantSplit/>
          <w:cantSplit/>
        </w:trPr>
        <w:tc>
          <w:tcPr>
            <w:tcW w:type="dxa" w:w="2232"/>
            <w:vAlign w:val="top"/>
          </w:tcPr>
          <w:p>
            <w:pPr>
              <w:spacing w:after="0"/>
            </w:pPr>
            <w:r>
              <w:rPr>
                <w:rFonts w:ascii="Arial" w:hAnsi="Arial"/>
                <w:sz w:val="16"/>
              </w:rPr>
              <w:t>Explorer como módulo central</w:t>
            </w:r>
          </w:p>
        </w:tc>
        <w:tc>
          <w:tcPr>
            <w:tcW w:type="dxa" w:w="7128"/>
            <w:vAlign w:val="top"/>
          </w:tcPr>
          <w:p>
            <w:pPr>
              <w:spacing w:after="0"/>
            </w:pPr>
            <w:r>
              <w:rPr>
                <w:rFonts w:ascii="Arial" w:hAnsi="Arial"/>
                <w:sz w:val="16"/>
              </w:rPr>
              <w:t>Aproximadamente 205 arquivos na árvore de dependências local observada.</w:t>
            </w:r>
          </w:p>
        </w:tc>
      </w:tr>
      <w:tr>
        <w:trPr>
          <w:cantSplit/>
          <w:cantSplit/>
        </w:trPr>
        <w:tc>
          <w:tcPr>
            <w:tcW w:type="dxa" w:w="2232"/>
            <w:vAlign w:val="top"/>
          </w:tcPr>
          <w:p>
            <w:pPr>
              <w:spacing w:after="0"/>
            </w:pPr>
            <w:r>
              <w:rPr>
                <w:rFonts w:ascii="Arial" w:hAnsi="Arial"/>
                <w:sz w:val="16"/>
              </w:rPr>
              <w:t>GIS multi-backend</w:t>
            </w:r>
          </w:p>
        </w:tc>
        <w:tc>
          <w:tcPr>
            <w:tcW w:type="dxa" w:w="7128"/>
            <w:vAlign w:val="top"/>
          </w:tcPr>
          <w:p>
            <w:pPr>
              <w:spacing w:after="0"/>
            </w:pPr>
            <w:r>
              <w:rPr>
                <w:rFonts w:ascii="Arial" w:hAnsi="Arial"/>
                <w:sz w:val="16"/>
              </w:rPr>
              <w:t>GraphQL + REST territorial + API GIS + vector tiles MVT + raster tiles + roteamento/isócronas.</w:t>
            </w:r>
          </w:p>
        </w:tc>
      </w:tr>
      <w:tr>
        <w:trPr>
          <w:cantSplit/>
          <w:cantSplit/>
        </w:trPr>
        <w:tc>
          <w:tcPr>
            <w:tcW w:type="dxa" w:w="2232"/>
            <w:vAlign w:val="top"/>
          </w:tcPr>
          <w:p>
            <w:pPr>
              <w:spacing w:after="0"/>
            </w:pPr>
            <w:r>
              <w:rPr>
                <w:rFonts w:ascii="Arial" w:hAnsi="Arial"/>
                <w:sz w:val="16"/>
              </w:rPr>
              <w:t>Catálogos dinâmicos</w:t>
            </w:r>
          </w:p>
        </w:tc>
        <w:tc>
          <w:tcPr>
            <w:tcW w:type="dxa" w:w="7128"/>
            <w:vAlign w:val="top"/>
          </w:tcPr>
          <w:p>
            <w:pPr>
              <w:spacing w:after="0"/>
            </w:pPr>
            <w:r>
              <w:rPr>
                <w:rFonts w:ascii="Arial" w:hAnsi="Arial"/>
                <w:sz w:val="16"/>
              </w:rPr>
              <w:t>Serviços Território/Legal/Cadastro, relatórios, Painel de Mercado e Ficha são montados por metadados retornados pelo backend.</w:t>
            </w:r>
          </w:p>
        </w:tc>
      </w:tr>
    </w:tbl>
    <w:p>
      <w:pPr>
        <w:spacing w:after="20"/>
      </w:pPr>
    </w:p>
    <w:p>
      <w:pPr>
        <w:pStyle w:val="Heading2"/>
        <w:keepNext/>
      </w:pPr>
      <w:r>
        <w:t>24.2 Mapa funcional do Imóvel 360</w:t>
      </w:r>
    </w:p>
    <w:tbl>
      <w:tblPr>
        <w:tblStyle w:val="TableGrid"/>
        <w:tblW w:type="auto" w:w="0"/>
        <w:jc w:val="center"/>
        <w:tblLook w:firstColumn="1" w:firstRow="1" w:lastColumn="0" w:lastRow="0" w:noHBand="0" w:noVBand="1" w:val="04A0"/>
      </w:tblPr>
      <w:tblGrid>
        <w:gridCol w:w="10166"/>
      </w:tblGrid>
      <w:tr>
        <w:trPr>
          <w:cantSplit/>
          <w:tblHeader w:val="true"/>
          <w:cantSplit/>
        </w:trPr>
        <w:tc>
          <w:tcPr>
            <w:tcW w:type="dxa" w:w="10166"/>
            <w:shd w:fill="F6F6F6"/>
          </w:tcPr>
          <w:p>
            <w:pPr>
              <w:spacing w:after="0"/>
            </w:pPr>
            <w:r>
              <w:rPr>
                <w:rFonts w:ascii="Arial" w:hAnsi="Arial"/>
                <w:sz w:val="17"/>
              </w:rPr>
            </w:r>
            <w:r>
              <w:rPr>
                <w:rFonts w:ascii="Courier New" w:hAnsi="Courier New"/>
                <w:sz w:val="15"/>
              </w:rPr>
              <w:t>IMÓVEL 360</w:t>
              <w:br/>
              <w:t>│</w:t>
              <w:br/>
              <w:t>├── Dashboard</w:t>
              <w:br/>
              <w:t>├── Explorer GIS</w:t>
              <w:br/>
              <w:t>│   ├── Projetos / Meus Locais</w:t>
              <w:br/>
              <w:t>│   ├── Camadas / filtros / composição de área</w:t>
              <w:br/>
              <w:t>│   ├── Território / Legal / Cadastro</w:t>
              <w:br/>
              <w:t>│   ├── Relatórios espaciais / Estatísticas</w:t>
              <w:br/>
              <w:t>│   ├── Ficha / Painel de Mercado / AVM</w:t>
              <w:br/>
              <w:t>│   └── Salvar imóvel</w:t>
              <w:br/>
              <w:t>├── Meus Imóveis</w:t>
              <w:br/>
              <w:t>├── Empreendimentos</w:t>
              <w:br/>
              <w:t>├── Inteligência de Mercado</w:t>
              <w:br/>
              <w:t>├── Mercado Secundário: venda / aluguel</w:t>
              <w:br/>
              <w:t>├── Avaliações / AVM</w:t>
              <w:br/>
              <w:t>├── Prospecção de Terrenos</w:t>
              <w:br/>
              <w:t>├── Pessoas / CRM / Cadastros</w:t>
              <w:br/>
              <w:t>├── Relatórios / PDF / exportações</w:t>
              <w:br/>
              <w:t>└── Backoffice</w:t>
              <w:br/>
              <w:t xml:space="preserve">    ├── Usuários / empresas / produtos / pacotes</w:t>
              <w:br/>
              <w:t xml:space="preserve">    ├── Serviços por município</w:t>
              <w:br/>
              <w:t xml:space="preserve">    └── CMS de camadas GIS / tiles / filtros / permissões</w:t>
            </w:r>
          </w:p>
        </w:tc>
      </w:tr>
    </w:tbl>
    <w:p/>
    <w:p>
      <w:pPr>
        <w:pStyle w:val="Heading2"/>
        <w:keepNext/>
      </w:pPr>
      <w:r>
        <w:t>24.3 Dashboard e cockpit do usuário</w:t>
      </w:r>
    </w:p>
    <w:p>
      <w:pPr>
        <w:spacing w:after="30"/>
        <w:ind w:left="259" w:hanging="173"/>
      </w:pPr>
      <w:r>
        <w:t xml:space="preserve">• </w:t>
      </w:r>
      <w:r>
        <w:t>Resumo de imóveis, empreendimentos, atividades recentes, notícias, tarefas e atalhos para análises.</w:t>
      </w:r>
    </w:p>
    <w:p>
      <w:pPr>
        <w:spacing w:after="30"/>
        <w:ind w:left="259" w:hanging="173"/>
      </w:pPr>
      <w:r>
        <w:t xml:space="preserve">• </w:t>
      </w:r>
      <w:r>
        <w:t>Indicadores de uso do produto e permissões por perfil/empresa/produto.</w:t>
      </w:r>
    </w:p>
    <w:p>
      <w:pPr>
        <w:spacing w:after="30"/>
        <w:ind w:left="259" w:hanging="173"/>
      </w:pPr>
      <w:r>
        <w:t xml:space="preserve">• </w:t>
      </w:r>
      <w:r>
        <w:t>Acesso rápido a imóveis recentes, empreendimentos recentes, análises de mercado e relatórios.</w:t>
      </w:r>
    </w:p>
    <w:p>
      <w:pPr>
        <w:spacing w:after="30"/>
        <w:ind w:left="259" w:hanging="173"/>
      </w:pPr>
      <w:r>
        <w:t xml:space="preserve">• </w:t>
      </w:r>
      <w:r>
        <w:t>Registro de log de recursos/ferramentas para auditoria de uso e administração.</w:t>
      </w:r>
    </w:p>
    <w:p>
      <w:pPr>
        <w:spacing w:after="30"/>
        <w:ind w:left="259" w:hanging="173"/>
      </w:pPr>
      <w:r>
        <w:t xml:space="preserve">• </w:t>
      </w:r>
      <w:r>
        <w:t>No LoteDiretor, o dashboard deve acrescentar alertas de alteração legislativa, atualização de camada, mudança de risco, vencimento de certidão, nova transação e mudança de potencial construtivo.</w:t>
      </w:r>
    </w:p>
    <w:p>
      <w:pPr>
        <w:pStyle w:val="Heading2"/>
        <w:keepNext/>
      </w:pPr>
      <w:r>
        <w:t>24.4 Explorer GIS — ambiente central de descoberta</w:t>
      </w:r>
    </w:p>
    <w:p>
      <w:pPr>
        <w:spacing w:after="30"/>
        <w:ind w:left="259" w:hanging="173"/>
      </w:pPr>
      <w:r>
        <w:t xml:space="preserve">• </w:t>
      </w:r>
      <w:r>
        <w:t>Projetos: novo, abrir, salvar e associar camadas a um estudo.</w:t>
      </w:r>
    </w:p>
    <w:p>
      <w:pPr>
        <w:spacing w:after="30"/>
        <w:ind w:left="259" w:hanging="173"/>
      </w:pPr>
      <w:r>
        <w:t xml:space="preserve">• </w:t>
      </w:r>
      <w:r>
        <w:t>Meus Locais: marcadores, locais salvos e imóveis associados ao usuário/equipe.</w:t>
      </w:r>
    </w:p>
    <w:p>
      <w:pPr>
        <w:spacing w:after="30"/>
        <w:ind w:left="259" w:hanging="173"/>
      </w:pPr>
      <w:r>
        <w:t xml:space="preserve">• </w:t>
      </w:r>
      <w:r>
        <w:t>Camadas: catálogo pesquisável, tags, favoritos, visibilidade, estilo, filtros e permissões.</w:t>
      </w:r>
    </w:p>
    <w:p>
      <w:pPr>
        <w:spacing w:after="30"/>
        <w:ind w:left="259" w:hanging="173"/>
      </w:pPr>
      <w:r>
        <w:t xml:space="preserve">• </w:t>
      </w:r>
      <w:r>
        <w:t>Lançamentos imobiliários: filtro por tipo, finalidade, incorporadora, ano e atributos de produto.</w:t>
      </w:r>
    </w:p>
    <w:p>
      <w:pPr>
        <w:spacing w:after="30"/>
        <w:ind w:left="259" w:hanging="173"/>
      </w:pPr>
      <w:r>
        <w:t xml:space="preserve">• </w:t>
      </w:r>
      <w:r>
        <w:t>Imóveis usados para venda e aluguel: filtros temporais, tipologia, localização e atributos comerciais.</w:t>
      </w:r>
    </w:p>
    <w:p>
      <w:pPr>
        <w:spacing w:after="30"/>
        <w:ind w:left="259" w:hanging="173"/>
      </w:pPr>
      <w:r>
        <w:t xml:space="preserve">• </w:t>
      </w:r>
      <w:r>
        <w:t>Compor Área: seleção/combinação de lotes e geometrias para estudar gleba, quadra ou conjunto de propriedades.</w:t>
      </w:r>
    </w:p>
    <w:p>
      <w:pPr>
        <w:spacing w:after="30"/>
        <w:ind w:left="259" w:hanging="173"/>
      </w:pPr>
      <w:r>
        <w:t xml:space="preserve">• </w:t>
      </w:r>
      <w:r>
        <w:t>Clique em ponto, feição ou área desenhada: abre ações territoriais, legais, cadastrais, mercadológicas e de avaliação.</w:t>
      </w:r>
    </w:p>
    <w:p>
      <w:pPr>
        <w:spacing w:after="30"/>
        <w:ind w:left="259" w:hanging="173"/>
      </w:pPr>
      <w:r>
        <w:t xml:space="preserve">• </w:t>
      </w:r>
      <w:r>
        <w:t>Barra inferior/contexto: lote, terrenos, índices e município ativo.</w:t>
      </w:r>
    </w:p>
    <w:p>
      <w:pPr>
        <w:pStyle w:val="Heading2"/>
        <w:keepNext/>
      </w:pPr>
      <w:r>
        <w:t>24.5 Motores espaciais que o Imóvel 360 deve oferecer</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1728"/>
            <w:shd w:fill="EDEDED"/>
            <w:vAlign w:val="center"/>
          </w:tcPr>
          <w:p>
            <w:pPr>
              <w:spacing w:after="0"/>
            </w:pPr>
            <w:r>
              <w:rPr>
                <w:rFonts w:ascii="Arial" w:hAnsi="Arial"/>
                <w:b/>
                <w:sz w:val="14"/>
              </w:rPr>
              <w:t>Motor</w:t>
            </w:r>
          </w:p>
        </w:tc>
        <w:tc>
          <w:tcPr>
            <w:tcW w:type="dxa" w:w="2232"/>
            <w:shd w:fill="EDEDED"/>
            <w:vAlign w:val="center"/>
          </w:tcPr>
          <w:p>
            <w:pPr>
              <w:spacing w:after="0"/>
            </w:pPr>
            <w:r>
              <w:rPr>
                <w:rFonts w:ascii="Arial" w:hAnsi="Arial"/>
                <w:b/>
                <w:sz w:val="14"/>
              </w:rPr>
              <w:t>Entrada</w:t>
            </w:r>
          </w:p>
        </w:tc>
        <w:tc>
          <w:tcPr>
            <w:tcW w:type="dxa" w:w="2592"/>
            <w:shd w:fill="EDEDED"/>
            <w:vAlign w:val="center"/>
          </w:tcPr>
          <w:p>
            <w:pPr>
              <w:spacing w:after="0"/>
            </w:pPr>
            <w:r>
              <w:rPr>
                <w:rFonts w:ascii="Arial" w:hAnsi="Arial"/>
                <w:b/>
                <w:sz w:val="14"/>
              </w:rPr>
              <w:t>Processamento</w:t>
            </w:r>
          </w:p>
        </w:tc>
        <w:tc>
          <w:tcPr>
            <w:tcW w:type="dxa" w:w="3024"/>
            <w:shd w:fill="EDEDED"/>
            <w:vAlign w:val="center"/>
          </w:tcPr>
          <w:p>
            <w:pPr>
              <w:spacing w:after="0"/>
            </w:pPr>
            <w:r>
              <w:rPr>
                <w:rFonts w:ascii="Arial" w:hAnsi="Arial"/>
                <w:b/>
                <w:sz w:val="14"/>
              </w:rPr>
              <w:t>Saída</w:t>
            </w:r>
          </w:p>
        </w:tc>
      </w:tr>
      <w:tr>
        <w:trPr>
          <w:cantSplit/>
          <w:cantSplit/>
        </w:trPr>
        <w:tc>
          <w:tcPr>
            <w:tcW w:type="dxa" w:w="1728"/>
            <w:vAlign w:val="top"/>
          </w:tcPr>
          <w:p>
            <w:pPr>
              <w:spacing w:after="0"/>
            </w:pPr>
            <w:r>
              <w:rPr>
                <w:rFonts w:ascii="Arial" w:hAnsi="Arial"/>
                <w:sz w:val="14"/>
              </w:rPr>
              <w:t>Ponto + distância</w:t>
            </w:r>
          </w:p>
        </w:tc>
        <w:tc>
          <w:tcPr>
            <w:tcW w:type="dxa" w:w="2232"/>
            <w:vAlign w:val="top"/>
          </w:tcPr>
          <w:p>
            <w:pPr>
              <w:spacing w:after="0"/>
            </w:pPr>
            <w:r>
              <w:rPr>
                <w:rFonts w:ascii="Arial" w:hAnsi="Arial"/>
                <w:sz w:val="14"/>
              </w:rPr>
              <w:t>latitude/longitude + raio</w:t>
            </w:r>
          </w:p>
        </w:tc>
        <w:tc>
          <w:tcPr>
            <w:tcW w:type="dxa" w:w="2592"/>
            <w:vAlign w:val="top"/>
          </w:tcPr>
          <w:p>
            <w:pPr>
              <w:spacing w:after="0"/>
            </w:pPr>
            <w:r>
              <w:rPr>
                <w:rFonts w:ascii="Arial" w:hAnsi="Arial"/>
                <w:sz w:val="14"/>
              </w:rPr>
              <w:t>ST_DWithin, ST_Distance, buffers</w:t>
            </w:r>
          </w:p>
        </w:tc>
        <w:tc>
          <w:tcPr>
            <w:tcW w:type="dxa" w:w="3024"/>
            <w:vAlign w:val="top"/>
          </w:tcPr>
          <w:p>
            <w:pPr>
              <w:spacing w:after="0"/>
            </w:pPr>
            <w:r>
              <w:rPr>
                <w:rFonts w:ascii="Arial" w:hAnsi="Arial"/>
                <w:sz w:val="14"/>
              </w:rPr>
              <w:t>serviços, infraestrutura, amenidades, riscos e ocorrências no entorno</w:t>
            </w:r>
          </w:p>
        </w:tc>
      </w:tr>
      <w:tr>
        <w:trPr>
          <w:cantSplit/>
          <w:cantSplit/>
        </w:trPr>
        <w:tc>
          <w:tcPr>
            <w:tcW w:type="dxa" w:w="1728"/>
            <w:vAlign w:val="top"/>
          </w:tcPr>
          <w:p>
            <w:pPr>
              <w:spacing w:after="0"/>
            </w:pPr>
            <w:r>
              <w:rPr>
                <w:rFonts w:ascii="Arial" w:hAnsi="Arial"/>
                <w:sz w:val="14"/>
              </w:rPr>
              <w:t>Geometria + interseção</w:t>
            </w:r>
          </w:p>
        </w:tc>
        <w:tc>
          <w:tcPr>
            <w:tcW w:type="dxa" w:w="2232"/>
            <w:vAlign w:val="top"/>
          </w:tcPr>
          <w:p>
            <w:pPr>
              <w:spacing w:after="0"/>
            </w:pPr>
            <w:r>
              <w:rPr>
                <w:rFonts w:ascii="Arial" w:hAnsi="Arial"/>
                <w:sz w:val="14"/>
              </w:rPr>
              <w:t>lote/gleba/polígono desenhado</w:t>
            </w:r>
          </w:p>
        </w:tc>
        <w:tc>
          <w:tcPr>
            <w:tcW w:type="dxa" w:w="2592"/>
            <w:vAlign w:val="top"/>
          </w:tcPr>
          <w:p>
            <w:pPr>
              <w:spacing w:after="0"/>
            </w:pPr>
            <w:r>
              <w:rPr>
                <w:rFonts w:ascii="Arial" w:hAnsi="Arial"/>
                <w:sz w:val="14"/>
              </w:rPr>
              <w:t>ST_Intersects, ST_Intersection, ST_Area</w:t>
            </w:r>
          </w:p>
        </w:tc>
        <w:tc>
          <w:tcPr>
            <w:tcW w:type="dxa" w:w="3024"/>
            <w:vAlign w:val="top"/>
          </w:tcPr>
          <w:p>
            <w:pPr>
              <w:spacing w:after="0"/>
            </w:pPr>
            <w:r>
              <w:rPr>
                <w:rFonts w:ascii="Arial" w:hAnsi="Arial"/>
                <w:sz w:val="14"/>
              </w:rPr>
              <w:t>camadas incidentes, área afetada, percentual de sobreposição, relatório</w:t>
            </w:r>
          </w:p>
        </w:tc>
      </w:tr>
      <w:tr>
        <w:trPr>
          <w:cantSplit/>
          <w:cantSplit/>
        </w:trPr>
        <w:tc>
          <w:tcPr>
            <w:tcW w:type="dxa" w:w="1728"/>
            <w:vAlign w:val="top"/>
          </w:tcPr>
          <w:p>
            <w:pPr>
              <w:spacing w:after="0"/>
            </w:pPr>
            <w:r>
              <w:rPr>
                <w:rFonts w:ascii="Arial" w:hAnsi="Arial"/>
                <w:sz w:val="14"/>
              </w:rPr>
              <w:t>Point-in-polygon</w:t>
            </w:r>
          </w:p>
        </w:tc>
        <w:tc>
          <w:tcPr>
            <w:tcW w:type="dxa" w:w="2232"/>
            <w:vAlign w:val="top"/>
          </w:tcPr>
          <w:p>
            <w:pPr>
              <w:spacing w:after="0"/>
            </w:pPr>
            <w:r>
              <w:rPr>
                <w:rFonts w:ascii="Arial" w:hAnsi="Arial"/>
                <w:sz w:val="14"/>
              </w:rPr>
              <w:t>coordenada do clique</w:t>
            </w:r>
          </w:p>
        </w:tc>
        <w:tc>
          <w:tcPr>
            <w:tcW w:type="dxa" w:w="2592"/>
            <w:vAlign w:val="top"/>
          </w:tcPr>
          <w:p>
            <w:pPr>
              <w:spacing w:after="0"/>
            </w:pPr>
            <w:r>
              <w:rPr>
                <w:rFonts w:ascii="Arial" w:hAnsi="Arial"/>
                <w:sz w:val="14"/>
              </w:rPr>
              <w:t>ST_Contains/ST_Intersects</w:t>
            </w:r>
          </w:p>
        </w:tc>
        <w:tc>
          <w:tcPr>
            <w:tcW w:type="dxa" w:w="3024"/>
            <w:vAlign w:val="top"/>
          </w:tcPr>
          <w:p>
            <w:pPr>
              <w:spacing w:after="0"/>
            </w:pPr>
            <w:r>
              <w:rPr>
                <w:rFonts w:ascii="Arial" w:hAnsi="Arial"/>
                <w:sz w:val="14"/>
              </w:rPr>
              <w:t>município, zona, lote, macrozona, ZEIS, operação urbana</w:t>
            </w:r>
          </w:p>
        </w:tc>
      </w:tr>
      <w:tr>
        <w:trPr>
          <w:cantSplit/>
          <w:cantSplit/>
        </w:trPr>
        <w:tc>
          <w:tcPr>
            <w:tcW w:type="dxa" w:w="1728"/>
            <w:vAlign w:val="top"/>
          </w:tcPr>
          <w:p>
            <w:pPr>
              <w:spacing w:after="0"/>
            </w:pPr>
            <w:r>
              <w:rPr>
                <w:rFonts w:ascii="Arial" w:hAnsi="Arial"/>
                <w:sz w:val="14"/>
              </w:rPr>
              <w:t>Composição de lotes</w:t>
            </w:r>
          </w:p>
        </w:tc>
        <w:tc>
          <w:tcPr>
            <w:tcW w:type="dxa" w:w="2232"/>
            <w:vAlign w:val="top"/>
          </w:tcPr>
          <w:p>
            <w:pPr>
              <w:spacing w:after="0"/>
            </w:pPr>
            <w:r>
              <w:rPr>
                <w:rFonts w:ascii="Arial" w:hAnsi="Arial"/>
                <w:sz w:val="14"/>
              </w:rPr>
              <w:t>múltiplas geometrias</w:t>
            </w:r>
          </w:p>
        </w:tc>
        <w:tc>
          <w:tcPr>
            <w:tcW w:type="dxa" w:w="2592"/>
            <w:vAlign w:val="top"/>
          </w:tcPr>
          <w:p>
            <w:pPr>
              <w:spacing w:after="0"/>
            </w:pPr>
            <w:r>
              <w:rPr>
                <w:rFonts w:ascii="Arial" w:hAnsi="Arial"/>
                <w:sz w:val="14"/>
              </w:rPr>
              <w:t>ST_Union, dissolução, validação topológica</w:t>
            </w:r>
          </w:p>
        </w:tc>
        <w:tc>
          <w:tcPr>
            <w:tcW w:type="dxa" w:w="3024"/>
            <w:vAlign w:val="top"/>
          </w:tcPr>
          <w:p>
            <w:pPr>
              <w:spacing w:after="0"/>
            </w:pPr>
            <w:r>
              <w:rPr>
                <w:rFonts w:ascii="Arial" w:hAnsi="Arial"/>
                <w:sz w:val="14"/>
              </w:rPr>
              <w:t>gleba composta, área total, confrontações e análise conjunta</w:t>
            </w:r>
          </w:p>
        </w:tc>
      </w:tr>
      <w:tr>
        <w:trPr>
          <w:cantSplit/>
          <w:cantSplit/>
        </w:trPr>
        <w:tc>
          <w:tcPr>
            <w:tcW w:type="dxa" w:w="1728"/>
            <w:vAlign w:val="top"/>
          </w:tcPr>
          <w:p>
            <w:pPr>
              <w:spacing w:after="0"/>
            </w:pPr>
            <w:r>
              <w:rPr>
                <w:rFonts w:ascii="Arial" w:hAnsi="Arial"/>
                <w:sz w:val="14"/>
              </w:rPr>
              <w:t>Roteamento/isócrona</w:t>
            </w:r>
          </w:p>
        </w:tc>
        <w:tc>
          <w:tcPr>
            <w:tcW w:type="dxa" w:w="2232"/>
            <w:vAlign w:val="top"/>
          </w:tcPr>
          <w:p>
            <w:pPr>
              <w:spacing w:after="0"/>
            </w:pPr>
            <w:r>
              <w:rPr>
                <w:rFonts w:ascii="Arial" w:hAnsi="Arial"/>
                <w:sz w:val="14"/>
              </w:rPr>
              <w:t>origem + modo + tempo/distância</w:t>
            </w:r>
          </w:p>
        </w:tc>
        <w:tc>
          <w:tcPr>
            <w:tcW w:type="dxa" w:w="2592"/>
            <w:vAlign w:val="top"/>
          </w:tcPr>
          <w:p>
            <w:pPr>
              <w:spacing w:after="0"/>
            </w:pPr>
            <w:r>
              <w:rPr>
                <w:rFonts w:ascii="Arial" w:hAnsi="Arial"/>
                <w:sz w:val="14"/>
              </w:rPr>
              <w:t>motor de rotas</w:t>
            </w:r>
          </w:p>
        </w:tc>
        <w:tc>
          <w:tcPr>
            <w:tcW w:type="dxa" w:w="3024"/>
            <w:vAlign w:val="top"/>
          </w:tcPr>
          <w:p>
            <w:pPr>
              <w:spacing w:after="0"/>
            </w:pPr>
            <w:r>
              <w:rPr>
                <w:rFonts w:ascii="Arial" w:hAnsi="Arial"/>
                <w:sz w:val="14"/>
              </w:rPr>
              <w:t>área de influência, acessibilidade, mercado e mobilidade</w:t>
            </w:r>
          </w:p>
        </w:tc>
      </w:tr>
    </w:tbl>
    <w:p>
      <w:pPr>
        <w:spacing w:after="20"/>
      </w:pPr>
    </w:p>
    <w:p>
      <w:pPr>
        <w:pStyle w:val="Heading2"/>
        <w:keepNext/>
      </w:pPr>
      <w:r>
        <w:t>24.6 Território, Legal e Cadastro — catálogo municipal dinâmico</w:t>
      </w:r>
    </w:p>
    <w:p>
      <w:pPr>
        <w:spacing w:after="60"/>
      </w:pPr>
      <w:r>
        <w:rPr>
          <w:b/>
        </w:rPr>
        <w:t xml:space="preserve">Mecanismo observado. </w:t>
      </w:r>
      <w:r>
        <w:t>O frontend não codifica uma lista fixa de serviços. Ele recebe um catálogo por município e separa serviços por agrupamento. No Imóvel 360 essa abstração deve ser mantida, porém alimentada pelo nosso banco.</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1800"/>
            <w:shd w:fill="EDEDED"/>
            <w:vAlign w:val="center"/>
          </w:tcPr>
          <w:p>
            <w:pPr>
              <w:spacing w:after="0"/>
            </w:pPr>
            <w:r>
              <w:rPr>
                <w:rFonts w:ascii="Arial" w:hAnsi="Arial"/>
                <w:b/>
                <w:sz w:val="16"/>
              </w:rPr>
              <w:t>Grupo lógico</w:t>
            </w:r>
          </w:p>
        </w:tc>
        <w:tc>
          <w:tcPr>
            <w:tcW w:type="dxa" w:w="7560"/>
            <w:shd w:fill="EDEDED"/>
            <w:vAlign w:val="center"/>
          </w:tcPr>
          <w:p>
            <w:pPr>
              <w:spacing w:after="0"/>
            </w:pPr>
            <w:r>
              <w:rPr>
                <w:rFonts w:ascii="Arial" w:hAnsi="Arial"/>
                <w:b/>
                <w:sz w:val="16"/>
              </w:rPr>
              <w:t>Conteúdo esperado no Imóvel 360</w:t>
            </w:r>
          </w:p>
        </w:tc>
      </w:tr>
      <w:tr>
        <w:trPr>
          <w:cantSplit/>
          <w:cantSplit/>
        </w:trPr>
        <w:tc>
          <w:tcPr>
            <w:tcW w:type="dxa" w:w="1800"/>
            <w:vAlign w:val="top"/>
          </w:tcPr>
          <w:p>
            <w:pPr>
              <w:spacing w:after="0"/>
            </w:pPr>
            <w:r>
              <w:rPr>
                <w:rFonts w:ascii="Arial" w:hAnsi="Arial"/>
                <w:sz w:val="16"/>
              </w:rPr>
              <w:t>Território</w:t>
            </w:r>
          </w:p>
        </w:tc>
        <w:tc>
          <w:tcPr>
            <w:tcW w:type="dxa" w:w="7560"/>
            <w:vAlign w:val="top"/>
          </w:tcPr>
          <w:p>
            <w:pPr>
              <w:spacing w:after="0"/>
            </w:pPr>
            <w:r>
              <w:rPr>
                <w:rFonts w:ascii="Arial" w:hAnsi="Arial"/>
                <w:sz w:val="16"/>
              </w:rPr>
              <w:t>infraestrutura, mobilidade, equipamentos, riscos, ambiente, topografia, hidrografia, energia, redes, amenidades, mercado e contexto urbano.</w:t>
            </w:r>
          </w:p>
        </w:tc>
      </w:tr>
      <w:tr>
        <w:trPr>
          <w:cantSplit/>
          <w:cantSplit/>
        </w:trPr>
        <w:tc>
          <w:tcPr>
            <w:tcW w:type="dxa" w:w="1800"/>
            <w:vAlign w:val="top"/>
          </w:tcPr>
          <w:p>
            <w:pPr>
              <w:spacing w:after="0"/>
            </w:pPr>
            <w:r>
              <w:rPr>
                <w:rFonts w:ascii="Arial" w:hAnsi="Arial"/>
                <w:sz w:val="16"/>
              </w:rPr>
              <w:t>Legal</w:t>
            </w:r>
          </w:p>
        </w:tc>
        <w:tc>
          <w:tcPr>
            <w:tcW w:type="dxa" w:w="7560"/>
            <w:vAlign w:val="top"/>
          </w:tcPr>
          <w:p>
            <w:pPr>
              <w:spacing w:after="0"/>
            </w:pPr>
            <w:r>
              <w:rPr>
                <w:rFonts w:ascii="Arial" w:hAnsi="Arial"/>
                <w:sz w:val="16"/>
              </w:rPr>
              <w:t>Plano Diretor, zoneamento, parâmetros, ZEIS, operações urbanas, patrimônio, restrições, licenciamento, instrumentos urbanísticos e legislação temporal.</w:t>
            </w:r>
          </w:p>
        </w:tc>
      </w:tr>
      <w:tr>
        <w:trPr>
          <w:cantSplit/>
          <w:cantSplit/>
        </w:trPr>
        <w:tc>
          <w:tcPr>
            <w:tcW w:type="dxa" w:w="1800"/>
            <w:vAlign w:val="top"/>
          </w:tcPr>
          <w:p>
            <w:pPr>
              <w:spacing w:after="0"/>
            </w:pPr>
            <w:r>
              <w:rPr>
                <w:rFonts w:ascii="Arial" w:hAnsi="Arial"/>
                <w:sz w:val="16"/>
              </w:rPr>
              <w:t>Cadastro</w:t>
            </w:r>
          </w:p>
        </w:tc>
        <w:tc>
          <w:tcPr>
            <w:tcW w:type="dxa" w:w="7560"/>
            <w:vAlign w:val="top"/>
          </w:tcPr>
          <w:p>
            <w:pPr>
              <w:spacing w:after="0"/>
            </w:pPr>
            <w:r>
              <w:rPr>
                <w:rFonts w:ascii="Arial" w:hAnsi="Arial"/>
                <w:sz w:val="16"/>
              </w:rPr>
              <w:t>lote fiscal, inscrição, CIB, IPTU, valor venal, contribuintes quando permitido, ITBI/transações, endereço, setor/quadra/lote e vínculos documentais.</w:t>
            </w:r>
          </w:p>
        </w:tc>
      </w:tr>
    </w:tbl>
    <w:p>
      <w:pPr>
        <w:spacing w:after="20"/>
      </w:pPr>
    </w:p>
    <w:p>
      <w:pPr>
        <w:spacing w:after="30"/>
        <w:ind w:left="259" w:hanging="173"/>
      </w:pPr>
      <w:r>
        <w:t xml:space="preserve">• </w:t>
      </w:r>
      <w:r>
        <w:t>Contrato recomendado: service_registry(municipality_id, group, code, source_id, endpoint/template, default_distance, display_config, enabled, valid_from, valid_to).</w:t>
      </w:r>
    </w:p>
    <w:p>
      <w:pPr>
        <w:spacing w:after="30"/>
        <w:ind w:left="259" w:hanging="173"/>
      </w:pPr>
      <w:r>
        <w:t xml:space="preserve">• </w:t>
      </w:r>
      <w:r>
        <w:t>O frontend legado substituía placeholders como [LONGITUDE], [LATITUDE], [MUNICIPIO] e [DISTANCIA]; nossa versão deve resolver a consulta internamente e nunca depender de URL externa arbitrária cadastrada sem validação.</w:t>
      </w:r>
    </w:p>
    <w:p>
      <w:pPr>
        <w:pStyle w:val="Heading2"/>
        <w:keepNext/>
      </w:pPr>
      <w:r>
        <w:t>24.7 Camadas e fontes diretamente observadas no frontend</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3240"/>
            <w:shd w:fill="EDEDED"/>
            <w:vAlign w:val="center"/>
          </w:tcPr>
          <w:p>
            <w:pPr>
              <w:spacing w:after="0"/>
            </w:pPr>
            <w:r>
              <w:rPr>
                <w:rFonts w:ascii="Arial" w:hAnsi="Arial"/>
                <w:b/>
                <w:sz w:val="15"/>
              </w:rPr>
              <w:t>Layer/source observado</w:t>
            </w:r>
          </w:p>
        </w:tc>
        <w:tc>
          <w:tcPr>
            <w:tcW w:type="dxa" w:w="6120"/>
            <w:shd w:fill="EDEDED"/>
            <w:vAlign w:val="center"/>
          </w:tcPr>
          <w:p>
            <w:pPr>
              <w:spacing w:after="0"/>
            </w:pPr>
            <w:r>
              <w:rPr>
                <w:rFonts w:ascii="Arial" w:hAnsi="Arial"/>
                <w:b/>
                <w:sz w:val="15"/>
              </w:rPr>
              <w:t>Uso no Imóvel 360</w:t>
            </w:r>
          </w:p>
        </w:tc>
      </w:tr>
      <w:tr>
        <w:trPr>
          <w:cantSplit/>
          <w:cantSplit/>
        </w:trPr>
        <w:tc>
          <w:tcPr>
            <w:tcW w:type="dxa" w:w="3240"/>
            <w:vAlign w:val="top"/>
          </w:tcPr>
          <w:p>
            <w:pPr>
              <w:spacing w:after="0"/>
            </w:pPr>
            <w:r>
              <w:rPr>
                <w:rFonts w:ascii="Arial" w:hAnsi="Arial"/>
                <w:sz w:val="15"/>
              </w:rPr>
              <w:t>municipios</w:t>
            </w:r>
          </w:p>
        </w:tc>
        <w:tc>
          <w:tcPr>
            <w:tcW w:type="dxa" w:w="6120"/>
            <w:vAlign w:val="top"/>
          </w:tcPr>
          <w:p>
            <w:pPr>
              <w:spacing w:after="0"/>
            </w:pPr>
            <w:r>
              <w:rPr>
                <w:rFonts w:ascii="Arial" w:hAnsi="Arial"/>
                <w:sz w:val="15"/>
              </w:rPr>
              <w:t>limite/identificação do município ativo</w:t>
            </w:r>
          </w:p>
        </w:tc>
      </w:tr>
      <w:tr>
        <w:trPr>
          <w:cantSplit/>
          <w:cantSplit/>
        </w:trPr>
        <w:tc>
          <w:tcPr>
            <w:tcW w:type="dxa" w:w="3240"/>
            <w:vAlign w:val="top"/>
          </w:tcPr>
          <w:p>
            <w:pPr>
              <w:spacing w:after="0"/>
            </w:pPr>
            <w:r>
              <w:rPr>
                <w:rFonts w:ascii="Arial" w:hAnsi="Arial"/>
                <w:sz w:val="15"/>
              </w:rPr>
              <w:t>zoneamento</w:t>
            </w:r>
          </w:p>
        </w:tc>
        <w:tc>
          <w:tcPr>
            <w:tcW w:type="dxa" w:w="6120"/>
            <w:vAlign w:val="top"/>
          </w:tcPr>
          <w:p>
            <w:pPr>
              <w:spacing w:after="0"/>
            </w:pPr>
            <w:r>
              <w:rPr>
                <w:rFonts w:ascii="Arial" w:hAnsi="Arial"/>
                <w:sz w:val="15"/>
              </w:rPr>
              <w:t>zona e parâmetros urbanísticos</w:t>
            </w:r>
          </w:p>
        </w:tc>
      </w:tr>
      <w:tr>
        <w:trPr>
          <w:cantSplit/>
          <w:cantSplit/>
        </w:trPr>
        <w:tc>
          <w:tcPr>
            <w:tcW w:type="dxa" w:w="3240"/>
            <w:vAlign w:val="top"/>
          </w:tcPr>
          <w:p>
            <w:pPr>
              <w:spacing w:after="0"/>
            </w:pPr>
            <w:r>
              <w:rPr>
                <w:rFonts w:ascii="Arial" w:hAnsi="Arial"/>
                <w:sz w:val="15"/>
              </w:rPr>
              <w:t>lote_fiscal</w:t>
            </w:r>
          </w:p>
        </w:tc>
        <w:tc>
          <w:tcPr>
            <w:tcW w:type="dxa" w:w="6120"/>
            <w:vAlign w:val="top"/>
          </w:tcPr>
          <w:p>
            <w:pPr>
              <w:spacing w:after="0"/>
            </w:pPr>
            <w:r>
              <w:rPr>
                <w:rFonts w:ascii="Arial" w:hAnsi="Arial"/>
                <w:sz w:val="15"/>
              </w:rPr>
              <w:t>geometria e identificação cadastral do lote</w:t>
            </w:r>
          </w:p>
        </w:tc>
      </w:tr>
      <w:tr>
        <w:trPr>
          <w:cantSplit/>
          <w:cantSplit/>
        </w:trPr>
        <w:tc>
          <w:tcPr>
            <w:tcW w:type="dxa" w:w="3240"/>
            <w:vAlign w:val="top"/>
          </w:tcPr>
          <w:p>
            <w:pPr>
              <w:spacing w:after="0"/>
            </w:pPr>
            <w:r>
              <w:rPr>
                <w:rFonts w:ascii="Arial" w:hAnsi="Arial"/>
                <w:sz w:val="15"/>
              </w:rPr>
              <w:t>areas_contaminadas</w:t>
            </w:r>
          </w:p>
        </w:tc>
        <w:tc>
          <w:tcPr>
            <w:tcW w:type="dxa" w:w="6120"/>
            <w:vAlign w:val="top"/>
          </w:tcPr>
          <w:p>
            <w:pPr>
              <w:spacing w:after="0"/>
            </w:pPr>
            <w:r>
              <w:rPr>
                <w:rFonts w:ascii="Arial" w:hAnsi="Arial"/>
                <w:sz w:val="15"/>
              </w:rPr>
              <w:t>restrições e investigação ambiental</w:t>
            </w:r>
          </w:p>
        </w:tc>
      </w:tr>
      <w:tr>
        <w:trPr>
          <w:cantSplit/>
          <w:cantSplit/>
        </w:trPr>
        <w:tc>
          <w:tcPr>
            <w:tcW w:type="dxa" w:w="3240"/>
            <w:vAlign w:val="top"/>
          </w:tcPr>
          <w:p>
            <w:pPr>
              <w:spacing w:after="0"/>
            </w:pPr>
            <w:r>
              <w:rPr>
                <w:rFonts w:ascii="Arial" w:hAnsi="Arial"/>
                <w:sz w:val="15"/>
              </w:rPr>
              <w:t>geosampa_assentamentos</w:t>
            </w:r>
          </w:p>
        </w:tc>
        <w:tc>
          <w:tcPr>
            <w:tcW w:type="dxa" w:w="6120"/>
            <w:vAlign w:val="top"/>
          </w:tcPr>
          <w:p>
            <w:pPr>
              <w:spacing w:after="0"/>
            </w:pPr>
            <w:r>
              <w:rPr>
                <w:rFonts w:ascii="Arial" w:hAnsi="Arial"/>
                <w:sz w:val="15"/>
              </w:rPr>
              <w:t>assentamentos/ocupações em fonte municipal observada</w:t>
            </w:r>
          </w:p>
        </w:tc>
      </w:tr>
      <w:tr>
        <w:trPr>
          <w:cantSplit/>
          <w:cantSplit/>
        </w:trPr>
        <w:tc>
          <w:tcPr>
            <w:tcW w:type="dxa" w:w="3240"/>
            <w:vAlign w:val="top"/>
          </w:tcPr>
          <w:p>
            <w:pPr>
              <w:spacing w:after="0"/>
            </w:pPr>
            <w:r>
              <w:rPr>
                <w:rFonts w:ascii="Arial" w:hAnsi="Arial"/>
                <w:sz w:val="15"/>
              </w:rPr>
              <w:t>areas_risco_geologico</w:t>
            </w:r>
          </w:p>
        </w:tc>
        <w:tc>
          <w:tcPr>
            <w:tcW w:type="dxa" w:w="6120"/>
            <w:vAlign w:val="top"/>
          </w:tcPr>
          <w:p>
            <w:pPr>
              <w:spacing w:after="0"/>
            </w:pPr>
            <w:r>
              <w:rPr>
                <w:rFonts w:ascii="Arial" w:hAnsi="Arial"/>
                <w:sz w:val="15"/>
              </w:rPr>
              <w:t>risco geológico</w:t>
            </w:r>
          </w:p>
        </w:tc>
      </w:tr>
      <w:tr>
        <w:trPr>
          <w:cantSplit/>
          <w:cantSplit/>
        </w:trPr>
        <w:tc>
          <w:tcPr>
            <w:tcW w:type="dxa" w:w="3240"/>
            <w:vAlign w:val="top"/>
          </w:tcPr>
          <w:p>
            <w:pPr>
              <w:spacing w:after="0"/>
            </w:pPr>
            <w:r>
              <w:rPr>
                <w:rFonts w:ascii="Arial" w:hAnsi="Arial"/>
                <w:sz w:val="15"/>
              </w:rPr>
              <w:t>alagamentos</w:t>
            </w:r>
          </w:p>
        </w:tc>
        <w:tc>
          <w:tcPr>
            <w:tcW w:type="dxa" w:w="6120"/>
            <w:vAlign w:val="top"/>
          </w:tcPr>
          <w:p>
            <w:pPr>
              <w:spacing w:after="0"/>
            </w:pPr>
            <w:r>
              <w:rPr>
                <w:rFonts w:ascii="Arial" w:hAnsi="Arial"/>
                <w:sz w:val="15"/>
              </w:rPr>
              <w:t>ocorrência/suscetibilidade de alagamento</w:t>
            </w:r>
          </w:p>
        </w:tc>
      </w:tr>
      <w:tr>
        <w:trPr>
          <w:cantSplit/>
          <w:cantSplit/>
        </w:trPr>
        <w:tc>
          <w:tcPr>
            <w:tcW w:type="dxa" w:w="3240"/>
            <w:vAlign w:val="top"/>
          </w:tcPr>
          <w:p>
            <w:pPr>
              <w:spacing w:after="0"/>
            </w:pPr>
            <w:r>
              <w:rPr>
                <w:rFonts w:ascii="Arial" w:hAnsi="Arial"/>
                <w:sz w:val="15"/>
              </w:rPr>
              <w:t>view_explorer_operacoes_urbanas</w:t>
            </w:r>
          </w:p>
        </w:tc>
        <w:tc>
          <w:tcPr>
            <w:tcW w:type="dxa" w:w="6120"/>
            <w:vAlign w:val="top"/>
          </w:tcPr>
          <w:p>
            <w:pPr>
              <w:spacing w:after="0"/>
            </w:pPr>
            <w:r>
              <w:rPr>
                <w:rFonts w:ascii="Arial" w:hAnsi="Arial"/>
                <w:sz w:val="15"/>
              </w:rPr>
              <w:t>operações urbanas e perímetros especiais</w:t>
            </w:r>
          </w:p>
        </w:tc>
      </w:tr>
      <w:tr>
        <w:trPr>
          <w:cantSplit/>
          <w:cantSplit/>
        </w:trPr>
        <w:tc>
          <w:tcPr>
            <w:tcW w:type="dxa" w:w="3240"/>
            <w:vAlign w:val="top"/>
          </w:tcPr>
          <w:p>
            <w:pPr>
              <w:spacing w:after="0"/>
            </w:pPr>
            <w:r>
              <w:rPr>
                <w:rFonts w:ascii="Arial" w:hAnsi="Arial"/>
                <w:sz w:val="15"/>
              </w:rPr>
              <w:t>view_explorer_lotes_acessoria</w:t>
            </w:r>
          </w:p>
        </w:tc>
        <w:tc>
          <w:tcPr>
            <w:tcW w:type="dxa" w:w="6120"/>
            <w:vAlign w:val="top"/>
          </w:tcPr>
          <w:p>
            <w:pPr>
              <w:spacing w:after="0"/>
            </w:pPr>
            <w:r>
              <w:rPr>
                <w:rFonts w:ascii="Arial" w:hAnsi="Arial"/>
                <w:sz w:val="15"/>
              </w:rPr>
              <w:t>lotes/visões cadastrais auxiliares</w:t>
            </w:r>
          </w:p>
        </w:tc>
      </w:tr>
      <w:tr>
        <w:trPr>
          <w:cantSplit/>
          <w:cantSplit/>
        </w:trPr>
        <w:tc>
          <w:tcPr>
            <w:tcW w:type="dxa" w:w="3240"/>
            <w:vAlign w:val="top"/>
          </w:tcPr>
          <w:p>
            <w:pPr>
              <w:spacing w:after="0"/>
            </w:pPr>
            <w:r>
              <w:rPr>
                <w:rFonts w:ascii="Arial" w:hAnsi="Arial"/>
                <w:sz w:val="15"/>
              </w:rPr>
              <w:t>trilhos_urbanos_trajetos</w:t>
            </w:r>
          </w:p>
        </w:tc>
        <w:tc>
          <w:tcPr>
            <w:tcW w:type="dxa" w:w="6120"/>
            <w:vAlign w:val="top"/>
          </w:tcPr>
          <w:p>
            <w:pPr>
              <w:spacing w:after="0"/>
            </w:pPr>
            <w:r>
              <w:rPr>
                <w:rFonts w:ascii="Arial" w:hAnsi="Arial"/>
                <w:sz w:val="15"/>
              </w:rPr>
              <w:t>trajetos de transporte sobre trilhos</w:t>
            </w:r>
          </w:p>
        </w:tc>
      </w:tr>
      <w:tr>
        <w:trPr>
          <w:cantSplit/>
          <w:cantSplit/>
        </w:trPr>
        <w:tc>
          <w:tcPr>
            <w:tcW w:type="dxa" w:w="3240"/>
            <w:vAlign w:val="top"/>
          </w:tcPr>
          <w:p>
            <w:pPr>
              <w:spacing w:after="0"/>
            </w:pPr>
            <w:r>
              <w:rPr>
                <w:rFonts w:ascii="Arial" w:hAnsi="Arial"/>
                <w:sz w:val="15"/>
              </w:rPr>
              <w:t>trilhos_urbanos_estacoes</w:t>
            </w:r>
          </w:p>
        </w:tc>
        <w:tc>
          <w:tcPr>
            <w:tcW w:type="dxa" w:w="6120"/>
            <w:vAlign w:val="top"/>
          </w:tcPr>
          <w:p>
            <w:pPr>
              <w:spacing w:after="0"/>
            </w:pPr>
            <w:r>
              <w:rPr>
                <w:rFonts w:ascii="Arial" w:hAnsi="Arial"/>
                <w:sz w:val="15"/>
              </w:rPr>
              <w:t>estações de transporte sobre trilhos</w:t>
            </w:r>
          </w:p>
        </w:tc>
      </w:tr>
    </w:tbl>
    <w:p>
      <w:pPr>
        <w:spacing w:after="20"/>
      </w:pPr>
    </w:p>
    <w:p>
      <w:pPr>
        <w:pStyle w:val="Heading2"/>
        <w:keepNext/>
      </w:pPr>
      <w:r>
        <w:t>24.8 Endpoints e consultas funcionais observadas</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3816"/>
            <w:shd w:fill="EDEDED"/>
            <w:vAlign w:val="center"/>
          </w:tcPr>
          <w:p>
            <w:pPr>
              <w:spacing w:after="0"/>
            </w:pPr>
            <w:r>
              <w:rPr>
                <w:rFonts w:ascii="Arial" w:hAnsi="Arial"/>
                <w:b/>
                <w:sz w:val="14"/>
              </w:rPr>
              <w:t>Contrato observado</w:t>
            </w:r>
          </w:p>
        </w:tc>
        <w:tc>
          <w:tcPr>
            <w:tcW w:type="dxa" w:w="5544"/>
            <w:shd w:fill="EDEDED"/>
            <w:vAlign w:val="center"/>
          </w:tcPr>
          <w:p>
            <w:pPr>
              <w:spacing w:after="0"/>
            </w:pPr>
            <w:r>
              <w:rPr>
                <w:rFonts w:ascii="Arial" w:hAnsi="Arial"/>
                <w:b/>
                <w:sz w:val="14"/>
              </w:rPr>
              <w:t>Finalidade a reproduzir</w:t>
            </w:r>
          </w:p>
        </w:tc>
      </w:tr>
      <w:tr>
        <w:trPr>
          <w:cantSplit/>
          <w:cantSplit/>
        </w:trPr>
        <w:tc>
          <w:tcPr>
            <w:tcW w:type="dxa" w:w="3816"/>
            <w:vAlign w:val="top"/>
          </w:tcPr>
          <w:p>
            <w:pPr>
              <w:spacing w:after="0"/>
            </w:pPr>
            <w:r>
              <w:rPr>
                <w:rFonts w:ascii="Arial" w:hAnsi="Arial"/>
                <w:sz w:val="14"/>
              </w:rPr>
              <w:t>municipios/{lng}/{lat}</w:t>
            </w:r>
          </w:p>
        </w:tc>
        <w:tc>
          <w:tcPr>
            <w:tcW w:type="dxa" w:w="5544"/>
            <w:vAlign w:val="top"/>
          </w:tcPr>
          <w:p>
            <w:pPr>
              <w:spacing w:after="0"/>
            </w:pPr>
            <w:r>
              <w:rPr>
                <w:rFonts w:ascii="Arial" w:hAnsi="Arial"/>
                <w:sz w:val="14"/>
              </w:rPr>
              <w:t>resolver município por coordenada</w:t>
            </w:r>
          </w:p>
        </w:tc>
      </w:tr>
      <w:tr>
        <w:trPr>
          <w:cantSplit/>
          <w:cantSplit/>
        </w:trPr>
        <w:tc>
          <w:tcPr>
            <w:tcW w:type="dxa" w:w="3816"/>
            <w:vAlign w:val="top"/>
          </w:tcPr>
          <w:p>
            <w:pPr>
              <w:spacing w:after="0"/>
            </w:pPr>
            <w:r>
              <w:rPr>
                <w:rFonts w:ascii="Arial" w:hAnsi="Arial"/>
                <w:sz w:val="14"/>
              </w:rPr>
              <w:t>municipio/.../lote-fiscal/...</w:t>
            </w:r>
          </w:p>
        </w:tc>
        <w:tc>
          <w:tcPr>
            <w:tcW w:type="dxa" w:w="5544"/>
            <w:vAlign w:val="top"/>
          </w:tcPr>
          <w:p>
            <w:pPr>
              <w:spacing w:after="0"/>
            </w:pPr>
            <w:r>
              <w:rPr>
                <w:rFonts w:ascii="Arial" w:hAnsi="Arial"/>
                <w:sz w:val="14"/>
              </w:rPr>
              <w:t>localizar lote fiscal e atributos cadastrais</w:t>
            </w:r>
          </w:p>
        </w:tc>
      </w:tr>
      <w:tr>
        <w:trPr>
          <w:cantSplit/>
          <w:cantSplit/>
        </w:trPr>
        <w:tc>
          <w:tcPr>
            <w:tcW w:type="dxa" w:w="3816"/>
            <w:vAlign w:val="top"/>
          </w:tcPr>
          <w:p>
            <w:pPr>
              <w:spacing w:after="0"/>
            </w:pPr>
            <w:r>
              <w:rPr>
                <w:rFonts w:ascii="Arial" w:hAnsi="Arial"/>
                <w:sz w:val="14"/>
              </w:rPr>
              <w:t>municipio/.../contribuintes/...</w:t>
            </w:r>
          </w:p>
        </w:tc>
        <w:tc>
          <w:tcPr>
            <w:tcW w:type="dxa" w:w="5544"/>
            <w:vAlign w:val="top"/>
          </w:tcPr>
          <w:p>
            <w:pPr>
              <w:spacing w:after="0"/>
            </w:pPr>
            <w:r>
              <w:rPr>
                <w:rFonts w:ascii="Arial" w:hAnsi="Arial"/>
                <w:sz w:val="14"/>
              </w:rPr>
              <w:t>associar cadastro/contribuinte quando permitido</w:t>
            </w:r>
          </w:p>
        </w:tc>
      </w:tr>
      <w:tr>
        <w:trPr>
          <w:cantSplit/>
          <w:cantSplit/>
        </w:trPr>
        <w:tc>
          <w:tcPr>
            <w:tcW w:type="dxa" w:w="3816"/>
            <w:vAlign w:val="top"/>
          </w:tcPr>
          <w:p>
            <w:pPr>
              <w:spacing w:after="0"/>
            </w:pPr>
            <w:r>
              <w:rPr>
                <w:rFonts w:ascii="Arial" w:hAnsi="Arial"/>
                <w:sz w:val="14"/>
              </w:rPr>
              <w:t>municipio/.../transacoes-itbi/...</w:t>
            </w:r>
          </w:p>
        </w:tc>
        <w:tc>
          <w:tcPr>
            <w:tcW w:type="dxa" w:w="5544"/>
            <w:vAlign w:val="top"/>
          </w:tcPr>
          <w:p>
            <w:pPr>
              <w:spacing w:after="0"/>
            </w:pPr>
            <w:r>
              <w:rPr>
                <w:rFonts w:ascii="Arial" w:hAnsi="Arial"/>
                <w:sz w:val="14"/>
              </w:rPr>
              <w:t>histórico de transações/ITBI quando aberto ou autorizado</w:t>
            </w:r>
          </w:p>
        </w:tc>
      </w:tr>
      <w:tr>
        <w:trPr>
          <w:cantSplit/>
          <w:cantSplit/>
        </w:trPr>
        <w:tc>
          <w:tcPr>
            <w:tcW w:type="dxa" w:w="3816"/>
            <w:vAlign w:val="top"/>
          </w:tcPr>
          <w:p>
            <w:pPr>
              <w:spacing w:after="0"/>
            </w:pPr>
            <w:r>
              <w:rPr>
                <w:rFonts w:ascii="Arial" w:hAnsi="Arial"/>
                <w:sz w:val="14"/>
              </w:rPr>
              <w:t>municipio/.../fator-social</w:t>
            </w:r>
          </w:p>
        </w:tc>
        <w:tc>
          <w:tcPr>
            <w:tcW w:type="dxa" w:w="5544"/>
            <w:vAlign w:val="top"/>
          </w:tcPr>
          <w:p>
            <w:pPr>
              <w:spacing w:after="0"/>
            </w:pPr>
            <w:r>
              <w:rPr>
                <w:rFonts w:ascii="Arial" w:hAnsi="Arial"/>
                <w:sz w:val="14"/>
              </w:rPr>
              <w:t>fatores usados em cálculos urbanísticos/financeiros</w:t>
            </w:r>
          </w:p>
        </w:tc>
      </w:tr>
      <w:tr>
        <w:trPr>
          <w:cantSplit/>
          <w:cantSplit/>
        </w:trPr>
        <w:tc>
          <w:tcPr>
            <w:tcW w:type="dxa" w:w="3816"/>
            <w:vAlign w:val="top"/>
          </w:tcPr>
          <w:p>
            <w:pPr>
              <w:spacing w:after="0"/>
            </w:pPr>
            <w:r>
              <w:rPr>
                <w:rFonts w:ascii="Arial" w:hAnsi="Arial"/>
                <w:sz w:val="14"/>
              </w:rPr>
              <w:t>busca-contribuinte/{setor}/{quadra}/{lote}</w:t>
            </w:r>
          </w:p>
        </w:tc>
        <w:tc>
          <w:tcPr>
            <w:tcW w:type="dxa" w:w="5544"/>
            <w:vAlign w:val="top"/>
          </w:tcPr>
          <w:p>
            <w:pPr>
              <w:spacing w:after="0"/>
            </w:pPr>
            <w:r>
              <w:rPr>
                <w:rFonts w:ascii="Arial" w:hAnsi="Arial"/>
                <w:sz w:val="14"/>
              </w:rPr>
              <w:t>resolver cadastro por identificação fiscal</w:t>
            </w:r>
          </w:p>
        </w:tc>
      </w:tr>
      <w:tr>
        <w:trPr>
          <w:cantSplit/>
          <w:cantSplit/>
        </w:trPr>
        <w:tc>
          <w:tcPr>
            <w:tcW w:type="dxa" w:w="3816"/>
            <w:vAlign w:val="top"/>
          </w:tcPr>
          <w:p>
            <w:pPr>
              <w:spacing w:after="0"/>
            </w:pPr>
            <w:r>
              <w:rPr>
                <w:rFonts w:ascii="Arial" w:hAnsi="Arial"/>
                <w:sz w:val="14"/>
              </w:rPr>
              <w:t>service/bairros/{lng}/{lat}?distance=...</w:t>
            </w:r>
          </w:p>
        </w:tc>
        <w:tc>
          <w:tcPr>
            <w:tcW w:type="dxa" w:w="5544"/>
            <w:vAlign w:val="top"/>
          </w:tcPr>
          <w:p>
            <w:pPr>
              <w:spacing w:after="0"/>
            </w:pPr>
            <w:r>
              <w:rPr>
                <w:rFonts w:ascii="Arial" w:hAnsi="Arial"/>
                <w:sz w:val="14"/>
              </w:rPr>
              <w:t>bairro/contexto por proximidade</w:t>
            </w:r>
          </w:p>
        </w:tc>
      </w:tr>
      <w:tr>
        <w:trPr>
          <w:cantSplit/>
          <w:cantSplit/>
        </w:trPr>
        <w:tc>
          <w:tcPr>
            <w:tcW w:type="dxa" w:w="3816"/>
            <w:vAlign w:val="top"/>
          </w:tcPr>
          <w:p>
            <w:pPr>
              <w:spacing w:after="0"/>
            </w:pPr>
            <w:r>
              <w:rPr>
                <w:rFonts w:ascii="Arial" w:hAnsi="Arial"/>
                <w:sz w:val="14"/>
              </w:rPr>
              <w:t>service/lancamentos-incorporadoras</w:t>
            </w:r>
          </w:p>
        </w:tc>
        <w:tc>
          <w:tcPr>
            <w:tcW w:type="dxa" w:w="5544"/>
            <w:vAlign w:val="top"/>
          </w:tcPr>
          <w:p>
            <w:pPr>
              <w:spacing w:after="0"/>
            </w:pPr>
            <w:r>
              <w:rPr>
                <w:rFonts w:ascii="Arial" w:hAnsi="Arial"/>
                <w:sz w:val="14"/>
              </w:rPr>
              <w:t>incorporadoras e lançamentos</w:t>
            </w:r>
          </w:p>
        </w:tc>
      </w:tr>
      <w:tr>
        <w:trPr>
          <w:cantSplit/>
          <w:cantSplit/>
        </w:trPr>
        <w:tc>
          <w:tcPr>
            <w:tcW w:type="dxa" w:w="3816"/>
            <w:vAlign w:val="top"/>
          </w:tcPr>
          <w:p>
            <w:pPr>
              <w:spacing w:after="0"/>
            </w:pPr>
            <w:r>
              <w:rPr>
                <w:rFonts w:ascii="Arial" w:hAnsi="Arial"/>
                <w:sz w:val="14"/>
              </w:rPr>
              <w:t>real-estate-launches/ + typologies</w:t>
            </w:r>
          </w:p>
        </w:tc>
        <w:tc>
          <w:tcPr>
            <w:tcW w:type="dxa" w:w="5544"/>
            <w:vAlign w:val="top"/>
          </w:tcPr>
          <w:p>
            <w:pPr>
              <w:spacing w:after="0"/>
            </w:pPr>
            <w:r>
              <w:rPr>
                <w:rFonts w:ascii="Arial" w:hAnsi="Arial"/>
                <w:sz w:val="14"/>
              </w:rPr>
              <w:t>lançamentos e tipologias</w:t>
            </w:r>
          </w:p>
        </w:tc>
      </w:tr>
      <w:tr>
        <w:trPr>
          <w:cantSplit/>
          <w:cantSplit/>
        </w:trPr>
        <w:tc>
          <w:tcPr>
            <w:tcW w:type="dxa" w:w="3816"/>
            <w:vAlign w:val="top"/>
          </w:tcPr>
          <w:p>
            <w:pPr>
              <w:spacing w:after="0"/>
            </w:pPr>
            <w:r>
              <w:rPr>
                <w:rFonts w:ascii="Arial" w:hAnsi="Arial"/>
                <w:sz w:val="14"/>
              </w:rPr>
              <w:t>service/sales-flow-launches/...</w:t>
            </w:r>
          </w:p>
        </w:tc>
        <w:tc>
          <w:tcPr>
            <w:tcW w:type="dxa" w:w="5544"/>
            <w:vAlign w:val="top"/>
          </w:tcPr>
          <w:p>
            <w:pPr>
              <w:spacing w:after="0"/>
            </w:pPr>
            <w:r>
              <w:rPr>
                <w:rFonts w:ascii="Arial" w:hAnsi="Arial"/>
                <w:sz w:val="14"/>
              </w:rPr>
              <w:t>fluxo de vendas/VSO</w:t>
            </w:r>
          </w:p>
        </w:tc>
      </w:tr>
      <w:tr>
        <w:trPr>
          <w:cantSplit/>
          <w:cantSplit/>
        </w:trPr>
        <w:tc>
          <w:tcPr>
            <w:tcW w:type="dxa" w:w="3816"/>
            <w:vAlign w:val="top"/>
          </w:tcPr>
          <w:p>
            <w:pPr>
              <w:spacing w:after="0"/>
            </w:pPr>
            <w:r>
              <w:rPr>
                <w:rFonts w:ascii="Arial" w:hAnsi="Arial"/>
                <w:sz w:val="14"/>
              </w:rPr>
              <w:t>zoneamentos/...</w:t>
            </w:r>
          </w:p>
        </w:tc>
        <w:tc>
          <w:tcPr>
            <w:tcW w:type="dxa" w:w="5544"/>
            <w:vAlign w:val="top"/>
          </w:tcPr>
          <w:p>
            <w:pPr>
              <w:spacing w:after="0"/>
            </w:pPr>
            <w:r>
              <w:rPr>
                <w:rFonts w:ascii="Arial" w:hAnsi="Arial"/>
                <w:sz w:val="14"/>
              </w:rPr>
              <w:t>consulta de zoneamento</w:t>
            </w:r>
          </w:p>
        </w:tc>
      </w:tr>
      <w:tr>
        <w:trPr>
          <w:cantSplit/>
          <w:cantSplit/>
        </w:trPr>
        <w:tc>
          <w:tcPr>
            <w:tcW w:type="dxa" w:w="3816"/>
            <w:vAlign w:val="top"/>
          </w:tcPr>
          <w:p>
            <w:pPr>
              <w:spacing w:after="0"/>
            </w:pPr>
            <w:r>
              <w:rPr>
                <w:rFonts w:ascii="Arial" w:hAnsi="Arial"/>
                <w:sz w:val="14"/>
              </w:rPr>
              <w:t>explorer/tables + tables-info</w:t>
            </w:r>
          </w:p>
        </w:tc>
        <w:tc>
          <w:tcPr>
            <w:tcW w:type="dxa" w:w="5544"/>
            <w:vAlign w:val="top"/>
          </w:tcPr>
          <w:p>
            <w:pPr>
              <w:spacing w:after="0"/>
            </w:pPr>
            <w:r>
              <w:rPr>
                <w:rFonts w:ascii="Arial" w:hAnsi="Arial"/>
                <w:sz w:val="14"/>
              </w:rPr>
              <w:t>inspeção de tabelas/views para publicar layers</w:t>
            </w:r>
          </w:p>
        </w:tc>
      </w:tr>
      <w:tr>
        <w:trPr>
          <w:cantSplit/>
          <w:cantSplit/>
        </w:trPr>
        <w:tc>
          <w:tcPr>
            <w:tcW w:type="dxa" w:w="3816"/>
            <w:vAlign w:val="top"/>
          </w:tcPr>
          <w:p>
            <w:pPr>
              <w:spacing w:after="0"/>
            </w:pPr>
            <w:r>
              <w:rPr>
                <w:rFonts w:ascii="Arial" w:hAnsi="Arial"/>
                <w:sz w:val="14"/>
              </w:rPr>
              <w:t>avm</w:t>
            </w:r>
          </w:p>
        </w:tc>
        <w:tc>
          <w:tcPr>
            <w:tcW w:type="dxa" w:w="5544"/>
            <w:vAlign w:val="top"/>
          </w:tcPr>
          <w:p>
            <w:pPr>
              <w:spacing w:after="0"/>
            </w:pPr>
            <w:r>
              <w:rPr>
                <w:rFonts w:ascii="Arial" w:hAnsi="Arial"/>
                <w:sz w:val="14"/>
              </w:rPr>
              <w:t>avaliação automatizada</w:t>
            </w:r>
          </w:p>
        </w:tc>
      </w:tr>
    </w:tbl>
    <w:p>
      <w:pPr>
        <w:spacing w:after="20"/>
      </w:pPr>
    </w:p>
    <w:p>
      <w:pPr>
        <w:pStyle w:val="Heading2"/>
        <w:keepNext/>
      </w:pPr>
      <w:r>
        <w:t>24.9 Taxonomia de dados que o Imóvel 360 deve pesquisar</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1800"/>
            <w:shd w:fill="EDEDED"/>
            <w:vAlign w:val="center"/>
          </w:tcPr>
          <w:p>
            <w:pPr>
              <w:spacing w:after="0"/>
            </w:pPr>
            <w:r>
              <w:rPr>
                <w:rFonts w:ascii="Arial" w:hAnsi="Arial"/>
                <w:b/>
                <w:sz w:val="13"/>
              </w:rPr>
              <w:t>Família</w:t>
            </w:r>
          </w:p>
        </w:tc>
        <w:tc>
          <w:tcPr>
            <w:tcW w:type="dxa" w:w="5256"/>
            <w:shd w:fill="EDEDED"/>
            <w:vAlign w:val="center"/>
          </w:tcPr>
          <w:p>
            <w:pPr>
              <w:spacing w:after="0"/>
            </w:pPr>
            <w:r>
              <w:rPr>
                <w:rFonts w:ascii="Arial" w:hAnsi="Arial"/>
                <w:b/>
                <w:sz w:val="13"/>
              </w:rPr>
              <w:t>Exemplos que devem aparecer na busca/relatório</w:t>
            </w:r>
          </w:p>
        </w:tc>
        <w:tc>
          <w:tcPr>
            <w:tcW w:type="dxa" w:w="2448"/>
            <w:shd w:fill="EDEDED"/>
            <w:vAlign w:val="center"/>
          </w:tcPr>
          <w:p>
            <w:pPr>
              <w:spacing w:after="0"/>
            </w:pPr>
            <w:r>
              <w:rPr>
                <w:rFonts w:ascii="Arial" w:hAnsi="Arial"/>
                <w:b/>
                <w:sz w:val="13"/>
              </w:rPr>
              <w:t>Origem típica</w:t>
            </w:r>
          </w:p>
        </w:tc>
      </w:tr>
      <w:tr>
        <w:trPr>
          <w:cantSplit/>
          <w:cantSplit/>
        </w:trPr>
        <w:tc>
          <w:tcPr>
            <w:tcW w:type="dxa" w:w="1800"/>
            <w:vAlign w:val="top"/>
          </w:tcPr>
          <w:p>
            <w:pPr>
              <w:spacing w:after="0"/>
            </w:pPr>
            <w:r>
              <w:rPr>
                <w:rFonts w:ascii="Arial" w:hAnsi="Arial"/>
                <w:sz w:val="13"/>
              </w:rPr>
              <w:t>Identificação do imóvel</w:t>
            </w:r>
          </w:p>
        </w:tc>
        <w:tc>
          <w:tcPr>
            <w:tcW w:type="dxa" w:w="5256"/>
            <w:vAlign w:val="top"/>
          </w:tcPr>
          <w:p>
            <w:pPr>
              <w:spacing w:after="0"/>
            </w:pPr>
            <w:r>
              <w:rPr>
                <w:rFonts w:ascii="Arial" w:hAnsi="Arial"/>
                <w:sz w:val="13"/>
              </w:rPr>
              <w:t>endereço, coordenada, lote, inscrição, CIB, matrícula referenciada, área, frente, quadra/setor</w:t>
            </w:r>
          </w:p>
        </w:tc>
        <w:tc>
          <w:tcPr>
            <w:tcW w:type="dxa" w:w="2448"/>
            <w:vAlign w:val="top"/>
          </w:tcPr>
          <w:p>
            <w:pPr>
              <w:spacing w:after="0"/>
            </w:pPr>
            <w:r>
              <w:rPr>
                <w:rFonts w:ascii="Arial" w:hAnsi="Arial"/>
                <w:sz w:val="13"/>
              </w:rPr>
              <w:t>município, SINTER, usuário, integração registral</w:t>
            </w:r>
          </w:p>
        </w:tc>
      </w:tr>
      <w:tr>
        <w:trPr>
          <w:cantSplit/>
          <w:cantSplit/>
        </w:trPr>
        <w:tc>
          <w:tcPr>
            <w:tcW w:type="dxa" w:w="1800"/>
            <w:vAlign w:val="top"/>
          </w:tcPr>
          <w:p>
            <w:pPr>
              <w:spacing w:after="0"/>
            </w:pPr>
            <w:r>
              <w:rPr>
                <w:rFonts w:ascii="Arial" w:hAnsi="Arial"/>
                <w:sz w:val="13"/>
              </w:rPr>
              <w:t>Urbanismo</w:t>
            </w:r>
          </w:p>
        </w:tc>
        <w:tc>
          <w:tcPr>
            <w:tcW w:type="dxa" w:w="5256"/>
            <w:vAlign w:val="top"/>
          </w:tcPr>
          <w:p>
            <w:pPr>
              <w:spacing w:after="0"/>
            </w:pPr>
            <w:r>
              <w:rPr>
                <w:rFonts w:ascii="Arial" w:hAnsi="Arial"/>
                <w:sz w:val="13"/>
              </w:rPr>
              <w:t>Plano Diretor, zona, macrozona, ZEIS, CA/TO/TP, recuos, altura, usos, vagas, fachada, fruição</w:t>
            </w:r>
          </w:p>
        </w:tc>
        <w:tc>
          <w:tcPr>
            <w:tcW w:type="dxa" w:w="2448"/>
            <w:vAlign w:val="top"/>
          </w:tcPr>
          <w:p>
            <w:pPr>
              <w:spacing w:after="0"/>
            </w:pPr>
            <w:r>
              <w:rPr>
                <w:rFonts w:ascii="Arial" w:hAnsi="Arial"/>
                <w:sz w:val="13"/>
              </w:rPr>
              <w:t>leis, mapas municipais, motor jurídico</w:t>
            </w:r>
          </w:p>
        </w:tc>
      </w:tr>
      <w:tr>
        <w:trPr>
          <w:cantSplit/>
          <w:cantSplit/>
        </w:trPr>
        <w:tc>
          <w:tcPr>
            <w:tcW w:type="dxa" w:w="1800"/>
            <w:vAlign w:val="top"/>
          </w:tcPr>
          <w:p>
            <w:pPr>
              <w:spacing w:after="0"/>
            </w:pPr>
            <w:r>
              <w:rPr>
                <w:rFonts w:ascii="Arial" w:hAnsi="Arial"/>
                <w:sz w:val="13"/>
              </w:rPr>
              <w:t>Instrumentos</w:t>
            </w:r>
          </w:p>
        </w:tc>
        <w:tc>
          <w:tcPr>
            <w:tcW w:type="dxa" w:w="5256"/>
            <w:vAlign w:val="top"/>
          </w:tcPr>
          <w:p>
            <w:pPr>
              <w:spacing w:after="0"/>
            </w:pPr>
            <w:r>
              <w:rPr>
                <w:rFonts w:ascii="Arial" w:hAnsi="Arial"/>
                <w:sz w:val="13"/>
              </w:rPr>
              <w:t>outorga, CEPAC, TDC, PEUC, preempção, operação urbana, EIV</w:t>
            </w:r>
          </w:p>
        </w:tc>
        <w:tc>
          <w:tcPr>
            <w:tcW w:type="dxa" w:w="2448"/>
            <w:vAlign w:val="top"/>
          </w:tcPr>
          <w:p>
            <w:pPr>
              <w:spacing w:after="0"/>
            </w:pPr>
            <w:r>
              <w:rPr>
                <w:rFonts w:ascii="Arial" w:hAnsi="Arial"/>
                <w:sz w:val="13"/>
              </w:rPr>
              <w:t>legislação municipal</w:t>
            </w:r>
          </w:p>
        </w:tc>
      </w:tr>
      <w:tr>
        <w:trPr>
          <w:cantSplit/>
          <w:cantSplit/>
        </w:trPr>
        <w:tc>
          <w:tcPr>
            <w:tcW w:type="dxa" w:w="1800"/>
            <w:vAlign w:val="top"/>
          </w:tcPr>
          <w:p>
            <w:pPr>
              <w:spacing w:after="0"/>
            </w:pPr>
            <w:r>
              <w:rPr>
                <w:rFonts w:ascii="Arial" w:hAnsi="Arial"/>
                <w:sz w:val="13"/>
              </w:rPr>
              <w:t>Fiscal/cadastral</w:t>
            </w:r>
          </w:p>
        </w:tc>
        <w:tc>
          <w:tcPr>
            <w:tcW w:type="dxa" w:w="5256"/>
            <w:vAlign w:val="top"/>
          </w:tcPr>
          <w:p>
            <w:pPr>
              <w:spacing w:after="0"/>
            </w:pPr>
            <w:r>
              <w:rPr>
                <w:rFonts w:ascii="Arial" w:hAnsi="Arial"/>
                <w:sz w:val="13"/>
              </w:rPr>
              <w:t>IPTU, valor venal, cadastro fiscal, ITBI, transações, contribuinte conforme base legal</w:t>
            </w:r>
          </w:p>
        </w:tc>
        <w:tc>
          <w:tcPr>
            <w:tcW w:type="dxa" w:w="2448"/>
            <w:vAlign w:val="top"/>
          </w:tcPr>
          <w:p>
            <w:pPr>
              <w:spacing w:after="0"/>
            </w:pPr>
            <w:r>
              <w:rPr>
                <w:rFonts w:ascii="Arial" w:hAnsi="Arial"/>
                <w:sz w:val="13"/>
              </w:rPr>
              <w:t>prefeitura/SINTER/fontes autorizadas</w:t>
            </w:r>
          </w:p>
        </w:tc>
      </w:tr>
      <w:tr>
        <w:trPr>
          <w:cantSplit/>
          <w:cantSplit/>
        </w:trPr>
        <w:tc>
          <w:tcPr>
            <w:tcW w:type="dxa" w:w="1800"/>
            <w:vAlign w:val="top"/>
          </w:tcPr>
          <w:p>
            <w:pPr>
              <w:spacing w:after="0"/>
            </w:pPr>
            <w:r>
              <w:rPr>
                <w:rFonts w:ascii="Arial" w:hAnsi="Arial"/>
                <w:sz w:val="13"/>
              </w:rPr>
              <w:t>Registro/documentos</w:t>
            </w:r>
          </w:p>
        </w:tc>
        <w:tc>
          <w:tcPr>
            <w:tcW w:type="dxa" w:w="5256"/>
            <w:vAlign w:val="top"/>
          </w:tcPr>
          <w:p>
            <w:pPr>
              <w:spacing w:after="0"/>
            </w:pPr>
            <w:r>
              <w:rPr>
                <w:rFonts w:ascii="Arial" w:hAnsi="Arial"/>
                <w:sz w:val="13"/>
              </w:rPr>
              <w:t>matrícula, certidões, ônus, servidões, averbações, incorporação, loteamento</w:t>
            </w:r>
          </w:p>
        </w:tc>
        <w:tc>
          <w:tcPr>
            <w:tcW w:type="dxa" w:w="2448"/>
            <w:vAlign w:val="top"/>
          </w:tcPr>
          <w:p>
            <w:pPr>
              <w:spacing w:after="0"/>
            </w:pPr>
            <w:r>
              <w:rPr>
                <w:rFonts w:ascii="Arial" w:hAnsi="Arial"/>
                <w:sz w:val="13"/>
              </w:rPr>
              <w:t>ONR/SREI/cartórios/documentos do usuário</w:t>
            </w:r>
          </w:p>
        </w:tc>
      </w:tr>
      <w:tr>
        <w:trPr>
          <w:cantSplit/>
          <w:cantSplit/>
        </w:trPr>
        <w:tc>
          <w:tcPr>
            <w:tcW w:type="dxa" w:w="1800"/>
            <w:vAlign w:val="top"/>
          </w:tcPr>
          <w:p>
            <w:pPr>
              <w:spacing w:after="0"/>
            </w:pPr>
            <w:r>
              <w:rPr>
                <w:rFonts w:ascii="Arial" w:hAnsi="Arial"/>
                <w:sz w:val="13"/>
              </w:rPr>
              <w:t>Infraestrutura</w:t>
            </w:r>
          </w:p>
        </w:tc>
        <w:tc>
          <w:tcPr>
            <w:tcW w:type="dxa" w:w="5256"/>
            <w:vAlign w:val="top"/>
          </w:tcPr>
          <w:p>
            <w:pPr>
              <w:spacing w:after="0"/>
            </w:pPr>
            <w:r>
              <w:rPr>
                <w:rFonts w:ascii="Arial" w:hAnsi="Arial"/>
                <w:sz w:val="13"/>
              </w:rPr>
              <w:t>água, esgoto, drenagem, energia, gás, telecom/fibra, iluminação</w:t>
            </w:r>
          </w:p>
        </w:tc>
        <w:tc>
          <w:tcPr>
            <w:tcW w:type="dxa" w:w="2448"/>
            <w:vAlign w:val="top"/>
          </w:tcPr>
          <w:p>
            <w:pPr>
              <w:spacing w:after="0"/>
            </w:pPr>
            <w:r>
              <w:rPr>
                <w:rFonts w:ascii="Arial" w:hAnsi="Arial"/>
                <w:sz w:val="13"/>
              </w:rPr>
              <w:t>concessionárias, agências, municípios</w:t>
            </w:r>
          </w:p>
        </w:tc>
      </w:tr>
      <w:tr>
        <w:trPr>
          <w:cantSplit/>
          <w:cantSplit/>
        </w:trPr>
        <w:tc>
          <w:tcPr>
            <w:tcW w:type="dxa" w:w="1800"/>
            <w:vAlign w:val="top"/>
          </w:tcPr>
          <w:p>
            <w:pPr>
              <w:spacing w:after="0"/>
            </w:pPr>
            <w:r>
              <w:rPr>
                <w:rFonts w:ascii="Arial" w:hAnsi="Arial"/>
                <w:sz w:val="13"/>
              </w:rPr>
              <w:t>Mobilidade</w:t>
            </w:r>
          </w:p>
        </w:tc>
        <w:tc>
          <w:tcPr>
            <w:tcW w:type="dxa" w:w="5256"/>
            <w:vAlign w:val="top"/>
          </w:tcPr>
          <w:p>
            <w:pPr>
              <w:spacing w:after="0"/>
            </w:pPr>
            <w:r>
              <w:rPr>
                <w:rFonts w:ascii="Arial" w:hAnsi="Arial"/>
                <w:sz w:val="13"/>
              </w:rPr>
              <w:t>vias, hierarquia viária, metrô/trem/BRT/ônibus, ciclovias, terminais, caminhabilidade</w:t>
            </w:r>
          </w:p>
        </w:tc>
        <w:tc>
          <w:tcPr>
            <w:tcW w:type="dxa" w:w="2448"/>
            <w:vAlign w:val="top"/>
          </w:tcPr>
          <w:p>
            <w:pPr>
              <w:spacing w:after="0"/>
            </w:pPr>
            <w:r>
              <w:rPr>
                <w:rFonts w:ascii="Arial" w:hAnsi="Arial"/>
                <w:sz w:val="13"/>
              </w:rPr>
              <w:t>municípios, transportes, GTFS, bases estaduais/federais</w:t>
            </w:r>
          </w:p>
        </w:tc>
      </w:tr>
      <w:tr>
        <w:trPr>
          <w:cantSplit/>
          <w:cantSplit/>
        </w:trPr>
        <w:tc>
          <w:tcPr>
            <w:tcW w:type="dxa" w:w="1800"/>
            <w:vAlign w:val="top"/>
          </w:tcPr>
          <w:p>
            <w:pPr>
              <w:spacing w:after="0"/>
            </w:pPr>
            <w:r>
              <w:rPr>
                <w:rFonts w:ascii="Arial" w:hAnsi="Arial"/>
                <w:sz w:val="13"/>
              </w:rPr>
              <w:t>Meio ambiente</w:t>
            </w:r>
          </w:p>
        </w:tc>
        <w:tc>
          <w:tcPr>
            <w:tcW w:type="dxa" w:w="5256"/>
            <w:vAlign w:val="top"/>
          </w:tcPr>
          <w:p>
            <w:pPr>
              <w:spacing w:after="0"/>
            </w:pPr>
            <w:r>
              <w:rPr>
                <w:rFonts w:ascii="Arial" w:hAnsi="Arial"/>
                <w:sz w:val="13"/>
              </w:rPr>
              <w:t>APP, hidrografia, UC, vegetação, árvores, mananciais, embargos, áreas contaminadas</w:t>
            </w:r>
          </w:p>
        </w:tc>
        <w:tc>
          <w:tcPr>
            <w:tcW w:type="dxa" w:w="2448"/>
            <w:vAlign w:val="top"/>
          </w:tcPr>
          <w:p>
            <w:pPr>
              <w:spacing w:after="0"/>
            </w:pPr>
            <w:r>
              <w:rPr>
                <w:rFonts w:ascii="Arial" w:hAnsi="Arial"/>
                <w:sz w:val="13"/>
              </w:rPr>
              <w:t>MMA/ICMBio/IBAMA/ANA/estados/municípios</w:t>
            </w:r>
          </w:p>
        </w:tc>
      </w:tr>
      <w:tr>
        <w:trPr>
          <w:cantSplit/>
          <w:cantSplit/>
        </w:trPr>
        <w:tc>
          <w:tcPr>
            <w:tcW w:type="dxa" w:w="1800"/>
            <w:vAlign w:val="top"/>
          </w:tcPr>
          <w:p>
            <w:pPr>
              <w:spacing w:after="0"/>
            </w:pPr>
            <w:r>
              <w:rPr>
                <w:rFonts w:ascii="Arial" w:hAnsi="Arial"/>
                <w:sz w:val="13"/>
              </w:rPr>
              <w:t>Risco</w:t>
            </w:r>
          </w:p>
        </w:tc>
        <w:tc>
          <w:tcPr>
            <w:tcW w:type="dxa" w:w="5256"/>
            <w:vAlign w:val="top"/>
          </w:tcPr>
          <w:p>
            <w:pPr>
              <w:spacing w:after="0"/>
            </w:pPr>
            <w:r>
              <w:rPr>
                <w:rFonts w:ascii="Arial" w:hAnsi="Arial"/>
                <w:sz w:val="13"/>
              </w:rPr>
              <w:t>alagamento, inundação, deslizamento, erosão, carta geotécnica, declividade</w:t>
            </w:r>
          </w:p>
        </w:tc>
        <w:tc>
          <w:tcPr>
            <w:tcW w:type="dxa" w:w="2448"/>
            <w:vAlign w:val="top"/>
          </w:tcPr>
          <w:p>
            <w:pPr>
              <w:spacing w:after="0"/>
            </w:pPr>
            <w:r>
              <w:rPr>
                <w:rFonts w:ascii="Arial" w:hAnsi="Arial"/>
                <w:sz w:val="13"/>
              </w:rPr>
              <w:t>SGB/Defesa Civil/municípios/modelos</w:t>
            </w:r>
          </w:p>
        </w:tc>
      </w:tr>
      <w:tr>
        <w:trPr>
          <w:cantSplit/>
          <w:cantSplit/>
        </w:trPr>
        <w:tc>
          <w:tcPr>
            <w:tcW w:type="dxa" w:w="1800"/>
            <w:vAlign w:val="top"/>
          </w:tcPr>
          <w:p>
            <w:pPr>
              <w:spacing w:after="0"/>
            </w:pPr>
            <w:r>
              <w:rPr>
                <w:rFonts w:ascii="Arial" w:hAnsi="Arial"/>
                <w:sz w:val="13"/>
              </w:rPr>
              <w:t>Patrimônio</w:t>
            </w:r>
          </w:p>
        </w:tc>
        <w:tc>
          <w:tcPr>
            <w:tcW w:type="dxa" w:w="5256"/>
            <w:vAlign w:val="top"/>
          </w:tcPr>
          <w:p>
            <w:pPr>
              <w:spacing w:after="0"/>
            </w:pPr>
            <w:r>
              <w:rPr>
                <w:rFonts w:ascii="Arial" w:hAnsi="Arial"/>
                <w:sz w:val="13"/>
              </w:rPr>
              <w:t>tombamento, entorno, arqueologia, paisagem cultural, restrição de fachada/altura</w:t>
            </w:r>
          </w:p>
        </w:tc>
        <w:tc>
          <w:tcPr>
            <w:tcW w:type="dxa" w:w="2448"/>
            <w:vAlign w:val="top"/>
          </w:tcPr>
          <w:p>
            <w:pPr>
              <w:spacing w:after="0"/>
            </w:pPr>
            <w:r>
              <w:rPr>
                <w:rFonts w:ascii="Arial" w:hAnsi="Arial"/>
                <w:sz w:val="13"/>
              </w:rPr>
              <w:t>IPHAN/estados/municípios</w:t>
            </w:r>
          </w:p>
        </w:tc>
      </w:tr>
      <w:tr>
        <w:trPr>
          <w:cantSplit/>
          <w:cantSplit/>
        </w:trPr>
        <w:tc>
          <w:tcPr>
            <w:tcW w:type="dxa" w:w="1800"/>
            <w:vAlign w:val="top"/>
          </w:tcPr>
          <w:p>
            <w:pPr>
              <w:spacing w:after="0"/>
            </w:pPr>
            <w:r>
              <w:rPr>
                <w:rFonts w:ascii="Arial" w:hAnsi="Arial"/>
                <w:sz w:val="13"/>
              </w:rPr>
              <w:t>Infraestrutura estratégica</w:t>
            </w:r>
          </w:p>
        </w:tc>
        <w:tc>
          <w:tcPr>
            <w:tcW w:type="dxa" w:w="5256"/>
            <w:vAlign w:val="top"/>
          </w:tcPr>
          <w:p>
            <w:pPr>
              <w:spacing w:after="0"/>
            </w:pPr>
            <w:r>
              <w:rPr>
                <w:rFonts w:ascii="Arial" w:hAnsi="Arial"/>
                <w:sz w:val="13"/>
              </w:rPr>
              <w:t>rodovias, ferrovias, aeroportos, helipontos, portos, dutos, linhas de transmissão</w:t>
            </w:r>
          </w:p>
        </w:tc>
        <w:tc>
          <w:tcPr>
            <w:tcW w:type="dxa" w:w="2448"/>
            <w:vAlign w:val="top"/>
          </w:tcPr>
          <w:p>
            <w:pPr>
              <w:spacing w:after="0"/>
            </w:pPr>
            <w:r>
              <w:rPr>
                <w:rFonts w:ascii="Arial" w:hAnsi="Arial"/>
                <w:sz w:val="13"/>
              </w:rPr>
              <w:t>ANTT/ANTAQ/ANAC/DECEA/ANEEL/EPE/concessionárias</w:t>
            </w:r>
          </w:p>
        </w:tc>
      </w:tr>
      <w:tr>
        <w:trPr>
          <w:cantSplit/>
          <w:cantSplit/>
        </w:trPr>
        <w:tc>
          <w:tcPr>
            <w:tcW w:type="dxa" w:w="1800"/>
            <w:vAlign w:val="top"/>
          </w:tcPr>
          <w:p>
            <w:pPr>
              <w:spacing w:after="0"/>
            </w:pPr>
            <w:r>
              <w:rPr>
                <w:rFonts w:ascii="Arial" w:hAnsi="Arial"/>
                <w:sz w:val="13"/>
              </w:rPr>
              <w:t>Mineração/geologia</w:t>
            </w:r>
          </w:p>
        </w:tc>
        <w:tc>
          <w:tcPr>
            <w:tcW w:type="dxa" w:w="5256"/>
            <w:vAlign w:val="top"/>
          </w:tcPr>
          <w:p>
            <w:pPr>
              <w:spacing w:after="0"/>
            </w:pPr>
            <w:r>
              <w:rPr>
                <w:rFonts w:ascii="Arial" w:hAnsi="Arial"/>
                <w:sz w:val="13"/>
              </w:rPr>
              <w:t>processos minerários, bloqueios, direitos minerários, cavidades, geologia</w:t>
            </w:r>
          </w:p>
        </w:tc>
        <w:tc>
          <w:tcPr>
            <w:tcW w:type="dxa" w:w="2448"/>
            <w:vAlign w:val="top"/>
          </w:tcPr>
          <w:p>
            <w:pPr>
              <w:spacing w:after="0"/>
            </w:pPr>
            <w:r>
              <w:rPr>
                <w:rFonts w:ascii="Arial" w:hAnsi="Arial"/>
                <w:sz w:val="13"/>
              </w:rPr>
              <w:t>ANM/SGB/ICMBio</w:t>
            </w:r>
          </w:p>
        </w:tc>
      </w:tr>
      <w:tr>
        <w:trPr>
          <w:cantSplit/>
          <w:cantSplit/>
        </w:trPr>
        <w:tc>
          <w:tcPr>
            <w:tcW w:type="dxa" w:w="1800"/>
            <w:vAlign w:val="top"/>
          </w:tcPr>
          <w:p>
            <w:pPr>
              <w:spacing w:after="0"/>
            </w:pPr>
            <w:r>
              <w:rPr>
                <w:rFonts w:ascii="Arial" w:hAnsi="Arial"/>
                <w:sz w:val="13"/>
              </w:rPr>
              <w:t>Equipamentos/amenidades</w:t>
            </w:r>
          </w:p>
        </w:tc>
        <w:tc>
          <w:tcPr>
            <w:tcW w:type="dxa" w:w="5256"/>
            <w:vAlign w:val="top"/>
          </w:tcPr>
          <w:p>
            <w:pPr>
              <w:spacing w:after="0"/>
            </w:pPr>
            <w:r>
              <w:rPr>
                <w:rFonts w:ascii="Arial" w:hAnsi="Arial"/>
                <w:sz w:val="13"/>
              </w:rPr>
              <w:t>escolas, saúde, parques, comércio, serviços, lazer, segurança</w:t>
            </w:r>
          </w:p>
        </w:tc>
        <w:tc>
          <w:tcPr>
            <w:tcW w:type="dxa" w:w="2448"/>
            <w:vAlign w:val="top"/>
          </w:tcPr>
          <w:p>
            <w:pPr>
              <w:spacing w:after="0"/>
            </w:pPr>
            <w:r>
              <w:rPr>
                <w:rFonts w:ascii="Arial" w:hAnsi="Arial"/>
                <w:sz w:val="13"/>
              </w:rPr>
              <w:t>INEP/CNES/municípios/dados licenciados</w:t>
            </w:r>
          </w:p>
        </w:tc>
      </w:tr>
      <w:tr>
        <w:trPr>
          <w:cantSplit/>
          <w:cantSplit/>
        </w:trPr>
        <w:tc>
          <w:tcPr>
            <w:tcW w:type="dxa" w:w="1800"/>
            <w:vAlign w:val="top"/>
          </w:tcPr>
          <w:p>
            <w:pPr>
              <w:spacing w:after="0"/>
            </w:pPr>
            <w:r>
              <w:rPr>
                <w:rFonts w:ascii="Arial" w:hAnsi="Arial"/>
                <w:sz w:val="13"/>
              </w:rPr>
              <w:t>Socioeconomia</w:t>
            </w:r>
          </w:p>
        </w:tc>
        <w:tc>
          <w:tcPr>
            <w:tcW w:type="dxa" w:w="5256"/>
            <w:vAlign w:val="top"/>
          </w:tcPr>
          <w:p>
            <w:pPr>
              <w:spacing w:after="0"/>
            </w:pPr>
            <w:r>
              <w:rPr>
                <w:rFonts w:ascii="Arial" w:hAnsi="Arial"/>
                <w:sz w:val="13"/>
              </w:rPr>
              <w:t>população, renda, domicílios, emprego, escolaridade, vulnerabilidade</w:t>
            </w:r>
          </w:p>
        </w:tc>
        <w:tc>
          <w:tcPr>
            <w:tcW w:type="dxa" w:w="2448"/>
            <w:vAlign w:val="top"/>
          </w:tcPr>
          <w:p>
            <w:pPr>
              <w:spacing w:after="0"/>
            </w:pPr>
            <w:r>
              <w:rPr>
                <w:rFonts w:ascii="Arial" w:hAnsi="Arial"/>
                <w:sz w:val="13"/>
              </w:rPr>
              <w:t>IBGE/RAIS/CAGED/estudos derivados</w:t>
            </w:r>
          </w:p>
        </w:tc>
      </w:tr>
      <w:tr>
        <w:trPr>
          <w:cantSplit/>
          <w:cantSplit/>
        </w:trPr>
        <w:tc>
          <w:tcPr>
            <w:tcW w:type="dxa" w:w="1800"/>
            <w:vAlign w:val="top"/>
          </w:tcPr>
          <w:p>
            <w:pPr>
              <w:spacing w:after="0"/>
            </w:pPr>
            <w:r>
              <w:rPr>
                <w:rFonts w:ascii="Arial" w:hAnsi="Arial"/>
                <w:sz w:val="13"/>
              </w:rPr>
              <w:t>Mercado primário</w:t>
            </w:r>
          </w:p>
        </w:tc>
        <w:tc>
          <w:tcPr>
            <w:tcW w:type="dxa" w:w="5256"/>
            <w:vAlign w:val="top"/>
          </w:tcPr>
          <w:p>
            <w:pPr>
              <w:spacing w:after="0"/>
            </w:pPr>
            <w:r>
              <w:rPr>
                <w:rFonts w:ascii="Arial" w:hAnsi="Arial"/>
                <w:sz w:val="13"/>
              </w:rPr>
              <w:t>lançamentos, incorporadora, tipologia, preço/m², unidades, estoque, VSO</w:t>
            </w:r>
          </w:p>
        </w:tc>
        <w:tc>
          <w:tcPr>
            <w:tcW w:type="dxa" w:w="2448"/>
            <w:vAlign w:val="top"/>
          </w:tcPr>
          <w:p>
            <w:pPr>
              <w:spacing w:after="0"/>
            </w:pPr>
            <w:r>
              <w:rPr>
                <w:rFonts w:ascii="Arial" w:hAnsi="Arial"/>
                <w:sz w:val="13"/>
              </w:rPr>
              <w:t>parceiros/licenças/dados próprios</w:t>
            </w:r>
          </w:p>
        </w:tc>
      </w:tr>
      <w:tr>
        <w:trPr>
          <w:cantSplit/>
          <w:cantSplit/>
        </w:trPr>
        <w:tc>
          <w:tcPr>
            <w:tcW w:type="dxa" w:w="1800"/>
            <w:vAlign w:val="top"/>
          </w:tcPr>
          <w:p>
            <w:pPr>
              <w:spacing w:after="0"/>
            </w:pPr>
            <w:r>
              <w:rPr>
                <w:rFonts w:ascii="Arial" w:hAnsi="Arial"/>
                <w:sz w:val="13"/>
              </w:rPr>
              <w:t>Mercado secundário</w:t>
            </w:r>
          </w:p>
        </w:tc>
        <w:tc>
          <w:tcPr>
            <w:tcW w:type="dxa" w:w="5256"/>
            <w:vAlign w:val="top"/>
          </w:tcPr>
          <w:p>
            <w:pPr>
              <w:spacing w:after="0"/>
            </w:pPr>
            <w:r>
              <w:rPr>
                <w:rFonts w:ascii="Arial" w:hAnsi="Arial"/>
                <w:sz w:val="13"/>
              </w:rPr>
              <w:t>ofertas venda/aluguel, preço/m², tempo de anúncio, descontos, liquidez</w:t>
            </w:r>
          </w:p>
        </w:tc>
        <w:tc>
          <w:tcPr>
            <w:tcW w:type="dxa" w:w="2448"/>
            <w:vAlign w:val="top"/>
          </w:tcPr>
          <w:p>
            <w:pPr>
              <w:spacing w:after="0"/>
            </w:pPr>
            <w:r>
              <w:rPr>
                <w:rFonts w:ascii="Arial" w:hAnsi="Arial"/>
                <w:sz w:val="13"/>
              </w:rPr>
              <w:t>portais/licenças/dados próprios</w:t>
            </w:r>
          </w:p>
        </w:tc>
      </w:tr>
      <w:tr>
        <w:trPr>
          <w:cantSplit/>
          <w:cantSplit/>
        </w:trPr>
        <w:tc>
          <w:tcPr>
            <w:tcW w:type="dxa" w:w="1800"/>
            <w:vAlign w:val="top"/>
          </w:tcPr>
          <w:p>
            <w:pPr>
              <w:spacing w:after="0"/>
            </w:pPr>
            <w:r>
              <w:rPr>
                <w:rFonts w:ascii="Arial" w:hAnsi="Arial"/>
                <w:sz w:val="13"/>
              </w:rPr>
              <w:t>Desenvolvimento</w:t>
            </w:r>
          </w:p>
        </w:tc>
        <w:tc>
          <w:tcPr>
            <w:tcW w:type="dxa" w:w="5256"/>
            <w:vAlign w:val="top"/>
          </w:tcPr>
          <w:p>
            <w:pPr>
              <w:spacing w:after="0"/>
            </w:pPr>
            <w:r>
              <w:rPr>
                <w:rFonts w:ascii="Arial" w:hAnsi="Arial"/>
                <w:sz w:val="13"/>
              </w:rPr>
              <w:t>alvarás, obras, empreendimentos, aprovações, massas e composição de terrenos</w:t>
            </w:r>
          </w:p>
        </w:tc>
        <w:tc>
          <w:tcPr>
            <w:tcW w:type="dxa" w:w="2448"/>
            <w:vAlign w:val="top"/>
          </w:tcPr>
          <w:p>
            <w:pPr>
              <w:spacing w:after="0"/>
            </w:pPr>
            <w:r>
              <w:rPr>
                <w:rFonts w:ascii="Arial" w:hAnsi="Arial"/>
                <w:sz w:val="13"/>
              </w:rPr>
              <w:t>prefeituras + CRM próprio</w:t>
            </w:r>
          </w:p>
        </w:tc>
      </w:tr>
      <w:tr>
        <w:trPr>
          <w:cantSplit/>
          <w:cantSplit/>
        </w:trPr>
        <w:tc>
          <w:tcPr>
            <w:tcW w:type="dxa" w:w="1800"/>
            <w:vAlign w:val="top"/>
          </w:tcPr>
          <w:p>
            <w:pPr>
              <w:spacing w:after="0"/>
            </w:pPr>
            <w:r>
              <w:rPr>
                <w:rFonts w:ascii="Arial" w:hAnsi="Arial"/>
                <w:sz w:val="13"/>
              </w:rPr>
              <w:t>Histórico temporal</w:t>
            </w:r>
          </w:p>
        </w:tc>
        <w:tc>
          <w:tcPr>
            <w:tcW w:type="dxa" w:w="5256"/>
            <w:vAlign w:val="top"/>
          </w:tcPr>
          <w:p>
            <w:pPr>
              <w:spacing w:after="0"/>
            </w:pPr>
            <w:r>
              <w:rPr>
                <w:rFonts w:ascii="Arial" w:hAnsi="Arial"/>
                <w:sz w:val="13"/>
              </w:rPr>
              <w:t>leis antigas, zoneamento anterior, transações, alvarás, alterações cadastrais</w:t>
            </w:r>
          </w:p>
        </w:tc>
        <w:tc>
          <w:tcPr>
            <w:tcW w:type="dxa" w:w="2448"/>
            <w:vAlign w:val="top"/>
          </w:tcPr>
          <w:p>
            <w:pPr>
              <w:spacing w:after="0"/>
            </w:pPr>
            <w:r>
              <w:rPr>
                <w:rFonts w:ascii="Arial" w:hAnsi="Arial"/>
                <w:sz w:val="13"/>
              </w:rPr>
              <w:t>versionamento jurídico + snapshots de dados</w:t>
            </w:r>
          </w:p>
        </w:tc>
      </w:tr>
    </w:tbl>
    <w:p>
      <w:pPr>
        <w:spacing w:after="20"/>
      </w:pPr>
    </w:p>
    <w:p>
      <w:pPr>
        <w:pStyle w:val="Heading2"/>
        <w:keepNext/>
      </w:pPr>
      <w:r>
        <w:t>24.10 Painel de Mercado</w:t>
      </w:r>
    </w:p>
    <w:p>
      <w:pPr>
        <w:spacing w:after="60"/>
      </w:pPr>
      <w:r>
        <w:t>O frontend fornecido revela um Painel de Mercado dirigido por metadados. No Imóvel 360, o backend deve poder declarar o tipo de visualização, eixos de gráfico, tabela, destaque, distância de análise e template de apresentação sem exigir alteração de código para cada município.</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448"/>
            <w:shd w:fill="EDEDED"/>
            <w:vAlign w:val="center"/>
          </w:tcPr>
          <w:p>
            <w:pPr>
              <w:spacing w:after="0"/>
            </w:pPr>
            <w:r>
              <w:rPr>
                <w:rFonts w:ascii="Arial" w:hAnsi="Arial"/>
                <w:b/>
                <w:sz w:val="15"/>
              </w:rPr>
              <w:t>Seção observada</w:t>
            </w:r>
          </w:p>
        </w:tc>
        <w:tc>
          <w:tcPr>
            <w:tcW w:type="dxa" w:w="6912"/>
            <w:shd w:fill="EDEDED"/>
            <w:vAlign w:val="center"/>
          </w:tcPr>
          <w:p>
            <w:pPr>
              <w:spacing w:after="0"/>
            </w:pPr>
            <w:r>
              <w:rPr>
                <w:rFonts w:ascii="Arial" w:hAnsi="Arial"/>
                <w:b/>
                <w:sz w:val="15"/>
              </w:rPr>
              <w:t>Conteúdo recomendado</w:t>
            </w:r>
          </w:p>
        </w:tc>
      </w:tr>
      <w:tr>
        <w:trPr>
          <w:cantSplit/>
          <w:cantSplit/>
        </w:trPr>
        <w:tc>
          <w:tcPr>
            <w:tcW w:type="dxa" w:w="2448"/>
            <w:vAlign w:val="top"/>
          </w:tcPr>
          <w:p>
            <w:pPr>
              <w:spacing w:after="0"/>
            </w:pPr>
            <w:r>
              <w:rPr>
                <w:rFonts w:ascii="Arial" w:hAnsi="Arial"/>
                <w:sz w:val="15"/>
              </w:rPr>
              <w:t>Índice Imóvel 360</w:t>
            </w:r>
          </w:p>
        </w:tc>
        <w:tc>
          <w:tcPr>
            <w:tcW w:type="dxa" w:w="6912"/>
            <w:vAlign w:val="top"/>
          </w:tcPr>
          <w:p>
            <w:pPr>
              <w:spacing w:after="0"/>
            </w:pPr>
            <w:r>
              <w:rPr>
                <w:rFonts w:ascii="Arial" w:hAnsi="Arial"/>
                <w:sz w:val="15"/>
              </w:rPr>
              <w:t>score territorial/mercadológico explicável, com componentes e evidências</w:t>
            </w:r>
          </w:p>
        </w:tc>
      </w:tr>
      <w:tr>
        <w:trPr>
          <w:cantSplit/>
          <w:cantSplit/>
        </w:trPr>
        <w:tc>
          <w:tcPr>
            <w:tcW w:type="dxa" w:w="2448"/>
            <w:vAlign w:val="top"/>
          </w:tcPr>
          <w:p>
            <w:pPr>
              <w:spacing w:after="0"/>
            </w:pPr>
            <w:r>
              <w:rPr>
                <w:rFonts w:ascii="Arial" w:hAnsi="Arial"/>
                <w:sz w:val="15"/>
              </w:rPr>
              <w:t>Infraestrutura e Riscos</w:t>
            </w:r>
          </w:p>
        </w:tc>
        <w:tc>
          <w:tcPr>
            <w:tcW w:type="dxa" w:w="6912"/>
            <w:vAlign w:val="top"/>
          </w:tcPr>
          <w:p>
            <w:pPr>
              <w:spacing w:after="0"/>
            </w:pPr>
            <w:r>
              <w:rPr>
                <w:rFonts w:ascii="Arial" w:hAnsi="Arial"/>
                <w:sz w:val="15"/>
              </w:rPr>
              <w:t>proximidades, cobertura, interferências, risco físico/ambiental e pontos críticos</w:t>
            </w:r>
          </w:p>
        </w:tc>
      </w:tr>
      <w:tr>
        <w:trPr>
          <w:cantSplit/>
          <w:cantSplit/>
        </w:trPr>
        <w:tc>
          <w:tcPr>
            <w:tcW w:type="dxa" w:w="2448"/>
            <w:vAlign w:val="top"/>
          </w:tcPr>
          <w:p>
            <w:pPr>
              <w:spacing w:after="0"/>
            </w:pPr>
            <w:r>
              <w:rPr>
                <w:rFonts w:ascii="Arial" w:hAnsi="Arial"/>
                <w:sz w:val="15"/>
              </w:rPr>
              <w:t>Apartamentos à Venda</w:t>
            </w:r>
          </w:p>
        </w:tc>
        <w:tc>
          <w:tcPr>
            <w:tcW w:type="dxa" w:w="6912"/>
            <w:vAlign w:val="top"/>
          </w:tcPr>
          <w:p>
            <w:pPr>
              <w:spacing w:after="0"/>
            </w:pPr>
            <w:r>
              <w:rPr>
                <w:rFonts w:ascii="Arial" w:hAnsi="Arial"/>
                <w:sz w:val="15"/>
              </w:rPr>
              <w:t>oferta secundária, preço/m², ticket, estoque, dispersão e comparáveis</w:t>
            </w:r>
          </w:p>
        </w:tc>
      </w:tr>
      <w:tr>
        <w:trPr>
          <w:cantSplit/>
          <w:cantSplit/>
        </w:trPr>
        <w:tc>
          <w:tcPr>
            <w:tcW w:type="dxa" w:w="2448"/>
            <w:vAlign w:val="top"/>
          </w:tcPr>
          <w:p>
            <w:pPr>
              <w:spacing w:after="0"/>
            </w:pPr>
            <w:r>
              <w:rPr>
                <w:rFonts w:ascii="Arial" w:hAnsi="Arial"/>
                <w:sz w:val="15"/>
              </w:rPr>
              <w:t>Apartamentos para Locação</w:t>
            </w:r>
          </w:p>
        </w:tc>
        <w:tc>
          <w:tcPr>
            <w:tcW w:type="dxa" w:w="6912"/>
            <w:vAlign w:val="top"/>
          </w:tcPr>
          <w:p>
            <w:pPr>
              <w:spacing w:after="0"/>
            </w:pPr>
            <w:r>
              <w:rPr>
                <w:rFonts w:ascii="Arial" w:hAnsi="Arial"/>
                <w:sz w:val="15"/>
              </w:rPr>
              <w:t>aluguel/m², ticket, oferta, rendimento bruto indicativo e comparáveis</w:t>
            </w:r>
          </w:p>
        </w:tc>
      </w:tr>
      <w:tr>
        <w:trPr>
          <w:cantSplit/>
          <w:cantSplit/>
        </w:trPr>
        <w:tc>
          <w:tcPr>
            <w:tcW w:type="dxa" w:w="2448"/>
            <w:vAlign w:val="top"/>
          </w:tcPr>
          <w:p>
            <w:pPr>
              <w:spacing w:after="0"/>
            </w:pPr>
            <w:r>
              <w:rPr>
                <w:rFonts w:ascii="Arial" w:hAnsi="Arial"/>
                <w:sz w:val="15"/>
              </w:rPr>
              <w:t>Lançamentos</w:t>
            </w:r>
          </w:p>
        </w:tc>
        <w:tc>
          <w:tcPr>
            <w:tcW w:type="dxa" w:w="6912"/>
            <w:vAlign w:val="top"/>
          </w:tcPr>
          <w:p>
            <w:pPr>
              <w:spacing w:after="0"/>
            </w:pPr>
            <w:r>
              <w:rPr>
                <w:rFonts w:ascii="Arial" w:hAnsi="Arial"/>
                <w:sz w:val="15"/>
              </w:rPr>
              <w:t>primário, incorporadoras, unidades, tipologias, preço, estoque, VSO e pipeline</w:t>
            </w:r>
          </w:p>
        </w:tc>
      </w:tr>
    </w:tbl>
    <w:p>
      <w:pPr>
        <w:spacing w:after="20"/>
      </w:pPr>
    </w:p>
    <w:p>
      <w:pPr>
        <w:spacing w:after="30"/>
        <w:ind w:left="259" w:hanging="173"/>
      </w:pPr>
      <w:r>
        <w:t xml:space="preserve">• </w:t>
      </w:r>
      <w:r>
        <w:t>Metadados necessários: chart_type, chart_column_x/y, table_header/body, template, legenda, propriedade_valor, calc_destaque, distance, modo_visualizacao e tipo_saida.</w:t>
      </w:r>
    </w:p>
    <w:p>
      <w:pPr>
        <w:pStyle w:val="Heading2"/>
        <w:keepNext/>
      </w:pPr>
      <w:r>
        <w:t>24.11 Ficha 360 do imóvel</w:t>
      </w:r>
    </w:p>
    <w:p>
      <w:pPr>
        <w:spacing w:after="30"/>
        <w:ind w:left="259" w:hanging="173"/>
      </w:pPr>
      <w:r>
        <w:t xml:space="preserve">• </w:t>
      </w:r>
      <w:r>
        <w:t>Rota privada, versão pública compartilhável com token e versão PDF/download.</w:t>
      </w:r>
    </w:p>
    <w:p>
      <w:pPr>
        <w:spacing w:after="30"/>
        <w:ind w:left="259" w:hanging="173"/>
      </w:pPr>
      <w:r>
        <w:t xml:space="preserve">• </w:t>
      </w:r>
      <w:r>
        <w:t>Catálogo por município: cada categoria informa nome, descrição, distância, modo de visualização, configuração de exibição e fonte.</w:t>
      </w:r>
    </w:p>
    <w:p>
      <w:pPr>
        <w:spacing w:after="30"/>
        <w:ind w:left="259" w:hanging="173"/>
      </w:pPr>
      <w:r>
        <w:t xml:space="preserve">• </w:t>
      </w:r>
      <w:r>
        <w:t>Mapa estático/mini-mapas para zoneamento, risco, operação urbana, lote, ambiente e infraestrutura crítica.</w:t>
      </w:r>
    </w:p>
    <w:p>
      <w:pPr>
        <w:spacing w:after="30"/>
        <w:ind w:left="259" w:hanging="173"/>
      </w:pPr>
      <w:r>
        <w:t xml:space="preserve">• </w:t>
      </w:r>
      <w:r>
        <w:t>Resumo executivo: pode/não pode/condicionado, potencial construtivo, restrições críticas, mercado e próximos passos.</w:t>
      </w:r>
    </w:p>
    <w:p>
      <w:pPr>
        <w:spacing w:after="30"/>
        <w:ind w:left="259" w:hanging="173"/>
      </w:pPr>
      <w:r>
        <w:t xml:space="preserve">• </w:t>
      </w:r>
      <w:r>
        <w:t>Evidência por item: fonte, vigência, artigo/quadro/mapa, data de captura e classificação Confirmado/Calculado/Inferido/Pendente/Conflitante.</w:t>
      </w:r>
    </w:p>
    <w:p>
      <w:pPr>
        <w:pStyle w:val="Heading2"/>
        <w:keepNext/>
      </w:pPr>
      <w:r>
        <w:t>24.12 Meus Imóveis — cadastro e dossiê vivo</w:t>
      </w:r>
    </w:p>
    <w:p>
      <w:pPr>
        <w:spacing w:after="30"/>
        <w:ind w:left="259" w:hanging="173"/>
      </w:pPr>
      <w:r>
        <w:t xml:space="preserve">• </w:t>
      </w:r>
      <w:r>
        <w:t>Listagem, detalhe, ficha, exportação PDF e relatórios.</w:t>
      </w:r>
    </w:p>
    <w:p>
      <w:pPr>
        <w:spacing w:after="30"/>
        <w:ind w:left="259" w:hanging="173"/>
      </w:pPr>
      <w:r>
        <w:t xml:space="preserve">• </w:t>
      </w:r>
      <w:r>
        <w:t>Vínculo de imóvel com proprietário, corretor, contribuinte/cadastro fiscal, observações, tags, situação e equipe.</w:t>
      </w:r>
    </w:p>
    <w:p>
      <w:pPr>
        <w:spacing w:after="30"/>
        <w:ind w:left="259" w:hanging="173"/>
      </w:pPr>
      <w:r>
        <w:t xml:space="preserve">• </w:t>
      </w:r>
      <w:r>
        <w:t>Histórico de transações/cadastros quando disponível; anexos e diligências devem formar linha do tempo.</w:t>
      </w:r>
    </w:p>
    <w:p>
      <w:pPr>
        <w:spacing w:after="30"/>
        <w:ind w:left="259" w:hanging="173"/>
      </w:pPr>
      <w:r>
        <w:t xml:space="preserve">• </w:t>
      </w:r>
      <w:r>
        <w:t>Sincronização com Parcel Resolver: o usuário salva um ponto/lote e o sistema mantém a geometria canônica e os vínculos cadastrais.</w:t>
      </w:r>
    </w:p>
    <w:p>
      <w:pPr>
        <w:spacing w:after="30"/>
        <w:ind w:left="259" w:hanging="173"/>
      </w:pPr>
      <w:r>
        <w:t xml:space="preserve">• </w:t>
      </w:r>
      <w:r>
        <w:t>Alertas de mudança: legislação, zoneamento, camada de risco, embargo, transação, alvará, nova oferta e alteração de cadastro.</w:t>
      </w:r>
    </w:p>
    <w:p>
      <w:pPr>
        <w:pStyle w:val="Heading2"/>
        <w:keepNext/>
      </w:pPr>
      <w:r>
        <w:t>24.13 Empreendimentos — do terreno à implantação</w:t>
      </w:r>
    </w:p>
    <w:p>
      <w:pPr>
        <w:spacing w:after="30"/>
        <w:ind w:left="259" w:hanging="173"/>
      </w:pPr>
      <w:r>
        <w:t xml:space="preserve">• </w:t>
      </w:r>
      <w:r>
        <w:t>Dashboard, listagem, criação, detalhe, mapa e relatórios.</w:t>
      </w:r>
    </w:p>
    <w:p>
      <w:pPr>
        <w:spacing w:after="30"/>
        <w:ind w:left="259" w:hanging="173"/>
      </w:pPr>
      <w:r>
        <w:t xml:space="preserve">• </w:t>
      </w:r>
      <w:r>
        <w:t>Composição de terrenos/lotes e análise de empreendimentos na mesma quadra.</w:t>
      </w:r>
    </w:p>
    <w:p>
      <w:pPr>
        <w:spacing w:after="30"/>
        <w:ind w:left="259" w:hanging="173"/>
      </w:pPr>
      <w:r>
        <w:t xml:space="preserve">• </w:t>
      </w:r>
      <w:r>
        <w:t>Massa/volumetria e usos da massa como entidades do projeto, vinculadas aos parâmetros legais.</w:t>
      </w:r>
    </w:p>
    <w:p>
      <w:pPr>
        <w:spacing w:after="30"/>
        <w:ind w:left="259" w:hanging="173"/>
      </w:pPr>
      <w:r>
        <w:t xml:space="preserve">• </w:t>
      </w:r>
      <w:r>
        <w:t>Proprietários, corretores, responsáveis, equipes, situação e “temperatura” comercial do empreendimento.</w:t>
      </w:r>
    </w:p>
    <w:p>
      <w:pPr>
        <w:spacing w:after="30"/>
        <w:ind w:left="259" w:hanging="173"/>
      </w:pPr>
      <w:r>
        <w:t xml:space="preserve">• </w:t>
      </w:r>
      <w:r>
        <w:t>Relatório por lotes: diferenças cadastrais, área, proprietário/contato permitido, status, restrições e composição da gleba.</w:t>
      </w:r>
    </w:p>
    <w:p>
      <w:pPr>
        <w:spacing w:after="30"/>
        <w:ind w:left="259" w:hanging="173"/>
      </w:pPr>
      <w:r>
        <w:t xml:space="preserve">• </w:t>
      </w:r>
      <w:r>
        <w:t>PDF executivo com mapa, dados urbanísticos, mercado, riscos, premissas e cenários.</w:t>
      </w:r>
    </w:p>
    <w:p>
      <w:pPr>
        <w:pStyle w:val="Heading2"/>
        <w:keepNext/>
      </w:pPr>
      <w:r>
        <w:t>24.14 Inteligência de Mercado e Mercado Secundário</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664"/>
            <w:shd w:fill="EDEDED"/>
            <w:vAlign w:val="center"/>
          </w:tcPr>
          <w:p>
            <w:pPr>
              <w:spacing w:after="0"/>
            </w:pPr>
            <w:r>
              <w:rPr>
                <w:rFonts w:ascii="Arial" w:hAnsi="Arial"/>
                <w:b/>
                <w:sz w:val="15"/>
              </w:rPr>
              <w:t>Módulo</w:t>
            </w:r>
          </w:p>
        </w:tc>
        <w:tc>
          <w:tcPr>
            <w:tcW w:type="dxa" w:w="6696"/>
            <w:shd w:fill="EDEDED"/>
            <w:vAlign w:val="center"/>
          </w:tcPr>
          <w:p>
            <w:pPr>
              <w:spacing w:after="0"/>
            </w:pPr>
            <w:r>
              <w:rPr>
                <w:rFonts w:ascii="Arial" w:hAnsi="Arial"/>
                <w:b/>
                <w:sz w:val="15"/>
              </w:rPr>
              <w:t>Capacidades</w:t>
            </w:r>
          </w:p>
        </w:tc>
      </w:tr>
      <w:tr>
        <w:trPr>
          <w:cantSplit/>
          <w:cantSplit/>
        </w:trPr>
        <w:tc>
          <w:tcPr>
            <w:tcW w:type="dxa" w:w="2664"/>
            <w:vAlign w:val="top"/>
          </w:tcPr>
          <w:p>
            <w:pPr>
              <w:spacing w:after="0"/>
            </w:pPr>
            <w:r>
              <w:rPr>
                <w:rFonts w:ascii="Arial" w:hAnsi="Arial"/>
                <w:sz w:val="15"/>
              </w:rPr>
              <w:t>Inteligência de Mercado</w:t>
            </w:r>
          </w:p>
        </w:tc>
        <w:tc>
          <w:tcPr>
            <w:tcW w:type="dxa" w:w="6696"/>
            <w:vAlign w:val="top"/>
          </w:tcPr>
          <w:p>
            <w:pPr>
              <w:spacing w:after="0"/>
            </w:pPr>
            <w:r>
              <w:rPr>
                <w:rFonts w:ascii="Arial" w:hAnsi="Arial"/>
                <w:sz w:val="15"/>
              </w:rPr>
              <w:t>projetos de análise, lançamentos, área de influência, bairros/zona de valor, transporte/isócrona, relatórios, VSO, comparáveis e histórico analítico.</w:t>
            </w:r>
          </w:p>
        </w:tc>
      </w:tr>
      <w:tr>
        <w:trPr>
          <w:cantSplit/>
          <w:cantSplit/>
        </w:trPr>
        <w:tc>
          <w:tcPr>
            <w:tcW w:type="dxa" w:w="2664"/>
            <w:vAlign w:val="top"/>
          </w:tcPr>
          <w:p>
            <w:pPr>
              <w:spacing w:after="0"/>
            </w:pPr>
            <w:r>
              <w:rPr>
                <w:rFonts w:ascii="Arial" w:hAnsi="Arial"/>
                <w:sz w:val="15"/>
              </w:rPr>
              <w:t>Mercado Secundário - Venda</w:t>
            </w:r>
          </w:p>
        </w:tc>
        <w:tc>
          <w:tcPr>
            <w:tcW w:type="dxa" w:w="6696"/>
            <w:vAlign w:val="top"/>
          </w:tcPr>
          <w:p>
            <w:pPr>
              <w:spacing w:after="0"/>
            </w:pPr>
            <w:r>
              <w:rPr>
                <w:rFonts w:ascii="Arial" w:hAnsi="Arial"/>
                <w:sz w:val="15"/>
              </w:rPr>
              <w:t>ofertas, filtros, preço/m², ticket, tipologias, área de influência, comparáveis e socio-demografia.</w:t>
            </w:r>
          </w:p>
        </w:tc>
      </w:tr>
      <w:tr>
        <w:trPr>
          <w:cantSplit/>
          <w:cantSplit/>
        </w:trPr>
        <w:tc>
          <w:tcPr>
            <w:tcW w:type="dxa" w:w="2664"/>
            <w:vAlign w:val="top"/>
          </w:tcPr>
          <w:p>
            <w:pPr>
              <w:spacing w:after="0"/>
            </w:pPr>
            <w:r>
              <w:rPr>
                <w:rFonts w:ascii="Arial" w:hAnsi="Arial"/>
                <w:sz w:val="15"/>
              </w:rPr>
              <w:t>Mercado Secundário - Aluguel</w:t>
            </w:r>
          </w:p>
        </w:tc>
        <w:tc>
          <w:tcPr>
            <w:tcW w:type="dxa" w:w="6696"/>
            <w:vAlign w:val="top"/>
          </w:tcPr>
          <w:p>
            <w:pPr>
              <w:spacing w:after="0"/>
            </w:pPr>
            <w:r>
              <w:rPr>
                <w:rFonts w:ascii="Arial" w:hAnsi="Arial"/>
                <w:sz w:val="15"/>
              </w:rPr>
              <w:t>ofertas de locação, aluguel/m², rendimento indicativo, estoque, tipologias, área de influência e socio-demografia.</w:t>
            </w:r>
          </w:p>
        </w:tc>
      </w:tr>
      <w:tr>
        <w:trPr>
          <w:cantSplit/>
          <w:cantSplit/>
        </w:trPr>
        <w:tc>
          <w:tcPr>
            <w:tcW w:type="dxa" w:w="2664"/>
            <w:vAlign w:val="top"/>
          </w:tcPr>
          <w:p>
            <w:pPr>
              <w:spacing w:after="0"/>
            </w:pPr>
            <w:r>
              <w:rPr>
                <w:rFonts w:ascii="Arial" w:hAnsi="Arial"/>
                <w:sz w:val="15"/>
              </w:rPr>
              <w:t>IA assistiva</w:t>
            </w:r>
          </w:p>
        </w:tc>
        <w:tc>
          <w:tcPr>
            <w:tcW w:type="dxa" w:w="6696"/>
            <w:vAlign w:val="top"/>
          </w:tcPr>
          <w:p>
            <w:pPr>
              <w:spacing w:after="0"/>
            </w:pPr>
            <w:r>
              <w:rPr>
                <w:rFonts w:ascii="Arial" w:hAnsi="Arial"/>
                <w:sz w:val="15"/>
              </w:rPr>
              <w:t>explicação de resultados, sumarização de mercado e histórico de análises; nunca substitui os dados estruturados ou a evidência.</w:t>
            </w:r>
          </w:p>
        </w:tc>
      </w:tr>
    </w:tbl>
    <w:p>
      <w:pPr>
        <w:spacing w:after="20"/>
      </w:pPr>
    </w:p>
    <w:p>
      <w:pPr>
        <w:pStyle w:val="Heading2"/>
        <w:keepNext/>
      </w:pPr>
      <w:r>
        <w:t>24.15 Avaliações / AVM</w:t>
      </w:r>
    </w:p>
    <w:p>
      <w:pPr>
        <w:spacing w:after="30"/>
        <w:ind w:left="259" w:hanging="173"/>
      </w:pPr>
      <w:r>
        <w:t xml:space="preserve">• </w:t>
      </w:r>
      <w:r>
        <w:t>AVM como serviço separado, com inputs, versão do modelo, data-base, amostra, faixa de confiança e explicabilidade.</w:t>
      </w:r>
    </w:p>
    <w:p>
      <w:pPr>
        <w:spacing w:after="30"/>
        <w:ind w:left="259" w:hanging="173"/>
      </w:pPr>
      <w:r>
        <w:t xml:space="preserve">• </w:t>
      </w:r>
      <w:r>
        <w:t>Avaliação não deve misturar valor venal, oferta e transação sem indicar origem e natureza de cada dado.</w:t>
      </w:r>
    </w:p>
    <w:p>
      <w:pPr>
        <w:spacing w:after="30"/>
        <w:ind w:left="259" w:hanging="173"/>
      </w:pPr>
      <w:r>
        <w:t xml:space="preserve">• </w:t>
      </w:r>
      <w:r>
        <w:t>Comparáveis devem registrar distância, data, tipologia, área, preço, origem e eventuais ajustes.</w:t>
      </w:r>
    </w:p>
    <w:p>
      <w:pPr>
        <w:spacing w:after="30"/>
        <w:ind w:left="259" w:hanging="173"/>
      </w:pPr>
      <w:r>
        <w:t xml:space="preserve">• </w:t>
      </w:r>
      <w:r>
        <w:t>Para uso pericial/avaliatório, disponibilizar trilha de evidências e permitir exportar amostra e critérios.</w:t>
      </w:r>
    </w:p>
    <w:p>
      <w:pPr>
        <w:pStyle w:val="Heading2"/>
        <w:keepNext/>
      </w:pPr>
      <w:r>
        <w:t>24.16 Prospecção de Terrenos</w:t>
      </w:r>
    </w:p>
    <w:p>
      <w:pPr>
        <w:spacing w:after="30"/>
        <w:ind w:left="259" w:hanging="173"/>
      </w:pPr>
      <w:r>
        <w:t xml:space="preserve">• </w:t>
      </w:r>
      <w:r>
        <w:t>Busca espacial por potencial: zona, CA, área mínima/máxima, testada, uso, proximidade de transporte e ausência/presença de restrições.</w:t>
      </w:r>
    </w:p>
    <w:p>
      <w:pPr>
        <w:spacing w:after="30"/>
        <w:ind w:left="259" w:hanging="173"/>
      </w:pPr>
      <w:r>
        <w:t xml:space="preserve">• </w:t>
      </w:r>
      <w:r>
        <w:t>Busca por quadra/cluster para composição de lotes e formação de gleba.</w:t>
      </w:r>
    </w:p>
    <w:p>
      <w:pPr>
        <w:spacing w:after="30"/>
        <w:ind w:left="259" w:hanging="173"/>
      </w:pPr>
      <w:r>
        <w:t xml:space="preserve">• </w:t>
      </w:r>
      <w:r>
        <w:t>Ranking de oportunidades por potencial legal, custo urbanístico, mercado, infraestrutura, risco e dificuldade de consolidação.</w:t>
      </w:r>
    </w:p>
    <w:p>
      <w:pPr>
        <w:spacing w:after="30"/>
        <w:ind w:left="259" w:hanging="173"/>
      </w:pPr>
      <w:r>
        <w:t xml:space="preserve">• </w:t>
      </w:r>
      <w:r>
        <w:t>Salvar oportunidade como imóvel e promover para empreendimento sem duplicar cadastro/geometria.</w:t>
      </w:r>
    </w:p>
    <w:p>
      <w:pPr>
        <w:pStyle w:val="Heading2"/>
        <w:keepNext/>
      </w:pPr>
      <w:r>
        <w:t>24.17 Pessoas, CRM, diligências e cadastros auxiliares</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880"/>
            <w:shd w:fill="EDEDED"/>
            <w:vAlign w:val="center"/>
          </w:tcPr>
          <w:p>
            <w:pPr>
              <w:spacing w:after="0"/>
            </w:pPr>
            <w:r>
              <w:rPr>
                <w:rFonts w:ascii="Arial" w:hAnsi="Arial"/>
                <w:b/>
                <w:sz w:val="15"/>
              </w:rPr>
              <w:t>Entidade/fluxo</w:t>
            </w:r>
          </w:p>
        </w:tc>
        <w:tc>
          <w:tcPr>
            <w:tcW w:type="dxa" w:w="6480"/>
            <w:shd w:fill="EDEDED"/>
            <w:vAlign w:val="center"/>
          </w:tcPr>
          <w:p>
            <w:pPr>
              <w:spacing w:after="0"/>
            </w:pPr>
            <w:r>
              <w:rPr>
                <w:rFonts w:ascii="Arial" w:hAnsi="Arial"/>
                <w:b/>
                <w:sz w:val="15"/>
              </w:rPr>
              <w:t>Função no Imóvel 360</w:t>
            </w:r>
          </w:p>
        </w:tc>
      </w:tr>
      <w:tr>
        <w:trPr>
          <w:cantSplit/>
          <w:cantSplit/>
        </w:trPr>
        <w:tc>
          <w:tcPr>
            <w:tcW w:type="dxa" w:w="2880"/>
            <w:vAlign w:val="top"/>
          </w:tcPr>
          <w:p>
            <w:pPr>
              <w:spacing w:after="0"/>
            </w:pPr>
            <w:r>
              <w:rPr>
                <w:rFonts w:ascii="Arial" w:hAnsi="Arial"/>
                <w:sz w:val="15"/>
              </w:rPr>
              <w:t>Proprietários</w:t>
            </w:r>
          </w:p>
        </w:tc>
        <w:tc>
          <w:tcPr>
            <w:tcW w:type="dxa" w:w="6480"/>
            <w:vAlign w:val="top"/>
          </w:tcPr>
          <w:p>
            <w:pPr>
              <w:spacing w:after="0"/>
            </w:pPr>
            <w:r>
              <w:rPr>
                <w:rFonts w:ascii="Arial" w:hAnsi="Arial"/>
                <w:sz w:val="15"/>
              </w:rPr>
              <w:t>contatos e vínculos com imóveis, sempre com controle LGPD e origem do dado</w:t>
            </w:r>
          </w:p>
        </w:tc>
      </w:tr>
      <w:tr>
        <w:trPr>
          <w:cantSplit/>
          <w:cantSplit/>
        </w:trPr>
        <w:tc>
          <w:tcPr>
            <w:tcW w:type="dxa" w:w="2880"/>
            <w:vAlign w:val="top"/>
          </w:tcPr>
          <w:p>
            <w:pPr>
              <w:spacing w:after="0"/>
            </w:pPr>
            <w:r>
              <w:rPr>
                <w:rFonts w:ascii="Arial" w:hAnsi="Arial"/>
                <w:sz w:val="15"/>
              </w:rPr>
              <w:t>Corretores</w:t>
            </w:r>
          </w:p>
        </w:tc>
        <w:tc>
          <w:tcPr>
            <w:tcW w:type="dxa" w:w="6480"/>
            <w:vAlign w:val="top"/>
          </w:tcPr>
          <w:p>
            <w:pPr>
              <w:spacing w:after="0"/>
            </w:pPr>
            <w:r>
              <w:rPr>
                <w:rFonts w:ascii="Arial" w:hAnsi="Arial"/>
                <w:sz w:val="15"/>
              </w:rPr>
              <w:t>captação, relacionamento, origem da oportunidade e atuação</w:t>
            </w:r>
          </w:p>
        </w:tc>
      </w:tr>
      <w:tr>
        <w:trPr>
          <w:cantSplit/>
          <w:cantSplit/>
        </w:trPr>
        <w:tc>
          <w:tcPr>
            <w:tcW w:type="dxa" w:w="2880"/>
            <w:vAlign w:val="top"/>
          </w:tcPr>
          <w:p>
            <w:pPr>
              <w:spacing w:after="0"/>
            </w:pPr>
            <w:r>
              <w:rPr>
                <w:rFonts w:ascii="Arial" w:hAnsi="Arial"/>
                <w:sz w:val="15"/>
              </w:rPr>
              <w:t>Equipes</w:t>
            </w:r>
          </w:p>
        </w:tc>
        <w:tc>
          <w:tcPr>
            <w:tcW w:type="dxa" w:w="6480"/>
            <w:vAlign w:val="top"/>
          </w:tcPr>
          <w:p>
            <w:pPr>
              <w:spacing w:after="0"/>
            </w:pPr>
            <w:r>
              <w:rPr>
                <w:rFonts w:ascii="Arial" w:hAnsi="Arial"/>
                <w:sz w:val="15"/>
              </w:rPr>
              <w:t>permissões, carteira, responsáveis e colaboração</w:t>
            </w:r>
          </w:p>
        </w:tc>
      </w:tr>
      <w:tr>
        <w:trPr>
          <w:cantSplit/>
          <w:cantSplit/>
        </w:trPr>
        <w:tc>
          <w:tcPr>
            <w:tcW w:type="dxa" w:w="2880"/>
            <w:vAlign w:val="top"/>
          </w:tcPr>
          <w:p>
            <w:pPr>
              <w:spacing w:after="0"/>
            </w:pPr>
            <w:r>
              <w:rPr>
                <w:rFonts w:ascii="Arial" w:hAnsi="Arial"/>
                <w:sz w:val="15"/>
              </w:rPr>
              <w:t>Situação do lote</w:t>
            </w:r>
          </w:p>
        </w:tc>
        <w:tc>
          <w:tcPr>
            <w:tcW w:type="dxa" w:w="6480"/>
            <w:vAlign w:val="top"/>
          </w:tcPr>
          <w:p>
            <w:pPr>
              <w:spacing w:after="0"/>
            </w:pPr>
            <w:r>
              <w:rPr>
                <w:rFonts w:ascii="Arial" w:hAnsi="Arial"/>
                <w:sz w:val="15"/>
              </w:rPr>
              <w:t>pipeline de captação/análise/negociação/descartado</w:t>
            </w:r>
          </w:p>
        </w:tc>
      </w:tr>
      <w:tr>
        <w:trPr>
          <w:cantSplit/>
          <w:cantSplit/>
        </w:trPr>
        <w:tc>
          <w:tcPr>
            <w:tcW w:type="dxa" w:w="2880"/>
            <w:vAlign w:val="top"/>
          </w:tcPr>
          <w:p>
            <w:pPr>
              <w:spacing w:after="0"/>
            </w:pPr>
            <w:r>
              <w:rPr>
                <w:rFonts w:ascii="Arial" w:hAnsi="Arial"/>
                <w:sz w:val="15"/>
              </w:rPr>
              <w:t>Situação/temperatura do empreendimento</w:t>
            </w:r>
          </w:p>
        </w:tc>
        <w:tc>
          <w:tcPr>
            <w:tcW w:type="dxa" w:w="6480"/>
            <w:vAlign w:val="top"/>
          </w:tcPr>
          <w:p>
            <w:pPr>
              <w:spacing w:after="0"/>
            </w:pPr>
            <w:r>
              <w:rPr>
                <w:rFonts w:ascii="Arial" w:hAnsi="Arial"/>
                <w:sz w:val="15"/>
              </w:rPr>
              <w:t>estágio e prioridade comercial</w:t>
            </w:r>
          </w:p>
        </w:tc>
      </w:tr>
      <w:tr>
        <w:trPr>
          <w:cantSplit/>
          <w:cantSplit/>
        </w:trPr>
        <w:tc>
          <w:tcPr>
            <w:tcW w:type="dxa" w:w="2880"/>
            <w:vAlign w:val="top"/>
          </w:tcPr>
          <w:p>
            <w:pPr>
              <w:spacing w:after="0"/>
            </w:pPr>
            <w:r>
              <w:rPr>
                <w:rFonts w:ascii="Arial" w:hAnsi="Arial"/>
                <w:sz w:val="15"/>
              </w:rPr>
              <w:t>Observações/tags</w:t>
            </w:r>
          </w:p>
        </w:tc>
        <w:tc>
          <w:tcPr>
            <w:tcW w:type="dxa" w:w="6480"/>
            <w:vAlign w:val="top"/>
          </w:tcPr>
          <w:p>
            <w:pPr>
              <w:spacing w:after="0"/>
            </w:pPr>
            <w:r>
              <w:rPr>
                <w:rFonts w:ascii="Arial" w:hAnsi="Arial"/>
                <w:sz w:val="15"/>
              </w:rPr>
              <w:t>qualificação e busca interna</w:t>
            </w:r>
          </w:p>
        </w:tc>
      </w:tr>
      <w:tr>
        <w:trPr>
          <w:cantSplit/>
          <w:cantSplit/>
        </w:trPr>
        <w:tc>
          <w:tcPr>
            <w:tcW w:type="dxa" w:w="2880"/>
            <w:vAlign w:val="top"/>
          </w:tcPr>
          <w:p>
            <w:pPr>
              <w:spacing w:after="0"/>
            </w:pPr>
            <w:r>
              <w:rPr>
                <w:rFonts w:ascii="Arial" w:hAnsi="Arial"/>
                <w:sz w:val="15"/>
              </w:rPr>
              <w:t>Diligência/histórico</w:t>
            </w:r>
          </w:p>
        </w:tc>
        <w:tc>
          <w:tcPr>
            <w:tcW w:type="dxa" w:w="6480"/>
            <w:vAlign w:val="top"/>
          </w:tcPr>
          <w:p>
            <w:pPr>
              <w:spacing w:after="0"/>
            </w:pPr>
            <w:r>
              <w:rPr>
                <w:rFonts w:ascii="Arial" w:hAnsi="Arial"/>
                <w:sz w:val="15"/>
              </w:rPr>
              <w:t>tarefas, documentos, contatos, pendências e decisões</w:t>
            </w:r>
          </w:p>
        </w:tc>
      </w:tr>
      <w:tr>
        <w:trPr>
          <w:cantSplit/>
          <w:cantSplit/>
        </w:trPr>
        <w:tc>
          <w:tcPr>
            <w:tcW w:type="dxa" w:w="2880"/>
            <w:vAlign w:val="top"/>
          </w:tcPr>
          <w:p>
            <w:pPr>
              <w:spacing w:after="0"/>
            </w:pPr>
            <w:r>
              <w:rPr>
                <w:rFonts w:ascii="Arial" w:hAnsi="Arial"/>
                <w:sz w:val="15"/>
              </w:rPr>
              <w:t>Sugestões/feedback</w:t>
            </w:r>
          </w:p>
        </w:tc>
        <w:tc>
          <w:tcPr>
            <w:tcW w:type="dxa" w:w="6480"/>
            <w:vAlign w:val="top"/>
          </w:tcPr>
          <w:p>
            <w:pPr>
              <w:spacing w:after="0"/>
            </w:pPr>
            <w:r>
              <w:rPr>
                <w:rFonts w:ascii="Arial" w:hAnsi="Arial"/>
                <w:sz w:val="15"/>
              </w:rPr>
              <w:t>melhoria de produto e dados reportados pelos usuários</w:t>
            </w:r>
          </w:p>
        </w:tc>
      </w:tr>
    </w:tbl>
    <w:p>
      <w:pPr>
        <w:spacing w:after="20"/>
      </w:pPr>
    </w:p>
    <w:p>
      <w:pPr>
        <w:pStyle w:val="Heading2"/>
        <w:keepNext/>
      </w:pPr>
      <w:r>
        <w:t>24.18 Relatórios, PDF, exportações e compartilhamento</w:t>
      </w:r>
    </w:p>
    <w:p>
      <w:pPr>
        <w:spacing w:after="30"/>
        <w:ind w:left="259" w:hanging="173"/>
      </w:pPr>
      <w:r>
        <w:t xml:space="preserve">• </w:t>
      </w:r>
      <w:r>
        <w:t>Ficha 360: privada, pública controlada e PDF.</w:t>
      </w:r>
    </w:p>
    <w:p>
      <w:pPr>
        <w:spacing w:after="30"/>
        <w:ind w:left="259" w:hanging="173"/>
      </w:pPr>
      <w:r>
        <w:t xml:space="preserve">• </w:t>
      </w:r>
      <w:r>
        <w:t>Relatórios de imóveis e empreendimentos; relatório por lote; relatório por geometria/interseção.</w:t>
      </w:r>
    </w:p>
    <w:p>
      <w:pPr>
        <w:spacing w:after="30"/>
        <w:ind w:left="259" w:hanging="173"/>
      </w:pPr>
      <w:r>
        <w:t xml:space="preserve">• </w:t>
      </w:r>
      <w:r>
        <w:t>Exportação geográfica: GeoJSON/KML/KMZ e, para perfis técnicos, CSV/GeoPackage quando licenças permitirem.</w:t>
      </w:r>
    </w:p>
    <w:p>
      <w:pPr>
        <w:spacing w:after="30"/>
        <w:ind w:left="259" w:hanging="173"/>
      </w:pPr>
      <w:r>
        <w:t xml:space="preserve">• </w:t>
      </w:r>
      <w:r>
        <w:t>Snapshot imutável do relatório: data-base, versões das fontes, leis, geometrias e cálculos usados.</w:t>
      </w:r>
    </w:p>
    <w:p>
      <w:pPr>
        <w:spacing w:after="30"/>
        <w:ind w:left="259" w:hanging="173"/>
      </w:pPr>
      <w:r>
        <w:t xml:space="preserve">• </w:t>
      </w:r>
      <w:r>
        <w:t>Compartilhamento com expiração, marca d’água/identificação e perfis de conteúdo para corretor, cliente, engenharia, jurídico e prefeitura.</w:t>
      </w:r>
    </w:p>
    <w:p>
      <w:pPr>
        <w:pStyle w:val="Heading2"/>
        <w:keepNext/>
      </w:pPr>
      <w:r>
        <w:t>24.19 Backoffice e CMS GIS</w:t>
      </w:r>
    </w:p>
    <w:p>
      <w:pPr>
        <w:spacing w:after="60"/>
      </w:pPr>
      <w:r>
        <w:t>Uma das capacidades mais valiosas observadas é o backoffice para publicar camadas sem alterar o frontend. O Imóvel 360 deve transformar isso em um verdadeiro catálogo nacional governado.</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1728"/>
            <w:shd w:fill="EDEDED"/>
            <w:vAlign w:val="center"/>
          </w:tcPr>
          <w:p>
            <w:pPr>
              <w:spacing w:after="0"/>
            </w:pPr>
            <w:r>
              <w:rPr>
                <w:rFonts w:ascii="Arial" w:hAnsi="Arial"/>
                <w:b/>
                <w:sz w:val="14"/>
              </w:rPr>
              <w:t>Objeto</w:t>
            </w:r>
          </w:p>
        </w:tc>
        <w:tc>
          <w:tcPr>
            <w:tcW w:type="dxa" w:w="7632"/>
            <w:shd w:fill="EDEDED"/>
            <w:vAlign w:val="center"/>
          </w:tcPr>
          <w:p>
            <w:pPr>
              <w:spacing w:after="0"/>
            </w:pPr>
            <w:r>
              <w:rPr>
                <w:rFonts w:ascii="Arial" w:hAnsi="Arial"/>
                <w:b/>
                <w:sz w:val="14"/>
              </w:rPr>
              <w:t>Campos/capacidades essenciais</w:t>
            </w:r>
          </w:p>
        </w:tc>
      </w:tr>
      <w:tr>
        <w:trPr>
          <w:cantSplit/>
          <w:cantSplit/>
        </w:trPr>
        <w:tc>
          <w:tcPr>
            <w:tcW w:type="dxa" w:w="1728"/>
            <w:vAlign w:val="top"/>
          </w:tcPr>
          <w:p>
            <w:pPr>
              <w:spacing w:after="0"/>
            </w:pPr>
            <w:r>
              <w:rPr>
                <w:rFonts w:ascii="Arial" w:hAnsi="Arial"/>
                <w:sz w:val="14"/>
              </w:rPr>
              <w:t>Layer</w:t>
            </w:r>
          </w:p>
        </w:tc>
        <w:tc>
          <w:tcPr>
            <w:tcW w:type="dxa" w:w="7632"/>
            <w:vAlign w:val="top"/>
          </w:tcPr>
          <w:p>
            <w:pPr>
              <w:spacing w:after="0"/>
            </w:pPr>
            <w:r>
              <w:rPr>
                <w:rFonts w:ascii="Arial" w:hAnsi="Arial"/>
                <w:sz w:val="14"/>
              </w:rPr>
              <w:t>nome, descrição, âmbito nacional/UF/município, source, schema_table, source_layer, tipo, zoom, estilo/paint, URL interna, status</w:t>
            </w:r>
          </w:p>
        </w:tc>
      </w:tr>
      <w:tr>
        <w:trPr>
          <w:cantSplit/>
          <w:cantSplit/>
        </w:trPr>
        <w:tc>
          <w:tcPr>
            <w:tcW w:type="dxa" w:w="1728"/>
            <w:vAlign w:val="top"/>
          </w:tcPr>
          <w:p>
            <w:pPr>
              <w:spacing w:after="0"/>
            </w:pPr>
            <w:r>
              <w:rPr>
                <w:rFonts w:ascii="Arial" w:hAnsi="Arial"/>
                <w:sz w:val="14"/>
              </w:rPr>
              <w:t>Filtros</w:t>
            </w:r>
          </w:p>
        </w:tc>
        <w:tc>
          <w:tcPr>
            <w:tcW w:type="dxa" w:w="7632"/>
            <w:vAlign w:val="top"/>
          </w:tcPr>
          <w:p>
            <w:pPr>
              <w:spacing w:after="0"/>
            </w:pPr>
            <w:r>
              <w:rPr>
                <w:rFonts w:ascii="Arial" w:hAnsi="Arial"/>
                <w:sz w:val="14"/>
              </w:rPr>
              <w:t>tabela/coluna, select_columns, label, tipo de dado, intervalo/step, retorno, chave e descrição</w:t>
            </w:r>
          </w:p>
        </w:tc>
      </w:tr>
      <w:tr>
        <w:trPr>
          <w:cantSplit/>
          <w:cantSplit/>
        </w:trPr>
        <w:tc>
          <w:tcPr>
            <w:tcW w:type="dxa" w:w="1728"/>
            <w:vAlign w:val="top"/>
          </w:tcPr>
          <w:p>
            <w:pPr>
              <w:spacing w:after="0"/>
            </w:pPr>
            <w:r>
              <w:rPr>
                <w:rFonts w:ascii="Arial" w:hAnsi="Arial"/>
                <w:sz w:val="14"/>
              </w:rPr>
              <w:t>Tags</w:t>
            </w:r>
          </w:p>
        </w:tc>
        <w:tc>
          <w:tcPr>
            <w:tcW w:type="dxa" w:w="7632"/>
            <w:vAlign w:val="top"/>
          </w:tcPr>
          <w:p>
            <w:pPr>
              <w:spacing w:after="0"/>
            </w:pPr>
            <w:r>
              <w:rPr>
                <w:rFonts w:ascii="Arial" w:hAnsi="Arial"/>
                <w:sz w:val="14"/>
              </w:rPr>
              <w:t>grupo, tag, ordem, pesquisa e associação camada-tag</w:t>
            </w:r>
          </w:p>
        </w:tc>
      </w:tr>
      <w:tr>
        <w:trPr>
          <w:cantSplit/>
          <w:cantSplit/>
        </w:trPr>
        <w:tc>
          <w:tcPr>
            <w:tcW w:type="dxa" w:w="1728"/>
            <w:vAlign w:val="top"/>
          </w:tcPr>
          <w:p>
            <w:pPr>
              <w:spacing w:after="0"/>
            </w:pPr>
            <w:r>
              <w:rPr>
                <w:rFonts w:ascii="Arial" w:hAnsi="Arial"/>
                <w:sz w:val="14"/>
              </w:rPr>
              <w:t>Permissão</w:t>
            </w:r>
          </w:p>
        </w:tc>
        <w:tc>
          <w:tcPr>
            <w:tcW w:type="dxa" w:w="7632"/>
            <w:vAlign w:val="top"/>
          </w:tcPr>
          <w:p>
            <w:pPr>
              <w:spacing w:after="0"/>
            </w:pPr>
            <w:r>
              <w:rPr>
                <w:rFonts w:ascii="Arial" w:hAnsi="Arial"/>
                <w:sz w:val="14"/>
              </w:rPr>
              <w:t>produto, organização, usuário, perfil, município e escopo</w:t>
            </w:r>
          </w:p>
        </w:tc>
      </w:tr>
      <w:tr>
        <w:trPr>
          <w:cantSplit/>
          <w:cantSplit/>
        </w:trPr>
        <w:tc>
          <w:tcPr>
            <w:tcW w:type="dxa" w:w="1728"/>
            <w:vAlign w:val="top"/>
          </w:tcPr>
          <w:p>
            <w:pPr>
              <w:spacing w:after="0"/>
            </w:pPr>
            <w:r>
              <w:rPr>
                <w:rFonts w:ascii="Arial" w:hAnsi="Arial"/>
                <w:sz w:val="14"/>
              </w:rPr>
              <w:t>Publicação</w:t>
            </w:r>
          </w:p>
        </w:tc>
        <w:tc>
          <w:tcPr>
            <w:tcW w:type="dxa" w:w="7632"/>
            <w:vAlign w:val="top"/>
          </w:tcPr>
          <w:p>
            <w:pPr>
              <w:spacing w:after="0"/>
            </w:pPr>
            <w:r>
              <w:rPr>
                <w:rFonts w:ascii="Arial" w:hAnsi="Arial"/>
                <w:sz w:val="14"/>
              </w:rPr>
              <w:t>inspeção de tabela/view PostGIS, validação geométrica, geração MVT, limpeza de cache e versionamento</w:t>
            </w:r>
          </w:p>
        </w:tc>
      </w:tr>
      <w:tr>
        <w:trPr>
          <w:cantSplit/>
          <w:cantSplit/>
        </w:trPr>
        <w:tc>
          <w:tcPr>
            <w:tcW w:type="dxa" w:w="1728"/>
            <w:vAlign w:val="top"/>
          </w:tcPr>
          <w:p>
            <w:pPr>
              <w:spacing w:after="0"/>
            </w:pPr>
            <w:r>
              <w:rPr>
                <w:rFonts w:ascii="Arial" w:hAnsi="Arial"/>
                <w:sz w:val="14"/>
              </w:rPr>
              <w:t>Serviço</w:t>
            </w:r>
          </w:p>
        </w:tc>
        <w:tc>
          <w:tcPr>
            <w:tcW w:type="dxa" w:w="7632"/>
            <w:vAlign w:val="top"/>
          </w:tcPr>
          <w:p>
            <w:pPr>
              <w:spacing w:after="0"/>
            </w:pPr>
            <w:r>
              <w:rPr>
                <w:rFonts w:ascii="Arial" w:hAnsi="Arial"/>
                <w:sz w:val="14"/>
              </w:rPr>
              <w:t>grupo Território/Legal/Cadastro, fonte, consulta, distância padrão, display_config, validade e licença</w:t>
            </w:r>
          </w:p>
        </w:tc>
      </w:tr>
    </w:tbl>
    <w:p>
      <w:pPr>
        <w:spacing w:after="20"/>
      </w:pPr>
    </w:p>
    <w:p>
      <w:pPr>
        <w:pStyle w:val="Heading2"/>
        <w:keepNext/>
      </w:pPr>
      <w:r>
        <w:t>24.20 Famílias GraphQL que devem existir na nossa API</w:t>
      </w:r>
    </w:p>
    <w:tbl>
      <w:tblPr>
        <w:tblStyle w:val="TableGrid"/>
        <w:tblW w:type="auto" w:w="0"/>
        <w:jc w:val="center"/>
        <w:tblLook w:firstColumn="1" w:firstRow="1" w:lastColumn="0" w:lastRow="0" w:noHBand="0" w:noVBand="1" w:val="04A0"/>
      </w:tblPr>
      <w:tblGrid>
        <w:gridCol w:w="10166"/>
      </w:tblGrid>
      <w:tr>
        <w:trPr>
          <w:tblHeader w:val="true"/>
          <w:cantSplit/>
          <w:tblHeader w:val="true"/>
          <w:cantSplit/>
        </w:trPr>
        <w:tc>
          <w:tcPr>
            <w:tcW w:type="dxa" w:w="9360"/>
            <w:shd w:fill="EDEDED"/>
            <w:vAlign w:val="center"/>
          </w:tcPr>
          <w:p>
            <w:pPr>
              <w:spacing w:after="0"/>
            </w:pPr>
            <w:r>
              <w:rPr>
                <w:rFonts w:ascii="Arial" w:hAnsi="Arial"/>
                <w:b/>
                <w:sz w:val="14"/>
              </w:rPr>
              <w:t>Família</w:t>
            </w:r>
          </w:p>
        </w:tc>
      </w:tr>
      <w:tr>
        <w:trPr>
          <w:cantSplit/>
          <w:cantSplit/>
        </w:trPr>
        <w:tc>
          <w:tcPr>
            <w:tcW w:type="dxa" w:w="9360"/>
            <w:vAlign w:val="top"/>
          </w:tcPr>
          <w:p>
            <w:pPr>
              <w:spacing w:after="0"/>
            </w:pPr>
            <w:r>
              <w:rPr>
                <w:rFonts w:ascii="Arial" w:hAnsi="Arial"/>
                <w:sz w:val="14"/>
              </w:rPr>
              <w:t>Autenticação, perfil, empresas e usuários</w:t>
            </w:r>
          </w:p>
        </w:tc>
      </w:tr>
      <w:tr>
        <w:trPr>
          <w:cantSplit/>
          <w:cantSplit/>
        </w:trPr>
        <w:tc>
          <w:tcPr>
            <w:tcW w:type="dxa" w:w="9360"/>
            <w:vAlign w:val="top"/>
          </w:tcPr>
          <w:p>
            <w:pPr>
              <w:spacing w:after="0"/>
            </w:pPr>
            <w:r>
              <w:rPr>
                <w:rFonts w:ascii="Arial" w:hAnsi="Arial"/>
                <w:sz w:val="14"/>
              </w:rPr>
              <w:t>Produtos, pacotes, serviços, assinaturas, cupons e pedidos</w:t>
            </w:r>
          </w:p>
        </w:tc>
      </w:tr>
      <w:tr>
        <w:trPr>
          <w:cantSplit/>
          <w:cantSplit/>
        </w:trPr>
        <w:tc>
          <w:tcPr>
            <w:tcW w:type="dxa" w:w="9360"/>
            <w:vAlign w:val="top"/>
          </w:tcPr>
          <w:p>
            <w:pPr>
              <w:spacing w:after="0"/>
            </w:pPr>
            <w:r>
              <w:rPr>
                <w:rFonts w:ascii="Arial" w:hAnsi="Arial"/>
                <w:sz w:val="14"/>
              </w:rPr>
              <w:t>News feed e log de acesso</w:t>
            </w:r>
          </w:p>
        </w:tc>
      </w:tr>
      <w:tr>
        <w:trPr>
          <w:cantSplit/>
          <w:cantSplit/>
        </w:trPr>
        <w:tc>
          <w:tcPr>
            <w:tcW w:type="dxa" w:w="9360"/>
            <w:vAlign w:val="top"/>
          </w:tcPr>
          <w:p>
            <w:pPr>
              <w:spacing w:after="0"/>
            </w:pPr>
            <w:r>
              <w:rPr>
                <w:rFonts w:ascii="Arial" w:hAnsi="Arial"/>
                <w:sz w:val="14"/>
              </w:rPr>
              <w:t>Explorer: projetos, layers por usuário, favoritas, tags e filtros</w:t>
            </w:r>
          </w:p>
        </w:tc>
      </w:tr>
      <w:tr>
        <w:trPr>
          <w:cantSplit/>
          <w:cantSplit/>
        </w:trPr>
        <w:tc>
          <w:tcPr>
            <w:tcW w:type="dxa" w:w="9360"/>
            <w:vAlign w:val="top"/>
          </w:tcPr>
          <w:p>
            <w:pPr>
              <w:spacing w:after="0"/>
            </w:pPr>
            <w:r>
              <w:rPr>
                <w:rFonts w:ascii="Arial" w:hAnsi="Arial"/>
                <w:sz w:val="14"/>
              </w:rPr>
              <w:t>Imóveis e detalhe</w:t>
            </w:r>
          </w:p>
        </w:tc>
      </w:tr>
      <w:tr>
        <w:trPr>
          <w:cantSplit/>
          <w:cantSplit/>
        </w:trPr>
        <w:tc>
          <w:tcPr>
            <w:tcW w:type="dxa" w:w="9360"/>
            <w:vAlign w:val="top"/>
          </w:tcPr>
          <w:p>
            <w:pPr>
              <w:spacing w:after="0"/>
            </w:pPr>
            <w:r>
              <w:rPr>
                <w:rFonts w:ascii="Arial" w:hAnsi="Arial"/>
                <w:sz w:val="14"/>
              </w:rPr>
              <w:t>Imóvel-contribuintes / cadastros fiscais</w:t>
            </w:r>
          </w:p>
        </w:tc>
      </w:tr>
      <w:tr>
        <w:trPr>
          <w:cantSplit/>
          <w:cantSplit/>
        </w:trPr>
        <w:tc>
          <w:tcPr>
            <w:tcW w:type="dxa" w:w="9360"/>
            <w:vAlign w:val="top"/>
          </w:tcPr>
          <w:p>
            <w:pPr>
              <w:spacing w:after="0"/>
            </w:pPr>
            <w:r>
              <w:rPr>
                <w:rFonts w:ascii="Arial" w:hAnsi="Arial"/>
                <w:sz w:val="14"/>
              </w:rPr>
              <w:t>Imóvel-proprietários e imóvel-corretores</w:t>
            </w:r>
          </w:p>
        </w:tc>
      </w:tr>
      <w:tr>
        <w:trPr>
          <w:cantSplit/>
          <w:cantSplit/>
        </w:trPr>
        <w:tc>
          <w:tcPr>
            <w:tcW w:type="dxa" w:w="9360"/>
            <w:vAlign w:val="top"/>
          </w:tcPr>
          <w:p>
            <w:pPr>
              <w:spacing w:after="0"/>
            </w:pPr>
            <w:r>
              <w:rPr>
                <w:rFonts w:ascii="Arial" w:hAnsi="Arial"/>
                <w:sz w:val="14"/>
              </w:rPr>
              <w:t>Situação, observações e tags do imóvel</w:t>
            </w:r>
          </w:p>
        </w:tc>
      </w:tr>
      <w:tr>
        <w:trPr>
          <w:cantSplit/>
          <w:cantSplit/>
        </w:trPr>
        <w:tc>
          <w:tcPr>
            <w:tcW w:type="dxa" w:w="9360"/>
            <w:vAlign w:val="top"/>
          </w:tcPr>
          <w:p>
            <w:pPr>
              <w:spacing w:after="0"/>
            </w:pPr>
            <w:r>
              <w:rPr>
                <w:rFonts w:ascii="Arial" w:hAnsi="Arial"/>
                <w:sz w:val="14"/>
              </w:rPr>
              <w:t>Empreendimentos</w:t>
            </w:r>
          </w:p>
        </w:tc>
      </w:tr>
      <w:tr>
        <w:trPr>
          <w:cantSplit/>
          <w:cantSplit/>
        </w:trPr>
        <w:tc>
          <w:tcPr>
            <w:tcW w:type="dxa" w:w="9360"/>
            <w:vAlign w:val="top"/>
          </w:tcPr>
          <w:p>
            <w:pPr>
              <w:spacing w:after="0"/>
            </w:pPr>
            <w:r>
              <w:rPr>
                <w:rFonts w:ascii="Arial" w:hAnsi="Arial"/>
                <w:sz w:val="14"/>
              </w:rPr>
              <w:t>Empreendimento-imóvel/lotes</w:t>
            </w:r>
          </w:p>
        </w:tc>
      </w:tr>
      <w:tr>
        <w:trPr>
          <w:cantSplit/>
          <w:cantSplit/>
        </w:trPr>
        <w:tc>
          <w:tcPr>
            <w:tcW w:type="dxa" w:w="9360"/>
            <w:vAlign w:val="top"/>
          </w:tcPr>
          <w:p>
            <w:pPr>
              <w:spacing w:after="0"/>
            </w:pPr>
            <w:r>
              <w:rPr>
                <w:rFonts w:ascii="Arial" w:hAnsi="Arial"/>
                <w:sz w:val="14"/>
              </w:rPr>
              <w:t>Empreendimento-proprietários/corretores</w:t>
            </w:r>
          </w:p>
        </w:tc>
      </w:tr>
      <w:tr>
        <w:trPr>
          <w:cantSplit/>
          <w:cantSplit/>
        </w:trPr>
        <w:tc>
          <w:tcPr>
            <w:tcW w:type="dxa" w:w="9360"/>
            <w:vAlign w:val="top"/>
          </w:tcPr>
          <w:p>
            <w:pPr>
              <w:spacing w:after="0"/>
            </w:pPr>
            <w:r>
              <w:rPr>
                <w:rFonts w:ascii="Arial" w:hAnsi="Arial"/>
                <w:sz w:val="14"/>
              </w:rPr>
              <w:t>Massa/volumetria e usos da massa</w:t>
            </w:r>
          </w:p>
        </w:tc>
      </w:tr>
      <w:tr>
        <w:trPr>
          <w:cantSplit/>
          <w:cantSplit/>
        </w:trPr>
        <w:tc>
          <w:tcPr>
            <w:tcW w:type="dxa" w:w="9360"/>
            <w:vAlign w:val="top"/>
          </w:tcPr>
          <w:p>
            <w:pPr>
              <w:spacing w:after="0"/>
            </w:pPr>
            <w:r>
              <w:rPr>
                <w:rFonts w:ascii="Arial" w:hAnsi="Arial"/>
                <w:sz w:val="14"/>
              </w:rPr>
              <w:t>Situação e temperatura do empreendimento</w:t>
            </w:r>
          </w:p>
        </w:tc>
      </w:tr>
      <w:tr>
        <w:trPr>
          <w:cantSplit/>
          <w:cantSplit/>
        </w:trPr>
        <w:tc>
          <w:tcPr>
            <w:tcW w:type="dxa" w:w="9360"/>
            <w:vAlign w:val="top"/>
          </w:tcPr>
          <w:p>
            <w:pPr>
              <w:spacing w:after="0"/>
            </w:pPr>
            <w:r>
              <w:rPr>
                <w:rFonts w:ascii="Arial" w:hAnsi="Arial"/>
                <w:sz w:val="14"/>
              </w:rPr>
              <w:t>Equipes</w:t>
            </w:r>
          </w:p>
        </w:tc>
      </w:tr>
      <w:tr>
        <w:trPr>
          <w:cantSplit/>
          <w:cantSplit/>
        </w:trPr>
        <w:tc>
          <w:tcPr>
            <w:tcW w:type="dxa" w:w="9360"/>
            <w:vAlign w:val="top"/>
          </w:tcPr>
          <w:p>
            <w:pPr>
              <w:spacing w:after="0"/>
            </w:pPr>
            <w:r>
              <w:rPr>
                <w:rFonts w:ascii="Arial" w:hAnsi="Arial"/>
                <w:sz w:val="14"/>
              </w:rPr>
              <w:t>Diligências e histórico</w:t>
            </w:r>
          </w:p>
        </w:tc>
      </w:tr>
      <w:tr>
        <w:trPr>
          <w:cantSplit/>
          <w:cantSplit/>
        </w:trPr>
        <w:tc>
          <w:tcPr>
            <w:tcW w:type="dxa" w:w="9360"/>
            <w:vAlign w:val="top"/>
          </w:tcPr>
          <w:p>
            <w:pPr>
              <w:spacing w:after="0"/>
            </w:pPr>
            <w:r>
              <w:rPr>
                <w:rFonts w:ascii="Arial" w:hAnsi="Arial"/>
                <w:sz w:val="14"/>
              </w:rPr>
              <w:t>Inteligência de mercado</w:t>
            </w:r>
          </w:p>
        </w:tc>
      </w:tr>
      <w:tr>
        <w:trPr>
          <w:cantSplit/>
          <w:cantSplit/>
        </w:trPr>
        <w:tc>
          <w:tcPr>
            <w:tcW w:type="dxa" w:w="9360"/>
            <w:vAlign w:val="top"/>
          </w:tcPr>
          <w:p>
            <w:pPr>
              <w:spacing w:after="0"/>
            </w:pPr>
            <w:r>
              <w:rPr>
                <w:rFonts w:ascii="Arial" w:hAnsi="Arial"/>
                <w:sz w:val="14"/>
              </w:rPr>
              <w:t>VSO / sales flow</w:t>
            </w:r>
          </w:p>
        </w:tc>
      </w:tr>
      <w:tr>
        <w:trPr>
          <w:cantSplit/>
          <w:cantSplit/>
        </w:trPr>
        <w:tc>
          <w:tcPr>
            <w:tcW w:type="dxa" w:w="9360"/>
            <w:vAlign w:val="top"/>
          </w:tcPr>
          <w:p>
            <w:pPr>
              <w:spacing w:after="0"/>
            </w:pPr>
            <w:r>
              <w:rPr>
                <w:rFonts w:ascii="Arial" w:hAnsi="Arial"/>
                <w:sz w:val="14"/>
              </w:rPr>
              <w:t>Mercado secundário</w:t>
            </w:r>
          </w:p>
        </w:tc>
      </w:tr>
      <w:tr>
        <w:trPr>
          <w:cantSplit/>
          <w:cantSplit/>
        </w:trPr>
        <w:tc>
          <w:tcPr>
            <w:tcW w:type="dxa" w:w="9360"/>
            <w:vAlign w:val="top"/>
          </w:tcPr>
          <w:p>
            <w:pPr>
              <w:spacing w:after="0"/>
            </w:pPr>
            <w:r>
              <w:rPr>
                <w:rFonts w:ascii="Arial" w:hAnsi="Arial"/>
                <w:sz w:val="14"/>
              </w:rPr>
              <w:t>AVM / avaliações</w:t>
            </w:r>
          </w:p>
        </w:tc>
      </w:tr>
      <w:tr>
        <w:trPr>
          <w:cantSplit/>
          <w:cantSplit/>
        </w:trPr>
        <w:tc>
          <w:tcPr>
            <w:tcW w:type="dxa" w:w="9360"/>
            <w:vAlign w:val="top"/>
          </w:tcPr>
          <w:p>
            <w:pPr>
              <w:spacing w:after="0"/>
            </w:pPr>
            <w:r>
              <w:rPr>
                <w:rFonts w:ascii="Arial" w:hAnsi="Arial"/>
                <w:sz w:val="14"/>
              </w:rPr>
              <w:t>Pessoas/CRM</w:t>
            </w:r>
          </w:p>
        </w:tc>
      </w:tr>
      <w:tr>
        <w:trPr>
          <w:cantSplit/>
          <w:cantSplit/>
        </w:trPr>
        <w:tc>
          <w:tcPr>
            <w:tcW w:type="dxa" w:w="9360"/>
            <w:vAlign w:val="top"/>
          </w:tcPr>
          <w:p>
            <w:pPr>
              <w:spacing w:after="0"/>
            </w:pPr>
            <w:r>
              <w:rPr>
                <w:rFonts w:ascii="Arial" w:hAnsi="Arial"/>
                <w:sz w:val="14"/>
              </w:rPr>
              <w:t>Prospecção de terrenos</w:t>
            </w:r>
          </w:p>
        </w:tc>
      </w:tr>
      <w:tr>
        <w:trPr>
          <w:cantSplit/>
          <w:cantSplit/>
        </w:trPr>
        <w:tc>
          <w:tcPr>
            <w:tcW w:type="dxa" w:w="9360"/>
            <w:vAlign w:val="top"/>
          </w:tcPr>
          <w:p>
            <w:pPr>
              <w:spacing w:after="0"/>
            </w:pPr>
            <w:r>
              <w:rPr>
                <w:rFonts w:ascii="Arial" w:hAnsi="Arial"/>
                <w:sz w:val="14"/>
              </w:rPr>
              <w:t>Catálogo de serviços municipais</w:t>
            </w:r>
          </w:p>
        </w:tc>
      </w:tr>
      <w:tr>
        <w:trPr>
          <w:cantSplit/>
          <w:cantSplit/>
        </w:trPr>
        <w:tc>
          <w:tcPr>
            <w:tcW w:type="dxa" w:w="9360"/>
            <w:vAlign w:val="top"/>
          </w:tcPr>
          <w:p>
            <w:pPr>
              <w:spacing w:after="0"/>
            </w:pPr>
            <w:r>
              <w:rPr>
                <w:rFonts w:ascii="Arial" w:hAnsi="Arial"/>
                <w:sz w:val="14"/>
              </w:rPr>
              <w:t>Catálogo de relatórios espaciais</w:t>
            </w:r>
          </w:p>
        </w:tc>
      </w:tr>
      <w:tr>
        <w:trPr>
          <w:cantSplit/>
          <w:cantSplit/>
        </w:trPr>
        <w:tc>
          <w:tcPr>
            <w:tcW w:type="dxa" w:w="9360"/>
            <w:vAlign w:val="top"/>
          </w:tcPr>
          <w:p>
            <w:pPr>
              <w:spacing w:after="0"/>
            </w:pPr>
            <w:r>
              <w:rPr>
                <w:rFonts w:ascii="Arial" w:hAnsi="Arial"/>
                <w:sz w:val="14"/>
              </w:rPr>
              <w:t>Catálogo do Painel de Mercado</w:t>
            </w:r>
          </w:p>
        </w:tc>
      </w:tr>
      <w:tr>
        <w:trPr>
          <w:cantSplit/>
          <w:cantSplit/>
        </w:trPr>
        <w:tc>
          <w:tcPr>
            <w:tcW w:type="dxa" w:w="9360"/>
            <w:vAlign w:val="top"/>
          </w:tcPr>
          <w:p>
            <w:pPr>
              <w:spacing w:after="0"/>
            </w:pPr>
            <w:r>
              <w:rPr>
                <w:rFonts w:ascii="Arial" w:hAnsi="Arial"/>
                <w:sz w:val="14"/>
              </w:rPr>
              <w:t>Catálogo de categorias da Ficha</w:t>
            </w:r>
          </w:p>
        </w:tc>
      </w:tr>
      <w:tr>
        <w:trPr>
          <w:cantSplit/>
          <w:cantSplit/>
        </w:trPr>
        <w:tc>
          <w:tcPr>
            <w:tcW w:type="dxa" w:w="9360"/>
            <w:vAlign w:val="top"/>
          </w:tcPr>
          <w:p>
            <w:pPr>
              <w:spacing w:after="0"/>
            </w:pPr>
            <w:r>
              <w:rPr>
                <w:rFonts w:ascii="Arial" w:hAnsi="Arial"/>
                <w:sz w:val="14"/>
              </w:rPr>
              <w:t>Backoffice de Explorer Layers</w:t>
            </w:r>
          </w:p>
        </w:tc>
      </w:tr>
    </w:tbl>
    <w:p>
      <w:pPr>
        <w:spacing w:after="20"/>
      </w:pPr>
    </w:p>
    <w:p>
      <w:pPr>
        <w:pStyle w:val="Heading2"/>
        <w:keepNext/>
      </w:pPr>
      <w:r>
        <w:t>24.21 Arquitetura definitiva: Imóvel 360 sobre o núcleo LoteDiretor</w:t>
      </w:r>
    </w:p>
    <w:tbl>
      <w:tblPr>
        <w:tblStyle w:val="TableGrid"/>
        <w:tblW w:type="auto" w:w="0"/>
        <w:jc w:val="center"/>
        <w:tblLook w:firstColumn="1" w:firstRow="1" w:lastColumn="0" w:lastRow="0" w:noHBand="0" w:noVBand="1" w:val="04A0"/>
      </w:tblPr>
      <w:tblGrid>
        <w:gridCol w:w="10166"/>
      </w:tblGrid>
      <w:tr>
        <w:trPr>
          <w:cantSplit/>
          <w:tblHeader w:val="true"/>
          <w:cantSplit/>
        </w:trPr>
        <w:tc>
          <w:tcPr>
            <w:tcW w:type="dxa" w:w="10166"/>
            <w:shd w:fill="F6F6F6"/>
          </w:tcPr>
          <w:p>
            <w:pPr>
              <w:spacing w:after="0"/>
            </w:pPr>
            <w:r>
              <w:rPr>
                <w:rFonts w:ascii="Arial" w:hAnsi="Arial"/>
                <w:sz w:val="17"/>
              </w:rPr>
            </w:r>
            <w:r>
              <w:rPr>
                <w:rFonts w:ascii="Courier New" w:hAnsi="Courier New"/>
                <w:sz w:val="15"/>
              </w:rPr>
              <w:t>FONTES OFICIAIS / LICENCIADAS / DOCUMENTOS DO USUÁRIO</w:t>
              <w:br/>
              <w:t xml:space="preserve">                     │</w:t>
              <w:br/>
              <w:t xml:space="preserve">               INGESTÃO + ETL</w:t>
              <w:br/>
              <w:t xml:space="preserve">                     │</w:t>
              <w:br/>
              <w:t xml:space="preserve">           DATA LAKE + VERSIONAMENTO</w:t>
              <w:br/>
              <w:t xml:space="preserve">                     │</w:t>
              <w:br/>
              <w:t xml:space="preserve">          POSTGRESQL + POSTGIS + BUSCA</w:t>
              <w:br/>
              <w:t xml:space="preserve">                     │</w:t>
              <w:br/>
              <w:t xml:space="preserve">     ┌───────────────┼────────────────┐</w:t>
              <w:br/>
              <w:t xml:space="preserve">     │               │                │</w:t>
              <w:br/>
              <w:t>MOTOR JURÍDICO   MOTOR ESPACIAL   MOTOR MERCADO</w:t>
              <w:br/>
              <w:t xml:space="preserve">     │               │                │</w:t>
              <w:br/>
              <w:t xml:space="preserve">     └───────────────┼────────────────┘</w:t>
              <w:br/>
              <w:t xml:space="preserve">                     │</w:t>
              <w:br/>
              <w:t xml:space="preserve">     SERVICE REGISTRY + LAYER REGISTRY</w:t>
              <w:br/>
              <w:t xml:space="preserve">                     │</w:t>
              <w:br/>
              <w:t xml:space="preserve">        API REST + GRAPHQL + MVT</w:t>
              <w:br/>
              <w:t xml:space="preserve">                     │</w:t>
              <w:br/>
              <w:t xml:space="preserve">                 IMÓVEL 360</w:t>
              <w:br/>
              <w:t xml:space="preserve">     Explorer | Ficha | AVM | CRM | Mercado</w:t>
              <w:br/>
              <w:t xml:space="preserve">     Imóveis | Empreendimentos | Prospecção</w:t>
              <w:br/>
              <w:t xml:space="preserve">     Relatórios | Backoffice | Alertas</w:t>
            </w:r>
          </w:p>
        </w:tc>
      </w:tr>
    </w:tbl>
    <w:p/>
    <w:p>
      <w:pPr>
        <w:spacing w:after="30"/>
        <w:ind w:left="259" w:hanging="173"/>
      </w:pPr>
      <w:r>
        <w:t xml:space="preserve">• </w:t>
      </w:r>
      <w:r>
        <w:t>Imóvel 360 não deve armazenar regras legais “na tela”; ele consome o Legal Rule Engine do LoteDiretor.</w:t>
      </w:r>
    </w:p>
    <w:p>
      <w:pPr>
        <w:spacing w:after="30"/>
        <w:ind w:left="259" w:hanging="173"/>
      </w:pPr>
      <w:r>
        <w:t xml:space="preserve">• </w:t>
      </w:r>
      <w:r>
        <w:t>Nenhuma camada deve apontar diretamente para credenciais ou endpoints privados de terceiros no browser; integrações passam pelo backend e por política de segredo.</w:t>
      </w:r>
    </w:p>
    <w:p>
      <w:pPr>
        <w:spacing w:after="30"/>
        <w:ind w:left="259" w:hanging="173"/>
      </w:pPr>
      <w:r>
        <w:t xml:space="preserve">• </w:t>
      </w:r>
      <w:r>
        <w:t>Tiles MVT devem ser servidos por infraestrutura própria a partir do PostGIS; raster fica apenas para casos necessários.</w:t>
      </w:r>
    </w:p>
    <w:p>
      <w:pPr>
        <w:spacing w:after="30"/>
        <w:ind w:left="259" w:hanging="173"/>
      </w:pPr>
      <w:r>
        <w:t xml:space="preserve">• </w:t>
      </w:r>
      <w:r>
        <w:t>A camada-base do mapa pode ser desacoplada; dados temáticos e geometrias pertencem ao LoteDiretor.</w:t>
      </w:r>
    </w:p>
    <w:p>
      <w:pPr>
        <w:pStyle w:val="Heading2"/>
        <w:keepNext/>
      </w:pPr>
      <w:r>
        <w:t>24.22 Modelo de dados adicional para o Imóvel 360</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1944"/>
            <w:shd w:fill="EDEDED"/>
            <w:vAlign w:val="center"/>
          </w:tcPr>
          <w:p>
            <w:pPr>
              <w:spacing w:after="0"/>
            </w:pPr>
            <w:r>
              <w:rPr>
                <w:rFonts w:ascii="Arial" w:hAnsi="Arial"/>
                <w:b/>
                <w:sz w:val="14"/>
              </w:rPr>
              <w:t>Domínio</w:t>
            </w:r>
          </w:p>
        </w:tc>
        <w:tc>
          <w:tcPr>
            <w:tcW w:type="dxa" w:w="7416"/>
            <w:shd w:fill="EDEDED"/>
            <w:vAlign w:val="center"/>
          </w:tcPr>
          <w:p>
            <w:pPr>
              <w:spacing w:after="0"/>
            </w:pPr>
            <w:r>
              <w:rPr>
                <w:rFonts w:ascii="Arial" w:hAnsi="Arial"/>
                <w:b/>
                <w:sz w:val="14"/>
              </w:rPr>
              <w:t>Entidades sugeridas</w:t>
            </w:r>
          </w:p>
        </w:tc>
      </w:tr>
      <w:tr>
        <w:trPr>
          <w:cantSplit/>
          <w:cantSplit/>
        </w:trPr>
        <w:tc>
          <w:tcPr>
            <w:tcW w:type="dxa" w:w="1944"/>
            <w:vAlign w:val="top"/>
          </w:tcPr>
          <w:p>
            <w:pPr>
              <w:spacing w:after="0"/>
            </w:pPr>
            <w:r>
              <w:rPr>
                <w:rFonts w:ascii="Arial" w:hAnsi="Arial"/>
                <w:sz w:val="14"/>
              </w:rPr>
              <w:t>Imóvel</w:t>
            </w:r>
          </w:p>
        </w:tc>
        <w:tc>
          <w:tcPr>
            <w:tcW w:type="dxa" w:w="7416"/>
            <w:vAlign w:val="top"/>
          </w:tcPr>
          <w:p>
            <w:pPr>
              <w:spacing w:after="0"/>
            </w:pPr>
            <w:r>
              <w:rPr>
                <w:rFonts w:ascii="Arial" w:hAnsi="Arial"/>
                <w:sz w:val="14"/>
              </w:rPr>
              <w:t>property, property_geometry, property_identifier, property_document, property_tag, property_status, property_note</w:t>
            </w:r>
          </w:p>
        </w:tc>
      </w:tr>
      <w:tr>
        <w:trPr>
          <w:cantSplit/>
          <w:cantSplit/>
        </w:trPr>
        <w:tc>
          <w:tcPr>
            <w:tcW w:type="dxa" w:w="1944"/>
            <w:vAlign w:val="top"/>
          </w:tcPr>
          <w:p>
            <w:pPr>
              <w:spacing w:after="0"/>
            </w:pPr>
            <w:r>
              <w:rPr>
                <w:rFonts w:ascii="Arial" w:hAnsi="Arial"/>
                <w:sz w:val="14"/>
              </w:rPr>
              <w:t>Relacionamentos</w:t>
            </w:r>
          </w:p>
        </w:tc>
        <w:tc>
          <w:tcPr>
            <w:tcW w:type="dxa" w:w="7416"/>
            <w:vAlign w:val="top"/>
          </w:tcPr>
          <w:p>
            <w:pPr>
              <w:spacing w:after="0"/>
            </w:pPr>
            <w:r>
              <w:rPr>
                <w:rFonts w:ascii="Arial" w:hAnsi="Arial"/>
                <w:sz w:val="14"/>
              </w:rPr>
              <w:t>property_owner_link, property_broker_link, property_taxpayer_link, property_contact_link</w:t>
            </w:r>
          </w:p>
        </w:tc>
      </w:tr>
      <w:tr>
        <w:trPr>
          <w:cantSplit/>
          <w:cantSplit/>
        </w:trPr>
        <w:tc>
          <w:tcPr>
            <w:tcW w:type="dxa" w:w="1944"/>
            <w:vAlign w:val="top"/>
          </w:tcPr>
          <w:p>
            <w:pPr>
              <w:spacing w:after="0"/>
            </w:pPr>
            <w:r>
              <w:rPr>
                <w:rFonts w:ascii="Arial" w:hAnsi="Arial"/>
                <w:sz w:val="14"/>
              </w:rPr>
              <w:t>Histórico</w:t>
            </w:r>
          </w:p>
        </w:tc>
        <w:tc>
          <w:tcPr>
            <w:tcW w:type="dxa" w:w="7416"/>
            <w:vAlign w:val="top"/>
          </w:tcPr>
          <w:p>
            <w:pPr>
              <w:spacing w:after="0"/>
            </w:pPr>
            <w:r>
              <w:rPr>
                <w:rFonts w:ascii="Arial" w:hAnsi="Arial"/>
                <w:sz w:val="14"/>
              </w:rPr>
              <w:t>property_transaction, property_event, property_snapshot, due_diligence, task</w:t>
            </w:r>
          </w:p>
        </w:tc>
      </w:tr>
      <w:tr>
        <w:trPr>
          <w:cantSplit/>
          <w:cantSplit/>
        </w:trPr>
        <w:tc>
          <w:tcPr>
            <w:tcW w:type="dxa" w:w="1944"/>
            <w:vAlign w:val="top"/>
          </w:tcPr>
          <w:p>
            <w:pPr>
              <w:spacing w:after="0"/>
            </w:pPr>
            <w:r>
              <w:rPr>
                <w:rFonts w:ascii="Arial" w:hAnsi="Arial"/>
                <w:sz w:val="14"/>
              </w:rPr>
              <w:t>Empreendimento</w:t>
            </w:r>
          </w:p>
        </w:tc>
        <w:tc>
          <w:tcPr>
            <w:tcW w:type="dxa" w:w="7416"/>
            <w:vAlign w:val="top"/>
          </w:tcPr>
          <w:p>
            <w:pPr>
              <w:spacing w:after="0"/>
            </w:pPr>
            <w:r>
              <w:rPr>
                <w:rFonts w:ascii="Arial" w:hAnsi="Arial"/>
                <w:sz w:val="14"/>
              </w:rPr>
              <w:t>development, development_property, development_mass, development_mass_use, development_stage, development_team</w:t>
            </w:r>
          </w:p>
        </w:tc>
      </w:tr>
      <w:tr>
        <w:trPr>
          <w:cantSplit/>
          <w:cantSplit/>
        </w:trPr>
        <w:tc>
          <w:tcPr>
            <w:tcW w:type="dxa" w:w="1944"/>
            <w:vAlign w:val="top"/>
          </w:tcPr>
          <w:p>
            <w:pPr>
              <w:spacing w:after="0"/>
            </w:pPr>
            <w:r>
              <w:rPr>
                <w:rFonts w:ascii="Arial" w:hAnsi="Arial"/>
                <w:sz w:val="14"/>
              </w:rPr>
              <w:t>Explorer</w:t>
            </w:r>
          </w:p>
        </w:tc>
        <w:tc>
          <w:tcPr>
            <w:tcW w:type="dxa" w:w="7416"/>
            <w:vAlign w:val="top"/>
          </w:tcPr>
          <w:p>
            <w:pPr>
              <w:spacing w:after="0"/>
            </w:pPr>
            <w:r>
              <w:rPr>
                <w:rFonts w:ascii="Arial" w:hAnsi="Arial"/>
                <w:sz w:val="14"/>
              </w:rPr>
              <w:t>explorer_project, saved_place, layer, layer_tag, layer_filter, layer_permission, layer_version</w:t>
            </w:r>
          </w:p>
        </w:tc>
      </w:tr>
      <w:tr>
        <w:trPr>
          <w:cantSplit/>
          <w:cantSplit/>
        </w:trPr>
        <w:tc>
          <w:tcPr>
            <w:tcW w:type="dxa" w:w="1944"/>
            <w:vAlign w:val="top"/>
          </w:tcPr>
          <w:p>
            <w:pPr>
              <w:spacing w:after="0"/>
            </w:pPr>
            <w:r>
              <w:rPr>
                <w:rFonts w:ascii="Arial" w:hAnsi="Arial"/>
                <w:sz w:val="14"/>
              </w:rPr>
              <w:t>Serviços</w:t>
            </w:r>
          </w:p>
        </w:tc>
        <w:tc>
          <w:tcPr>
            <w:tcW w:type="dxa" w:w="7416"/>
            <w:vAlign w:val="top"/>
          </w:tcPr>
          <w:p>
            <w:pPr>
              <w:spacing w:after="0"/>
            </w:pPr>
            <w:r>
              <w:rPr>
                <w:rFonts w:ascii="Arial" w:hAnsi="Arial"/>
                <w:sz w:val="14"/>
              </w:rPr>
              <w:t>service_registry, service_group, service_display_config, service_version, service_coverage</w:t>
            </w:r>
          </w:p>
        </w:tc>
      </w:tr>
      <w:tr>
        <w:trPr>
          <w:cantSplit/>
          <w:cantSplit/>
        </w:trPr>
        <w:tc>
          <w:tcPr>
            <w:tcW w:type="dxa" w:w="1944"/>
            <w:vAlign w:val="top"/>
          </w:tcPr>
          <w:p>
            <w:pPr>
              <w:spacing w:after="0"/>
            </w:pPr>
            <w:r>
              <w:rPr>
                <w:rFonts w:ascii="Arial" w:hAnsi="Arial"/>
                <w:sz w:val="14"/>
              </w:rPr>
              <w:t>Mercado</w:t>
            </w:r>
          </w:p>
        </w:tc>
        <w:tc>
          <w:tcPr>
            <w:tcW w:type="dxa" w:w="7416"/>
            <w:vAlign w:val="top"/>
          </w:tcPr>
          <w:p>
            <w:pPr>
              <w:spacing w:after="0"/>
            </w:pPr>
            <w:r>
              <w:rPr>
                <w:rFonts w:ascii="Arial" w:hAnsi="Arial"/>
                <w:sz w:val="14"/>
              </w:rPr>
              <w:t>market_project, listing, launch, launch_typology, sales_flow, comparable, market_metric</w:t>
            </w:r>
          </w:p>
        </w:tc>
      </w:tr>
      <w:tr>
        <w:trPr>
          <w:cantSplit/>
          <w:cantSplit/>
        </w:trPr>
        <w:tc>
          <w:tcPr>
            <w:tcW w:type="dxa" w:w="1944"/>
            <w:vAlign w:val="top"/>
          </w:tcPr>
          <w:p>
            <w:pPr>
              <w:spacing w:after="0"/>
            </w:pPr>
            <w:r>
              <w:rPr>
                <w:rFonts w:ascii="Arial" w:hAnsi="Arial"/>
                <w:sz w:val="14"/>
              </w:rPr>
              <w:t>Avaliação</w:t>
            </w:r>
          </w:p>
        </w:tc>
        <w:tc>
          <w:tcPr>
            <w:tcW w:type="dxa" w:w="7416"/>
            <w:vAlign w:val="top"/>
          </w:tcPr>
          <w:p>
            <w:pPr>
              <w:spacing w:after="0"/>
            </w:pPr>
            <w:r>
              <w:rPr>
                <w:rFonts w:ascii="Arial" w:hAnsi="Arial"/>
                <w:sz w:val="14"/>
              </w:rPr>
              <w:t>avm_run, avm_model_version, avm_comparable, avm_result</w:t>
            </w:r>
          </w:p>
        </w:tc>
      </w:tr>
      <w:tr>
        <w:trPr>
          <w:cantSplit/>
          <w:cantSplit/>
        </w:trPr>
        <w:tc>
          <w:tcPr>
            <w:tcW w:type="dxa" w:w="1944"/>
            <w:vAlign w:val="top"/>
          </w:tcPr>
          <w:p>
            <w:pPr>
              <w:spacing w:after="0"/>
            </w:pPr>
            <w:r>
              <w:rPr>
                <w:rFonts w:ascii="Arial" w:hAnsi="Arial"/>
                <w:sz w:val="14"/>
              </w:rPr>
              <w:t>Relatórios</w:t>
            </w:r>
          </w:p>
        </w:tc>
        <w:tc>
          <w:tcPr>
            <w:tcW w:type="dxa" w:w="7416"/>
            <w:vAlign w:val="top"/>
          </w:tcPr>
          <w:p>
            <w:pPr>
              <w:spacing w:after="0"/>
            </w:pPr>
            <w:r>
              <w:rPr>
                <w:rFonts w:ascii="Arial" w:hAnsi="Arial"/>
                <w:sz w:val="14"/>
              </w:rPr>
              <w:t>report_template, report_run, report_snapshot, report_share</w:t>
            </w:r>
          </w:p>
        </w:tc>
      </w:tr>
      <w:tr>
        <w:trPr>
          <w:cantSplit/>
          <w:cantSplit/>
        </w:trPr>
        <w:tc>
          <w:tcPr>
            <w:tcW w:type="dxa" w:w="1944"/>
            <w:vAlign w:val="top"/>
          </w:tcPr>
          <w:p>
            <w:pPr>
              <w:spacing w:after="0"/>
            </w:pPr>
            <w:r>
              <w:rPr>
                <w:rFonts w:ascii="Arial" w:hAnsi="Arial"/>
                <w:sz w:val="14"/>
              </w:rPr>
              <w:t>CRM</w:t>
            </w:r>
          </w:p>
        </w:tc>
        <w:tc>
          <w:tcPr>
            <w:tcW w:type="dxa" w:w="7416"/>
            <w:vAlign w:val="top"/>
          </w:tcPr>
          <w:p>
            <w:pPr>
              <w:spacing w:after="0"/>
            </w:pPr>
            <w:r>
              <w:rPr>
                <w:rFonts w:ascii="Arial" w:hAnsi="Arial"/>
                <w:sz w:val="14"/>
              </w:rPr>
              <w:t>person, organization, contact_point, relationship, team, assignment</w:t>
            </w:r>
          </w:p>
        </w:tc>
      </w:tr>
    </w:tbl>
    <w:p>
      <w:pPr>
        <w:spacing w:after="20"/>
      </w:pPr>
    </w:p>
    <w:p>
      <w:pPr>
        <w:pStyle w:val="Heading2"/>
        <w:keepNext/>
      </w:pPr>
      <w:r>
        <w:t>24.23 Relatório Imóvel 360 — composição recomendada</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088"/>
            <w:shd w:fill="EDEDED"/>
            <w:vAlign w:val="center"/>
          </w:tcPr>
          <w:p>
            <w:pPr>
              <w:spacing w:after="0"/>
            </w:pPr>
            <w:r>
              <w:rPr>
                <w:rFonts w:ascii="Arial" w:hAnsi="Arial"/>
                <w:b/>
                <w:sz w:val="14"/>
              </w:rPr>
              <w:t>Bloco</w:t>
            </w:r>
          </w:p>
        </w:tc>
        <w:tc>
          <w:tcPr>
            <w:tcW w:type="dxa" w:w="7272"/>
            <w:shd w:fill="EDEDED"/>
            <w:vAlign w:val="center"/>
          </w:tcPr>
          <w:p>
            <w:pPr>
              <w:spacing w:after="0"/>
            </w:pPr>
            <w:r>
              <w:rPr>
                <w:rFonts w:ascii="Arial" w:hAnsi="Arial"/>
                <w:b/>
                <w:sz w:val="14"/>
              </w:rPr>
              <w:t>Conteúdo</w:t>
            </w:r>
          </w:p>
        </w:tc>
      </w:tr>
      <w:tr>
        <w:trPr>
          <w:cantSplit/>
          <w:cantSplit/>
        </w:trPr>
        <w:tc>
          <w:tcPr>
            <w:tcW w:type="dxa" w:w="2088"/>
            <w:vAlign w:val="top"/>
          </w:tcPr>
          <w:p>
            <w:pPr>
              <w:spacing w:after="0"/>
            </w:pPr>
            <w:r>
              <w:rPr>
                <w:rFonts w:ascii="Arial" w:hAnsi="Arial"/>
                <w:sz w:val="14"/>
              </w:rPr>
              <w:t>1. Resumo executivo</w:t>
            </w:r>
          </w:p>
        </w:tc>
        <w:tc>
          <w:tcPr>
            <w:tcW w:type="dxa" w:w="7272"/>
            <w:vAlign w:val="top"/>
          </w:tcPr>
          <w:p>
            <w:pPr>
              <w:spacing w:after="0"/>
            </w:pPr>
            <w:r>
              <w:rPr>
                <w:rFonts w:ascii="Arial" w:hAnsi="Arial"/>
                <w:sz w:val="14"/>
              </w:rPr>
              <w:t>vocação, pode/não pode/condicionado, potencial, restrições críticas, mercado, confiança e próximos passos</w:t>
            </w:r>
          </w:p>
        </w:tc>
      </w:tr>
      <w:tr>
        <w:trPr>
          <w:cantSplit/>
          <w:cantSplit/>
        </w:trPr>
        <w:tc>
          <w:tcPr>
            <w:tcW w:type="dxa" w:w="2088"/>
            <w:vAlign w:val="top"/>
          </w:tcPr>
          <w:p>
            <w:pPr>
              <w:spacing w:after="0"/>
            </w:pPr>
            <w:r>
              <w:rPr>
                <w:rFonts w:ascii="Arial" w:hAnsi="Arial"/>
                <w:sz w:val="14"/>
              </w:rPr>
              <w:t>2. Identificação</w:t>
            </w:r>
          </w:p>
        </w:tc>
        <w:tc>
          <w:tcPr>
            <w:tcW w:type="dxa" w:w="7272"/>
            <w:vAlign w:val="top"/>
          </w:tcPr>
          <w:p>
            <w:pPr>
              <w:spacing w:after="0"/>
            </w:pPr>
            <w:r>
              <w:rPr>
                <w:rFonts w:ascii="Arial" w:hAnsi="Arial"/>
                <w:sz w:val="14"/>
              </w:rPr>
              <w:t>lote, endereço, área, cadastro, CIB, matrícula referenciada, mapa e divergências</w:t>
            </w:r>
          </w:p>
        </w:tc>
      </w:tr>
      <w:tr>
        <w:trPr>
          <w:cantSplit/>
          <w:cantSplit/>
        </w:trPr>
        <w:tc>
          <w:tcPr>
            <w:tcW w:type="dxa" w:w="2088"/>
            <w:vAlign w:val="top"/>
          </w:tcPr>
          <w:p>
            <w:pPr>
              <w:spacing w:after="0"/>
            </w:pPr>
            <w:r>
              <w:rPr>
                <w:rFonts w:ascii="Arial" w:hAnsi="Arial"/>
                <w:sz w:val="14"/>
              </w:rPr>
              <w:t>3. Urbanístico/legal</w:t>
            </w:r>
          </w:p>
        </w:tc>
        <w:tc>
          <w:tcPr>
            <w:tcW w:type="dxa" w:w="7272"/>
            <w:vAlign w:val="top"/>
          </w:tcPr>
          <w:p>
            <w:pPr>
              <w:spacing w:after="0"/>
            </w:pPr>
            <w:r>
              <w:rPr>
                <w:rFonts w:ascii="Arial" w:hAnsi="Arial"/>
                <w:sz w:val="14"/>
              </w:rPr>
              <w:t>zona, usos, parâmetros, instrumentos, legislação vigente, artigos, quadros e cálculo</w:t>
            </w:r>
          </w:p>
        </w:tc>
      </w:tr>
      <w:tr>
        <w:trPr>
          <w:cantSplit/>
          <w:cantSplit/>
        </w:trPr>
        <w:tc>
          <w:tcPr>
            <w:tcW w:type="dxa" w:w="2088"/>
            <w:vAlign w:val="top"/>
          </w:tcPr>
          <w:p>
            <w:pPr>
              <w:spacing w:after="0"/>
            </w:pPr>
            <w:r>
              <w:rPr>
                <w:rFonts w:ascii="Arial" w:hAnsi="Arial"/>
                <w:sz w:val="14"/>
              </w:rPr>
              <w:t>4. Cadastro/fiscal</w:t>
            </w:r>
          </w:p>
        </w:tc>
        <w:tc>
          <w:tcPr>
            <w:tcW w:type="dxa" w:w="7272"/>
            <w:vAlign w:val="top"/>
          </w:tcPr>
          <w:p>
            <w:pPr>
              <w:spacing w:after="0"/>
            </w:pPr>
            <w:r>
              <w:rPr>
                <w:rFonts w:ascii="Arial" w:hAnsi="Arial"/>
                <w:sz w:val="14"/>
              </w:rPr>
              <w:t>IPTU, valor venal, ITBI/transações quando disponíveis, setor/quadra/lote, histórico cadastral</w:t>
            </w:r>
          </w:p>
        </w:tc>
      </w:tr>
      <w:tr>
        <w:trPr>
          <w:cantSplit/>
          <w:cantSplit/>
        </w:trPr>
        <w:tc>
          <w:tcPr>
            <w:tcW w:type="dxa" w:w="2088"/>
            <w:vAlign w:val="top"/>
          </w:tcPr>
          <w:p>
            <w:pPr>
              <w:spacing w:after="0"/>
            </w:pPr>
            <w:r>
              <w:rPr>
                <w:rFonts w:ascii="Arial" w:hAnsi="Arial"/>
                <w:sz w:val="14"/>
              </w:rPr>
              <w:t>5. Infraestrutura</w:t>
            </w:r>
          </w:p>
        </w:tc>
        <w:tc>
          <w:tcPr>
            <w:tcW w:type="dxa" w:w="7272"/>
            <w:vAlign w:val="top"/>
          </w:tcPr>
          <w:p>
            <w:pPr>
              <w:spacing w:after="0"/>
            </w:pPr>
            <w:r>
              <w:rPr>
                <w:rFonts w:ascii="Arial" w:hAnsi="Arial"/>
                <w:sz w:val="14"/>
              </w:rPr>
              <w:t>água, esgoto, drenagem, energia, gás, fibra/telecom, vias e capacidade conhecida</w:t>
            </w:r>
          </w:p>
        </w:tc>
      </w:tr>
      <w:tr>
        <w:trPr>
          <w:cantSplit/>
          <w:cantSplit/>
        </w:trPr>
        <w:tc>
          <w:tcPr>
            <w:tcW w:type="dxa" w:w="2088"/>
            <w:vAlign w:val="top"/>
          </w:tcPr>
          <w:p>
            <w:pPr>
              <w:spacing w:after="0"/>
            </w:pPr>
            <w:r>
              <w:rPr>
                <w:rFonts w:ascii="Arial" w:hAnsi="Arial"/>
                <w:sz w:val="14"/>
              </w:rPr>
              <w:t>6. Ambiente e risco</w:t>
            </w:r>
          </w:p>
        </w:tc>
        <w:tc>
          <w:tcPr>
            <w:tcW w:type="dxa" w:w="7272"/>
            <w:vAlign w:val="top"/>
          </w:tcPr>
          <w:p>
            <w:pPr>
              <w:spacing w:after="0"/>
            </w:pPr>
            <w:r>
              <w:rPr>
                <w:rFonts w:ascii="Arial" w:hAnsi="Arial"/>
                <w:sz w:val="14"/>
              </w:rPr>
              <w:t>APP, UC, vegetação, contaminação, alagamento, inundação, geotecnia, patrimônio e interferências</w:t>
            </w:r>
          </w:p>
        </w:tc>
      </w:tr>
      <w:tr>
        <w:trPr>
          <w:cantSplit/>
          <w:cantSplit/>
        </w:trPr>
        <w:tc>
          <w:tcPr>
            <w:tcW w:type="dxa" w:w="2088"/>
            <w:vAlign w:val="top"/>
          </w:tcPr>
          <w:p>
            <w:pPr>
              <w:spacing w:after="0"/>
            </w:pPr>
            <w:r>
              <w:rPr>
                <w:rFonts w:ascii="Arial" w:hAnsi="Arial"/>
                <w:sz w:val="14"/>
              </w:rPr>
              <w:t>7. Mercado 360</w:t>
            </w:r>
          </w:p>
        </w:tc>
        <w:tc>
          <w:tcPr>
            <w:tcW w:type="dxa" w:w="7272"/>
            <w:vAlign w:val="top"/>
          </w:tcPr>
          <w:p>
            <w:pPr>
              <w:spacing w:after="0"/>
            </w:pPr>
            <w:r>
              <w:rPr>
                <w:rFonts w:ascii="Arial" w:hAnsi="Arial"/>
                <w:sz w:val="14"/>
              </w:rPr>
              <w:t>primário, secundário, venda, aluguel, preço/m², estoque, VSO, liquidez, comparáveis e área de influência</w:t>
            </w:r>
          </w:p>
        </w:tc>
      </w:tr>
      <w:tr>
        <w:trPr>
          <w:cantSplit/>
          <w:cantSplit/>
        </w:trPr>
        <w:tc>
          <w:tcPr>
            <w:tcW w:type="dxa" w:w="2088"/>
            <w:vAlign w:val="top"/>
          </w:tcPr>
          <w:p>
            <w:pPr>
              <w:spacing w:after="0"/>
            </w:pPr>
            <w:r>
              <w:rPr>
                <w:rFonts w:ascii="Arial" w:hAnsi="Arial"/>
                <w:sz w:val="14"/>
              </w:rPr>
              <w:t>8. Empreendimento</w:t>
            </w:r>
          </w:p>
        </w:tc>
        <w:tc>
          <w:tcPr>
            <w:tcW w:type="dxa" w:w="7272"/>
            <w:vAlign w:val="top"/>
          </w:tcPr>
          <w:p>
            <w:pPr>
              <w:spacing w:after="0"/>
            </w:pPr>
            <w:r>
              <w:rPr>
                <w:rFonts w:ascii="Arial" w:hAnsi="Arial"/>
                <w:sz w:val="14"/>
              </w:rPr>
              <w:t>cenários de massa, composição de lotes, área computável, área vendável indicativa, outorga e custos urbanísticos</w:t>
            </w:r>
          </w:p>
        </w:tc>
      </w:tr>
      <w:tr>
        <w:trPr>
          <w:cantSplit/>
          <w:cantSplit/>
        </w:trPr>
        <w:tc>
          <w:tcPr>
            <w:tcW w:type="dxa" w:w="2088"/>
            <w:vAlign w:val="top"/>
          </w:tcPr>
          <w:p>
            <w:pPr>
              <w:spacing w:after="0"/>
            </w:pPr>
            <w:r>
              <w:rPr>
                <w:rFonts w:ascii="Arial" w:hAnsi="Arial"/>
                <w:sz w:val="14"/>
              </w:rPr>
              <w:t>9. Proximidades</w:t>
            </w:r>
          </w:p>
        </w:tc>
        <w:tc>
          <w:tcPr>
            <w:tcW w:type="dxa" w:w="7272"/>
            <w:vAlign w:val="top"/>
          </w:tcPr>
          <w:p>
            <w:pPr>
              <w:spacing w:after="0"/>
            </w:pPr>
            <w:r>
              <w:rPr>
                <w:rFonts w:ascii="Arial" w:hAnsi="Arial"/>
                <w:sz w:val="14"/>
              </w:rPr>
              <w:t>transporte, escolas, saúde, parques, comércio, serviços e amenidades por raio/isócrona</w:t>
            </w:r>
          </w:p>
        </w:tc>
      </w:tr>
      <w:tr>
        <w:trPr>
          <w:cantSplit/>
          <w:cantSplit/>
        </w:trPr>
        <w:tc>
          <w:tcPr>
            <w:tcW w:type="dxa" w:w="2088"/>
            <w:vAlign w:val="top"/>
          </w:tcPr>
          <w:p>
            <w:pPr>
              <w:spacing w:after="0"/>
            </w:pPr>
            <w:r>
              <w:rPr>
                <w:rFonts w:ascii="Arial" w:hAnsi="Arial"/>
                <w:sz w:val="14"/>
              </w:rPr>
              <w:t>10. Evidências</w:t>
            </w:r>
          </w:p>
        </w:tc>
        <w:tc>
          <w:tcPr>
            <w:tcW w:type="dxa" w:w="7272"/>
            <w:vAlign w:val="top"/>
          </w:tcPr>
          <w:p>
            <w:pPr>
              <w:spacing w:after="0"/>
            </w:pPr>
            <w:r>
              <w:rPr>
                <w:rFonts w:ascii="Arial" w:hAnsi="Arial"/>
                <w:sz w:val="14"/>
              </w:rPr>
              <w:t>fontes, versões, datas, licenças, status de confiança, conflitos e pendências</w:t>
            </w:r>
          </w:p>
        </w:tc>
      </w:tr>
      <w:tr>
        <w:trPr>
          <w:cantSplit/>
          <w:cantSplit/>
        </w:trPr>
        <w:tc>
          <w:tcPr>
            <w:tcW w:type="dxa" w:w="2088"/>
            <w:vAlign w:val="top"/>
          </w:tcPr>
          <w:p>
            <w:pPr>
              <w:spacing w:after="0"/>
            </w:pPr>
            <w:r>
              <w:rPr>
                <w:rFonts w:ascii="Arial" w:hAnsi="Arial"/>
                <w:sz w:val="14"/>
              </w:rPr>
              <w:t>11. Plano de ação</w:t>
            </w:r>
          </w:p>
        </w:tc>
        <w:tc>
          <w:tcPr>
            <w:tcW w:type="dxa" w:w="7272"/>
            <w:vAlign w:val="top"/>
          </w:tcPr>
          <w:p>
            <w:pPr>
              <w:spacing w:after="0"/>
            </w:pPr>
            <w:r>
              <w:rPr>
                <w:rFonts w:ascii="Arial" w:hAnsi="Arial"/>
                <w:sz w:val="14"/>
              </w:rPr>
              <w:t>documentos faltantes, consultas à prefeitura/concessionária, estudos e aprovações necessárias</w:t>
            </w:r>
          </w:p>
        </w:tc>
      </w:tr>
    </w:tbl>
    <w:p>
      <w:pPr>
        <w:spacing w:after="20"/>
      </w:pPr>
    </w:p>
    <w:p>
      <w:pPr>
        <w:pStyle w:val="Heading2"/>
        <w:keepNext/>
      </w:pPr>
      <w:r>
        <w:t>24.24 Regras de produto específicas do Imóvel 360</w:t>
      </w:r>
    </w:p>
    <w:p>
      <w:pPr>
        <w:spacing w:after="30"/>
        <w:ind w:left="259" w:hanging="173"/>
      </w:pPr>
      <w:r>
        <w:t xml:space="preserve">• </w:t>
      </w:r>
      <w:r>
        <w:t>Separar claramente dado oficial, dado licenciado, dado fornecido pelo usuário, cálculo e inferência.</w:t>
      </w:r>
    </w:p>
    <w:p>
      <w:pPr>
        <w:spacing w:after="30"/>
        <w:ind w:left="259" w:hanging="173"/>
      </w:pPr>
      <w:r>
        <w:t xml:space="preserve">• </w:t>
      </w:r>
      <w:r>
        <w:t>Mostrar cobertura e ausência de fonte: “não disponível” é melhor que uma resposta inventada.</w:t>
      </w:r>
    </w:p>
    <w:p>
      <w:pPr>
        <w:spacing w:after="30"/>
        <w:ind w:left="259" w:hanging="173"/>
      </w:pPr>
      <w:r>
        <w:t xml:space="preserve">• </w:t>
      </w:r>
      <w:r>
        <w:t>Toda métrica de mercado precisa de data-base, amostra e origem; toda regra legal precisa de vigência e evidência.</w:t>
      </w:r>
    </w:p>
    <w:p>
      <w:pPr>
        <w:spacing w:after="30"/>
        <w:ind w:left="259" w:hanging="173"/>
      </w:pPr>
      <w:r>
        <w:t xml:space="preserve">• </w:t>
      </w:r>
      <w:r>
        <w:t>Não expor dados pessoais, matrícula ou cadastro restrito além do perfil e da base legal autorizados.</w:t>
      </w:r>
    </w:p>
    <w:p>
      <w:pPr>
        <w:spacing w:after="30"/>
        <w:ind w:left="259" w:hanging="173"/>
      </w:pPr>
      <w:r>
        <w:t xml:space="preserve">• </w:t>
      </w:r>
      <w:r>
        <w:t>Não acoplar o frontend a um município: service_registry e layer_registry devem tornar a expansão nacional configurável.</w:t>
      </w:r>
    </w:p>
    <w:p>
      <w:pPr>
        <w:spacing w:after="30"/>
        <w:ind w:left="259" w:hanging="173"/>
      </w:pPr>
      <w:r>
        <w:t xml:space="preserve">• </w:t>
      </w:r>
      <w:r>
        <w:t>Toda geometria importante deve possuir SRID, fonte, versão, data de ingestão e qualidade topológica.</w:t>
      </w:r>
    </w:p>
    <w:p>
      <w:pPr>
        <w:spacing w:after="30"/>
        <w:ind w:left="259" w:hanging="173"/>
      </w:pPr>
      <w:r>
        <w:t xml:space="preserve">• </w:t>
      </w:r>
      <w:r>
        <w:t>Resultados de proximidade devem declarar raio/isócrona e método; resultados de interseção devem informar área e percentual afetado.</w:t>
      </w:r>
    </w:p>
    <w:p>
      <w:pPr>
        <w:spacing w:after="30"/>
        <w:ind w:left="259" w:hanging="173"/>
      </w:pPr>
      <w:r>
        <w:t xml:space="preserve">• </w:t>
      </w:r>
      <w:r>
        <w:t>AVM e índices próprios devem ser explicáveis e separados de valores oficiais/venais.</w:t>
      </w:r>
    </w:p>
    <w:p>
      <w:pPr>
        <w:spacing w:after="30"/>
        <w:ind w:left="259" w:hanging="173"/>
      </w:pPr>
      <w:r>
        <w:t xml:space="preserve">• </w:t>
      </w:r>
      <w:r>
        <w:t>O usuário deve conseguir promover um resultado de busca para imóvel, de imóvel para oportunidade e de oportunidade para empreendimento sem duplicação de identidade.</w:t>
      </w:r>
    </w:p>
    <w:p>
      <w:pPr>
        <w:pStyle w:val="Heading2"/>
        <w:keepNext/>
      </w:pPr>
      <w:r>
        <w:t>24.25 Inventário de rotas do frontend fornecido para migração</w:t>
      </w:r>
    </w:p>
    <w:p>
      <w:pPr>
        <w:spacing w:after="60"/>
      </w:pPr>
      <w:r>
        <w:t>As rotas abaixo funcionam como checklist técnico de paridade funcional. O LoteDiretor pode reorganizar URLs, mas não deve perder as capacidades de negócio correspondentes.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4032"/>
            <w:shd w:fill="EDEDED"/>
            <w:vAlign w:val="center"/>
          </w:tcPr>
          <w:p>
            <w:pPr>
              <w:spacing w:after="0"/>
            </w:pPr>
            <w:r>
              <w:rPr>
                <w:rFonts w:ascii="Arial" w:hAnsi="Arial"/>
                <w:b/>
                <w:sz w:val="12"/>
              </w:rPr>
              <w:t>Rota observada</w:t>
            </w:r>
          </w:p>
        </w:tc>
        <w:tc>
          <w:tcPr>
            <w:tcW w:type="dxa" w:w="1512"/>
            <w:shd w:fill="EDEDED"/>
            <w:vAlign w:val="center"/>
          </w:tcPr>
          <w:p>
            <w:pPr>
              <w:spacing w:after="0"/>
            </w:pPr>
            <w:r>
              <w:rPr>
                <w:rFonts w:ascii="Arial" w:hAnsi="Arial"/>
                <w:b/>
                <w:sz w:val="12"/>
              </w:rPr>
              <w:t>Tipo</w:t>
            </w:r>
          </w:p>
        </w:tc>
        <w:tc>
          <w:tcPr>
            <w:tcW w:type="dxa" w:w="3816"/>
            <w:shd w:fill="EDEDED"/>
            <w:vAlign w:val="center"/>
          </w:tcPr>
          <w:p>
            <w:pPr>
              <w:spacing w:after="0"/>
            </w:pPr>
            <w:r>
              <w:rPr>
                <w:rFonts w:ascii="Arial" w:hAnsi="Arial"/>
                <w:b/>
                <w:sz w:val="12"/>
              </w:rPr>
              <w:t>Função/componente</w:t>
            </w:r>
          </w:p>
        </w:tc>
      </w:tr>
      <w:tr>
        <w:trPr>
          <w:cantSplit/>
          <w:cantSplit/>
        </w:trPr>
        <w:tc>
          <w:tcPr>
            <w:tcW w:type="dxa" w:w="4032"/>
            <w:vAlign w:val="top"/>
          </w:tcPr>
          <w:p>
            <w:pPr>
              <w:spacing w:after="0"/>
            </w:pPr>
            <w:r>
              <w:rPr>
                <w:rFonts w:ascii="Arial" w:hAnsi="Arial"/>
                <w:sz w:val="12"/>
              </w:rPr>
              <w:t>/auth/registration</w:t>
            </w:r>
          </w:p>
        </w:tc>
        <w:tc>
          <w:tcPr>
            <w:tcW w:type="dxa" w:w="1512"/>
            <w:vAlign w:val="top"/>
          </w:tcPr>
          <w:p>
            <w:pPr>
              <w:spacing w:after="0"/>
            </w:pPr>
            <w:r>
              <w:rPr>
                <w:rFonts w:ascii="Arial" w:hAnsi="Arial"/>
                <w:sz w:val="12"/>
              </w:rPr>
              <w:t>Route</w:t>
            </w:r>
          </w:p>
        </w:tc>
        <w:tc>
          <w:tcPr>
            <w:tcW w:type="dxa" w:w="3816"/>
            <w:vAlign w:val="top"/>
          </w:tcPr>
          <w:p>
            <w:pPr>
              <w:spacing w:after="0"/>
            </w:pPr>
            <w:r>
              <w:rPr>
                <w:rFonts w:ascii="Arial" w:hAnsi="Arial"/>
                <w:sz w:val="12"/>
              </w:rPr>
              <w:t>RegisterPage</w:t>
            </w:r>
          </w:p>
        </w:tc>
      </w:tr>
      <w:tr>
        <w:trPr>
          <w:cantSplit/>
          <w:cantSplit/>
        </w:trPr>
        <w:tc>
          <w:tcPr>
            <w:tcW w:type="dxa" w:w="4032"/>
            <w:vAlign w:val="top"/>
          </w:tcPr>
          <w:p>
            <w:pPr>
              <w:spacing w:after="0"/>
            </w:pPr>
            <w:r>
              <w:rPr>
                <w:rFonts w:ascii="Arial" w:hAnsi="Arial"/>
                <w:sz w:val="12"/>
              </w:rPr>
              <w:t>/auth/recovery</w:t>
            </w:r>
          </w:p>
        </w:tc>
        <w:tc>
          <w:tcPr>
            <w:tcW w:type="dxa" w:w="1512"/>
            <w:vAlign w:val="top"/>
          </w:tcPr>
          <w:p>
            <w:pPr>
              <w:spacing w:after="0"/>
            </w:pPr>
            <w:r>
              <w:rPr>
                <w:rFonts w:ascii="Arial" w:hAnsi="Arial"/>
                <w:sz w:val="12"/>
              </w:rPr>
              <w:t>Route</w:t>
            </w:r>
          </w:p>
        </w:tc>
        <w:tc>
          <w:tcPr>
            <w:tcW w:type="dxa" w:w="3816"/>
            <w:vAlign w:val="top"/>
          </w:tcPr>
          <w:p>
            <w:pPr>
              <w:spacing w:after="0"/>
            </w:pPr>
            <w:r>
              <w:rPr>
                <w:rFonts w:ascii="Arial" w:hAnsi="Arial"/>
                <w:sz w:val="12"/>
              </w:rPr>
              <w:t>ForgotPage</w:t>
            </w:r>
          </w:p>
        </w:tc>
      </w:tr>
      <w:tr>
        <w:trPr>
          <w:cantSplit/>
          <w:cantSplit/>
        </w:trPr>
        <w:tc>
          <w:tcPr>
            <w:tcW w:type="dxa" w:w="4032"/>
            <w:vAlign w:val="top"/>
          </w:tcPr>
          <w:p>
            <w:pPr>
              <w:spacing w:after="0"/>
            </w:pPr>
            <w:r>
              <w:rPr>
                <w:rFonts w:ascii="Arial" w:hAnsi="Arial"/>
                <w:sz w:val="12"/>
              </w:rPr>
              <w:t>/auth/verify-token</w:t>
            </w:r>
          </w:p>
        </w:tc>
        <w:tc>
          <w:tcPr>
            <w:tcW w:type="dxa" w:w="1512"/>
            <w:vAlign w:val="top"/>
          </w:tcPr>
          <w:p>
            <w:pPr>
              <w:spacing w:after="0"/>
            </w:pPr>
            <w:r>
              <w:rPr>
                <w:rFonts w:ascii="Arial" w:hAnsi="Arial"/>
                <w:sz w:val="12"/>
              </w:rPr>
              <w:t>Route</w:t>
            </w:r>
          </w:p>
        </w:tc>
        <w:tc>
          <w:tcPr>
            <w:tcW w:type="dxa" w:w="3816"/>
            <w:vAlign w:val="top"/>
          </w:tcPr>
          <w:p>
            <w:pPr>
              <w:spacing w:after="0"/>
            </w:pPr>
            <w:r>
              <w:rPr>
                <w:rFonts w:ascii="Arial" w:hAnsi="Arial"/>
                <w:sz w:val="12"/>
              </w:rPr>
              <w:t>VerifyTokenPage</w:t>
            </w:r>
          </w:p>
        </w:tc>
      </w:tr>
      <w:tr>
        <w:trPr>
          <w:cantSplit/>
          <w:cantSplit/>
        </w:trPr>
        <w:tc>
          <w:tcPr>
            <w:tcW w:type="dxa" w:w="4032"/>
            <w:vAlign w:val="top"/>
          </w:tcPr>
          <w:p>
            <w:pPr>
              <w:spacing w:after="0"/>
            </w:pPr>
            <w:r>
              <w:rPr>
                <w:rFonts w:ascii="Arial" w:hAnsi="Arial"/>
                <w:sz w:val="12"/>
              </w:rPr>
              <w:t>/auth/change-password/:id</w:t>
            </w:r>
          </w:p>
        </w:tc>
        <w:tc>
          <w:tcPr>
            <w:tcW w:type="dxa" w:w="1512"/>
            <w:vAlign w:val="top"/>
          </w:tcPr>
          <w:p>
            <w:pPr>
              <w:spacing w:after="0"/>
            </w:pPr>
            <w:r>
              <w:rPr>
                <w:rFonts w:ascii="Arial" w:hAnsi="Arial"/>
                <w:sz w:val="12"/>
              </w:rPr>
              <w:t>Route</w:t>
            </w:r>
          </w:p>
        </w:tc>
        <w:tc>
          <w:tcPr>
            <w:tcW w:type="dxa" w:w="3816"/>
            <w:vAlign w:val="top"/>
          </w:tcPr>
          <w:p>
            <w:pPr>
              <w:spacing w:after="0"/>
            </w:pPr>
            <w:r>
              <w:rPr>
                <w:rFonts w:ascii="Arial" w:hAnsi="Arial"/>
                <w:sz w:val="12"/>
              </w:rPr>
              <w:t>ChangePasswordPage</w:t>
            </w:r>
          </w:p>
        </w:tc>
      </w:tr>
      <w:tr>
        <w:trPr>
          <w:cantSplit/>
          <w:cantSplit/>
        </w:trPr>
        <w:tc>
          <w:tcPr>
            <w:tcW w:type="dxa" w:w="4032"/>
            <w:vAlign w:val="top"/>
          </w:tcPr>
          <w:p>
            <w:pPr>
              <w:spacing w:after="0"/>
            </w:pPr>
            <w:r>
              <w:rPr>
                <w:rFonts w:ascii="Arial" w:hAnsi="Arial"/>
                <w:sz w:val="12"/>
              </w:rPr>
              <w:t>/explorer-public</w:t>
            </w:r>
          </w:p>
        </w:tc>
        <w:tc>
          <w:tcPr>
            <w:tcW w:type="dxa" w:w="1512"/>
            <w:vAlign w:val="top"/>
          </w:tcPr>
          <w:p>
            <w:pPr>
              <w:spacing w:after="0"/>
            </w:pPr>
            <w:r>
              <w:rPr>
                <w:rFonts w:ascii="Arial" w:hAnsi="Arial"/>
                <w:sz w:val="12"/>
              </w:rPr>
              <w:t>Route</w:t>
            </w:r>
          </w:p>
        </w:tc>
        <w:tc>
          <w:tcPr>
            <w:tcW w:type="dxa" w:w="3816"/>
            <w:vAlign w:val="top"/>
          </w:tcPr>
          <w:p>
            <w:pPr>
              <w:spacing w:after="0"/>
            </w:pPr>
            <w:r>
              <w:rPr>
                <w:rFonts w:ascii="Arial" w:hAnsi="Arial"/>
                <w:sz w:val="12"/>
              </w:rPr>
              <w:t>ExplorerPage</w:t>
            </w:r>
          </w:p>
        </w:tc>
      </w:tr>
      <w:tr>
        <w:trPr>
          <w:cantSplit/>
          <w:cantSplit/>
        </w:trPr>
        <w:tc>
          <w:tcPr>
            <w:tcW w:type="dxa" w:w="4032"/>
            <w:vAlign w:val="top"/>
          </w:tcPr>
          <w:p>
            <w:pPr>
              <w:spacing w:after="0"/>
            </w:pPr>
            <w:r>
              <w:rPr>
                <w:rFonts w:ascii="Arial" w:hAnsi="Arial"/>
                <w:sz w:val="12"/>
              </w:rPr>
              <w:t>/lancamento/:id</w:t>
            </w:r>
          </w:p>
        </w:tc>
        <w:tc>
          <w:tcPr>
            <w:tcW w:type="dxa" w:w="1512"/>
            <w:vAlign w:val="top"/>
          </w:tcPr>
          <w:p>
            <w:pPr>
              <w:spacing w:after="0"/>
            </w:pPr>
            <w:r>
              <w:rPr>
                <w:rFonts w:ascii="Arial" w:hAnsi="Arial"/>
                <w:sz w:val="12"/>
              </w:rPr>
              <w:t>Route</w:t>
            </w:r>
          </w:p>
        </w:tc>
        <w:tc>
          <w:tcPr>
            <w:tcW w:type="dxa" w:w="3816"/>
            <w:vAlign w:val="top"/>
          </w:tcPr>
          <w:p>
            <w:pPr>
              <w:spacing w:after="0"/>
            </w:pPr>
            <w:r>
              <w:rPr>
                <w:rFonts w:ascii="Arial" w:hAnsi="Arial"/>
                <w:sz w:val="12"/>
              </w:rPr>
              <w:t>LancamentoPage</w:t>
            </w:r>
          </w:p>
        </w:tc>
      </w:tr>
      <w:tr>
        <w:trPr>
          <w:cantSplit/>
          <w:cantSplit/>
        </w:trPr>
        <w:tc>
          <w:tcPr>
            <w:tcW w:type="dxa" w:w="4032"/>
            <w:vAlign w:val="top"/>
          </w:tcPr>
          <w:p>
            <w:pPr>
              <w:spacing w:after="0"/>
            </w:pPr>
            <w:r>
              <w:rPr>
                <w:rFonts w:ascii="Arial" w:hAnsi="Arial"/>
                <w:sz w:val="12"/>
              </w:rPr>
              <w:t>/auth/terms</w:t>
            </w:r>
          </w:p>
        </w:tc>
        <w:tc>
          <w:tcPr>
            <w:tcW w:type="dxa" w:w="1512"/>
            <w:vAlign w:val="top"/>
          </w:tcPr>
          <w:p>
            <w:pPr>
              <w:spacing w:after="0"/>
            </w:pPr>
            <w:r>
              <w:rPr>
                <w:rFonts w:ascii="Arial" w:hAnsi="Arial"/>
                <w:sz w:val="12"/>
              </w:rPr>
              <w:t>Route</w:t>
            </w:r>
          </w:p>
        </w:tc>
        <w:tc>
          <w:tcPr>
            <w:tcW w:type="dxa" w:w="3816"/>
            <w:vAlign w:val="top"/>
          </w:tcPr>
          <w:p>
            <w:pPr>
              <w:spacing w:after="0"/>
            </w:pPr>
            <w:r>
              <w:rPr>
                <w:rFonts w:ascii="Arial" w:hAnsi="Arial"/>
                <w:sz w:val="12"/>
              </w:rPr>
              <w:t>TermsConditionsPage</w:t>
            </w:r>
          </w:p>
        </w:tc>
      </w:tr>
      <w:tr>
        <w:trPr>
          <w:cantSplit/>
          <w:cantSplit/>
        </w:trPr>
        <w:tc>
          <w:tcPr>
            <w:tcW w:type="dxa" w:w="4032"/>
            <w:vAlign w:val="top"/>
          </w:tcPr>
          <w:p>
            <w:pPr>
              <w:spacing w:after="0"/>
            </w:pPr>
            <w:r>
              <w:rPr>
                <w:rFonts w:ascii="Arial" w:hAnsi="Arial"/>
                <w:sz w:val="12"/>
              </w:rPr>
              <w:t>/ficha/public/:uuid?</w:t>
            </w:r>
          </w:p>
        </w:tc>
        <w:tc>
          <w:tcPr>
            <w:tcW w:type="dxa" w:w="1512"/>
            <w:vAlign w:val="top"/>
          </w:tcPr>
          <w:p>
            <w:pPr>
              <w:spacing w:after="0"/>
            </w:pPr>
            <w:r>
              <w:rPr>
                <w:rFonts w:ascii="Arial" w:hAnsi="Arial"/>
                <w:sz w:val="12"/>
              </w:rPr>
              <w:t>Route</w:t>
            </w:r>
          </w:p>
        </w:tc>
        <w:tc>
          <w:tcPr>
            <w:tcW w:type="dxa" w:w="3816"/>
            <w:vAlign w:val="top"/>
          </w:tcPr>
          <w:p>
            <w:pPr>
              <w:spacing w:after="0"/>
            </w:pPr>
            <w:r>
              <w:rPr>
                <w:rFonts w:ascii="Arial" w:hAnsi="Arial"/>
                <w:sz w:val="12"/>
              </w:rPr>
              <w:t>FichaPublic</w:t>
            </w:r>
          </w:p>
        </w:tc>
      </w:tr>
      <w:tr>
        <w:trPr>
          <w:cantSplit/>
          <w:cantSplit/>
        </w:trPr>
        <w:tc>
          <w:tcPr>
            <w:tcW w:type="dxa" w:w="4032"/>
            <w:vAlign w:val="top"/>
          </w:tcPr>
          <w:p>
            <w:pPr>
              <w:spacing w:after="0"/>
            </w:pPr>
            <w:r>
              <w:rPr>
                <w:rFonts w:ascii="Arial" w:hAnsi="Arial"/>
                <w:sz w:val="12"/>
              </w:rPr>
              <w:t>/painel-de-mercado/:lat/:lng/:token/:gtoken</w:t>
            </w:r>
          </w:p>
        </w:tc>
        <w:tc>
          <w:tcPr>
            <w:tcW w:type="dxa" w:w="1512"/>
            <w:vAlign w:val="top"/>
          </w:tcPr>
          <w:p>
            <w:pPr>
              <w:spacing w:after="0"/>
            </w:pPr>
            <w:r>
              <w:rPr>
                <w:rFonts w:ascii="Arial" w:hAnsi="Arial"/>
                <w:sz w:val="12"/>
              </w:rPr>
              <w:t>Route</w:t>
            </w:r>
          </w:p>
        </w:tc>
        <w:tc>
          <w:tcPr>
            <w:tcW w:type="dxa" w:w="3816"/>
            <w:vAlign w:val="top"/>
          </w:tcPr>
          <w:p>
            <w:pPr>
              <w:spacing w:after="0"/>
            </w:pPr>
            <w:r>
              <w:rPr>
                <w:rFonts w:ascii="Arial" w:hAnsi="Arial"/>
                <w:sz w:val="12"/>
              </w:rPr>
              <w:t>PainelMercado</w:t>
            </w:r>
          </w:p>
        </w:tc>
      </w:tr>
      <w:tr>
        <w:trPr>
          <w:cantSplit/>
          <w:cantSplit/>
        </w:trPr>
        <w:tc>
          <w:tcPr>
            <w:tcW w:type="dxa" w:w="4032"/>
            <w:vAlign w:val="top"/>
          </w:tcPr>
          <w:p>
            <w:pPr>
              <w:spacing w:after="0"/>
            </w:pPr>
            <w:r>
              <w:rPr>
                <w:rFonts w:ascii="Arial" w:hAnsi="Arial"/>
                <w:sz w:val="12"/>
              </w:rPr>
              <w:t>/support</w:t>
            </w:r>
          </w:p>
        </w:tc>
        <w:tc>
          <w:tcPr>
            <w:tcW w:type="dxa" w:w="1512"/>
            <w:vAlign w:val="top"/>
          </w:tcPr>
          <w:p>
            <w:pPr>
              <w:spacing w:after="0"/>
            </w:pPr>
            <w:r>
              <w:rPr>
                <w:rFonts w:ascii="Arial" w:hAnsi="Arial"/>
                <w:sz w:val="12"/>
              </w:rPr>
              <w:t>Route</w:t>
            </w:r>
          </w:p>
        </w:tc>
        <w:tc>
          <w:tcPr>
            <w:tcW w:type="dxa" w:w="3816"/>
            <w:vAlign w:val="top"/>
          </w:tcPr>
          <w:p>
            <w:pPr>
              <w:spacing w:after="0"/>
            </w:pPr>
            <w:r>
              <w:rPr>
                <w:rFonts w:ascii="Arial" w:hAnsi="Arial"/>
                <w:sz w:val="12"/>
              </w:rPr>
              <w:t>SupportPage</w:t>
            </w:r>
          </w:p>
        </w:tc>
      </w:tr>
      <w:tr>
        <w:trPr>
          <w:cantSplit/>
          <w:cantSplit/>
        </w:trPr>
        <w:tc>
          <w:tcPr>
            <w:tcW w:type="dxa" w:w="4032"/>
            <w:vAlign w:val="top"/>
          </w:tcPr>
          <w:p>
            <w:pPr>
              <w:spacing w:after="0"/>
            </w:pPr>
            <w:r>
              <w:rPr>
                <w:rFonts w:ascii="Arial" w:hAnsi="Arial"/>
                <w:sz w:val="12"/>
              </w:rPr>
              <w:t>/logout</w:t>
            </w:r>
          </w:p>
        </w:tc>
        <w:tc>
          <w:tcPr>
            <w:tcW w:type="dxa" w:w="1512"/>
            <w:vAlign w:val="top"/>
          </w:tcPr>
          <w:p>
            <w:pPr>
              <w:spacing w:after="0"/>
            </w:pPr>
            <w:r>
              <w:rPr>
                <w:rFonts w:ascii="Arial" w:hAnsi="Arial"/>
                <w:sz w:val="12"/>
              </w:rPr>
              <w:t>Route</w:t>
            </w:r>
          </w:p>
        </w:tc>
        <w:tc>
          <w:tcPr>
            <w:tcW w:type="dxa" w:w="3816"/>
            <w:vAlign w:val="top"/>
          </w:tcPr>
          <w:p>
            <w:pPr>
              <w:spacing w:after="0"/>
            </w:pPr>
            <w:r>
              <w:rPr>
                <w:rFonts w:ascii="Arial" w:hAnsi="Arial"/>
                <w:sz w:val="12"/>
              </w:rPr>
              <w:t>Logout</w:t>
            </w:r>
          </w:p>
        </w:tc>
      </w:tr>
      <w:tr>
        <w:trPr>
          <w:cantSplit/>
          <w:cantSplit/>
        </w:trPr>
        <w:tc>
          <w:tcPr>
            <w:tcW w:type="dxa" w:w="4032"/>
            <w:vAlign w:val="top"/>
          </w:tcPr>
          <w:p>
            <w:pPr>
              <w:spacing w:after="0"/>
            </w:pPr>
            <w:r>
              <w:rPr>
                <w:rFonts w:ascii="Arial" w:hAnsi="Arial"/>
                <w:sz w:val="12"/>
              </w:rPr>
              <w:t>/</w:t>
            </w:r>
          </w:p>
        </w:tc>
        <w:tc>
          <w:tcPr>
            <w:tcW w:type="dxa" w:w="1512"/>
            <w:vAlign w:val="top"/>
          </w:tcPr>
          <w:p>
            <w:pPr>
              <w:spacing w:after="0"/>
            </w:pPr>
            <w:r>
              <w:rPr>
                <w:rFonts w:ascii="Arial" w:hAnsi="Arial"/>
                <w:sz w:val="12"/>
              </w:rPr>
              <w:t>Route</w:t>
            </w:r>
          </w:p>
        </w:tc>
        <w:tc>
          <w:tcPr>
            <w:tcW w:type="dxa" w:w="3816"/>
            <w:vAlign w:val="top"/>
          </w:tcPr>
          <w:p>
            <w:pPr>
              <w:spacing w:after="0"/>
            </w:pPr>
            <w:r>
              <w:rPr>
                <w:rFonts w:ascii="Arial" w:hAnsi="Arial"/>
                <w:sz w:val="12"/>
              </w:rPr>
              <w:t>Redirect/Inline</w:t>
            </w:r>
          </w:p>
        </w:tc>
      </w:tr>
      <w:tr>
        <w:trPr>
          <w:cantSplit/>
          <w:cantSplit/>
        </w:trPr>
        <w:tc>
          <w:tcPr>
            <w:tcW w:type="dxa" w:w="4032"/>
            <w:vAlign w:val="top"/>
          </w:tcPr>
          <w:p>
            <w:pPr>
              <w:spacing w:after="0"/>
            </w:pPr>
            <w:r>
              <w:rPr>
                <w:rFonts w:ascii="Arial" w:hAnsi="Arial"/>
                <w:sz w:val="12"/>
              </w:rPr>
              <w:t>/auth/login</w:t>
            </w:r>
          </w:p>
        </w:tc>
        <w:tc>
          <w:tcPr>
            <w:tcW w:type="dxa" w:w="1512"/>
            <w:vAlign w:val="top"/>
          </w:tcPr>
          <w:p>
            <w:pPr>
              <w:spacing w:after="0"/>
            </w:pPr>
            <w:r>
              <w:rPr>
                <w:rFonts w:ascii="Arial" w:hAnsi="Arial"/>
                <w:sz w:val="12"/>
              </w:rPr>
              <w:t>Route</w:t>
            </w:r>
          </w:p>
        </w:tc>
        <w:tc>
          <w:tcPr>
            <w:tcW w:type="dxa" w:w="3816"/>
            <w:vAlign w:val="top"/>
          </w:tcPr>
          <w:p>
            <w:pPr>
              <w:spacing w:after="0"/>
            </w:pPr>
            <w:r>
              <w:rPr>
                <w:rFonts w:ascii="Arial" w:hAnsi="Arial"/>
                <w:sz w:val="12"/>
              </w:rPr>
              <w:t>LoginPage</w:t>
            </w:r>
          </w:p>
        </w:tc>
      </w:tr>
      <w:tr>
        <w:trPr>
          <w:cantSplit/>
          <w:cantSplit/>
        </w:trPr>
        <w:tc>
          <w:tcPr>
            <w:tcW w:type="dxa" w:w="4032"/>
            <w:vAlign w:val="top"/>
          </w:tcPr>
          <w:p>
            <w:pPr>
              <w:spacing w:after="0"/>
            </w:pPr>
            <w:r>
              <w:rPr>
                <w:rFonts w:ascii="Arial" w:hAnsi="Arial"/>
                <w:sz w:val="12"/>
              </w:rPr>
              <w:t>/dashboard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DashboardWrapper</w:t>
            </w:r>
          </w:p>
        </w:tc>
      </w:tr>
      <w:tr>
        <w:trPr>
          <w:cantSplit/>
          <w:cantSplit/>
        </w:trPr>
        <w:tc>
          <w:tcPr>
            <w:tcW w:type="dxa" w:w="4032"/>
            <w:vAlign w:val="top"/>
          </w:tcPr>
          <w:p>
            <w:pPr>
              <w:spacing w:after="0"/>
            </w:pPr>
            <w:r>
              <w:rPr>
                <w:rFonts w:ascii="Arial" w:hAnsi="Arial"/>
                <w:sz w:val="12"/>
              </w:rPr>
              <w:t>/tutorial</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SuportWrapper</w:t>
            </w:r>
          </w:p>
        </w:tc>
      </w:tr>
      <w:tr>
        <w:trPr>
          <w:cantSplit/>
          <w:cantSplit/>
        </w:trPr>
        <w:tc>
          <w:tcPr>
            <w:tcW w:type="dxa" w:w="4032"/>
            <w:vAlign w:val="top"/>
          </w:tcPr>
          <w:p>
            <w:pPr>
              <w:spacing w:after="0"/>
            </w:pPr>
            <w:r>
              <w:rPr>
                <w:rFonts w:ascii="Arial" w:hAnsi="Arial"/>
                <w:sz w:val="12"/>
              </w:rPr>
              <w:t>/profile</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Profile</w:t>
            </w:r>
          </w:p>
        </w:tc>
      </w:tr>
      <w:tr>
        <w:trPr>
          <w:cantSplit/>
          <w:cantSplit/>
        </w:trPr>
        <w:tc>
          <w:tcPr>
            <w:tcW w:type="dxa" w:w="4032"/>
            <w:vAlign w:val="top"/>
          </w:tcPr>
          <w:p>
            <w:pPr>
              <w:spacing w:after="0"/>
            </w:pPr>
            <w:r>
              <w:rPr>
                <w:rFonts w:ascii="Arial" w:hAnsi="Arial"/>
                <w:sz w:val="12"/>
              </w:rPr>
              <w:t>/pessoas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Pessoas</w:t>
            </w:r>
          </w:p>
        </w:tc>
      </w:tr>
      <w:tr>
        <w:trPr>
          <w:cantSplit/>
          <w:cantSplit/>
        </w:trPr>
        <w:tc>
          <w:tcPr>
            <w:tcW w:type="dxa" w:w="4032"/>
            <w:vAlign w:val="top"/>
          </w:tcPr>
          <w:p>
            <w:pPr>
              <w:spacing w:after="0"/>
            </w:pPr>
            <w:r>
              <w:rPr>
                <w:rFonts w:ascii="Arial" w:hAnsi="Arial"/>
                <w:sz w:val="12"/>
              </w:rPr>
              <w:t>/pacotes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Pacotes</w:t>
            </w:r>
          </w:p>
        </w:tc>
      </w:tr>
      <w:tr>
        <w:trPr>
          <w:cantSplit/>
          <w:cantSplit/>
        </w:trPr>
        <w:tc>
          <w:tcPr>
            <w:tcW w:type="dxa" w:w="4032"/>
            <w:vAlign w:val="top"/>
          </w:tcPr>
          <w:p>
            <w:pPr>
              <w:spacing w:after="0"/>
            </w:pPr>
            <w:r>
              <w:rPr>
                <w:rFonts w:ascii="Arial" w:hAnsi="Arial"/>
                <w:sz w:val="12"/>
              </w:rPr>
              <w:t>/create-pacotes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CreatePacotes</w:t>
            </w:r>
          </w:p>
        </w:tc>
      </w:tr>
      <w:tr>
        <w:trPr>
          <w:cantSplit/>
          <w:cantSplit/>
        </w:trPr>
        <w:tc>
          <w:tcPr>
            <w:tcW w:type="dxa" w:w="4032"/>
            <w:vAlign w:val="top"/>
          </w:tcPr>
          <w:p>
            <w:pPr>
              <w:spacing w:after="0"/>
            </w:pPr>
            <w:r>
              <w:rPr>
                <w:rFonts w:ascii="Arial" w:hAnsi="Arial"/>
                <w:sz w:val="12"/>
              </w:rPr>
              <w:t>/explorer</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Explorer</w:t>
            </w:r>
          </w:p>
        </w:tc>
      </w:tr>
      <w:tr>
        <w:trPr>
          <w:cantSplit/>
          <w:cantSplit/>
        </w:trPr>
        <w:tc>
          <w:tcPr>
            <w:tcW w:type="dxa" w:w="4032"/>
            <w:vAlign w:val="top"/>
          </w:tcPr>
          <w:p>
            <w:pPr>
              <w:spacing w:after="0"/>
            </w:pPr>
            <w:r>
              <w:rPr>
                <w:rFonts w:ascii="Arial" w:hAnsi="Arial"/>
                <w:sz w:val="12"/>
              </w:rPr>
              <w:t>/meus-imoveis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MeusImoveis</w:t>
            </w:r>
          </w:p>
        </w:tc>
      </w:tr>
      <w:tr>
        <w:trPr>
          <w:cantSplit/>
          <w:cantSplit/>
        </w:trPr>
        <w:tc>
          <w:tcPr>
            <w:tcW w:type="dxa" w:w="4032"/>
            <w:vAlign w:val="top"/>
          </w:tcPr>
          <w:p>
            <w:pPr>
              <w:spacing w:after="0"/>
            </w:pPr>
            <w:r>
              <w:rPr>
                <w:rFonts w:ascii="Arial" w:hAnsi="Arial"/>
                <w:sz w:val="12"/>
              </w:rPr>
              <w:t>/meus-imoveis/export-pdf/:id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ExportPdf</w:t>
            </w:r>
          </w:p>
        </w:tc>
      </w:tr>
      <w:tr>
        <w:trPr>
          <w:cantSplit/>
          <w:cantSplit/>
        </w:trPr>
        <w:tc>
          <w:tcPr>
            <w:tcW w:type="dxa" w:w="4032"/>
            <w:vAlign w:val="top"/>
          </w:tcPr>
          <w:p>
            <w:pPr>
              <w:spacing w:after="0"/>
            </w:pPr>
            <w:r>
              <w:rPr>
                <w:rFonts w:ascii="Arial" w:hAnsi="Arial"/>
                <w:sz w:val="12"/>
              </w:rPr>
              <w:t>/meus-imoveis/details/:id/:hash?</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DetailsImovel</w:t>
            </w:r>
          </w:p>
        </w:tc>
      </w:tr>
      <w:tr>
        <w:trPr>
          <w:cantSplit/>
          <w:cantSplit/>
        </w:trPr>
        <w:tc>
          <w:tcPr>
            <w:tcW w:type="dxa" w:w="4032"/>
            <w:vAlign w:val="top"/>
          </w:tcPr>
          <w:p>
            <w:pPr>
              <w:spacing w:after="0"/>
            </w:pPr>
            <w:r>
              <w:rPr>
                <w:rFonts w:ascii="Arial" w:hAnsi="Arial"/>
                <w:sz w:val="12"/>
              </w:rPr>
              <w:t>/meus-imoveis/relatorios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RelatoriosImovel</w:t>
            </w:r>
          </w:p>
        </w:tc>
      </w:tr>
      <w:tr>
        <w:trPr>
          <w:cantSplit/>
          <w:cantSplit/>
        </w:trPr>
        <w:tc>
          <w:tcPr>
            <w:tcW w:type="dxa" w:w="4032"/>
            <w:vAlign w:val="top"/>
          </w:tcPr>
          <w:p>
            <w:pPr>
              <w:spacing w:after="0"/>
            </w:pPr>
            <w:r>
              <w:rPr>
                <w:rFonts w:ascii="Arial" w:hAnsi="Arial"/>
                <w:sz w:val="12"/>
              </w:rPr>
              <w:t>/ficha/:uuid?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Fichas</w:t>
            </w:r>
          </w:p>
        </w:tc>
      </w:tr>
      <w:tr>
        <w:trPr>
          <w:cantSplit/>
          <w:cantSplit/>
        </w:trPr>
        <w:tc>
          <w:tcPr>
            <w:tcW w:type="dxa" w:w="4032"/>
            <w:vAlign w:val="top"/>
          </w:tcPr>
          <w:p>
            <w:pPr>
              <w:spacing w:after="0"/>
            </w:pPr>
            <w:r>
              <w:rPr>
                <w:rFonts w:ascii="Arial" w:hAnsi="Arial"/>
                <w:sz w:val="12"/>
              </w:rPr>
              <w:t>/ficha/:uuid/download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ExportFichaPdf</w:t>
            </w:r>
          </w:p>
        </w:tc>
      </w:tr>
      <w:tr>
        <w:trPr>
          <w:cantSplit/>
          <w:cantSplit/>
        </w:trPr>
        <w:tc>
          <w:tcPr>
            <w:tcW w:type="dxa" w:w="4032"/>
            <w:vAlign w:val="top"/>
          </w:tcPr>
          <w:p>
            <w:pPr>
              <w:spacing w:after="0"/>
            </w:pPr>
            <w:r>
              <w:rPr>
                <w:rFonts w:ascii="Arial" w:hAnsi="Arial"/>
                <w:sz w:val="12"/>
              </w:rPr>
              <w:t>/empreendimentos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Empreendimento</w:t>
            </w:r>
          </w:p>
        </w:tc>
      </w:tr>
      <w:tr>
        <w:trPr>
          <w:cantSplit/>
          <w:cantSplit/>
        </w:trPr>
        <w:tc>
          <w:tcPr>
            <w:tcW w:type="dxa" w:w="4032"/>
            <w:vAlign w:val="top"/>
          </w:tcPr>
          <w:p>
            <w:pPr>
              <w:spacing w:after="0"/>
            </w:pPr>
            <w:r>
              <w:rPr>
                <w:rFonts w:ascii="Arial" w:hAnsi="Arial"/>
                <w:sz w:val="12"/>
              </w:rPr>
              <w:t>/empreendimentos/create</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CreateEmpreendimentos</w:t>
            </w:r>
          </w:p>
        </w:tc>
      </w:tr>
      <w:tr>
        <w:trPr>
          <w:cantSplit/>
          <w:cantSplit/>
        </w:trPr>
        <w:tc>
          <w:tcPr>
            <w:tcW w:type="dxa" w:w="4032"/>
            <w:vAlign w:val="top"/>
          </w:tcPr>
          <w:p>
            <w:pPr>
              <w:spacing w:after="0"/>
            </w:pPr>
            <w:r>
              <w:rPr>
                <w:rFonts w:ascii="Arial" w:hAnsi="Arial"/>
                <w:sz w:val="12"/>
              </w:rPr>
              <w:t>/empreendimentos/details/:id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DetailsEmpreendimentos</w:t>
            </w:r>
          </w:p>
        </w:tc>
      </w:tr>
      <w:tr>
        <w:trPr>
          <w:cantSplit/>
          <w:cantSplit/>
        </w:trPr>
        <w:tc>
          <w:tcPr>
            <w:tcW w:type="dxa" w:w="4032"/>
            <w:vAlign w:val="top"/>
          </w:tcPr>
          <w:p>
            <w:pPr>
              <w:spacing w:after="0"/>
            </w:pPr>
            <w:r>
              <w:rPr>
                <w:rFonts w:ascii="Arial" w:hAnsi="Arial"/>
                <w:sz w:val="12"/>
              </w:rPr>
              <w:t>/empreendimentos/relatorios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RelatorioEmpreendimento</w:t>
            </w:r>
          </w:p>
        </w:tc>
      </w:tr>
      <w:tr>
        <w:trPr>
          <w:cantSplit/>
          <w:cantSplit/>
        </w:trPr>
        <w:tc>
          <w:tcPr>
            <w:tcW w:type="dxa" w:w="4032"/>
            <w:vAlign w:val="top"/>
          </w:tcPr>
          <w:p>
            <w:pPr>
              <w:spacing w:after="0"/>
            </w:pPr>
            <w:r>
              <w:rPr>
                <w:rFonts w:ascii="Arial" w:hAnsi="Arial"/>
                <w:sz w:val="12"/>
              </w:rPr>
              <w:t>/empreendimentos/relatorios-empreendimentos-lotes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RelatorioEmpreendimentoLotes</w:t>
            </w:r>
          </w:p>
        </w:tc>
      </w:tr>
      <w:tr>
        <w:trPr>
          <w:cantSplit/>
          <w:cantSplit/>
        </w:trPr>
        <w:tc>
          <w:tcPr>
            <w:tcW w:type="dxa" w:w="4032"/>
            <w:vAlign w:val="top"/>
          </w:tcPr>
          <w:p>
            <w:pPr>
              <w:spacing w:after="0"/>
            </w:pPr>
            <w:r>
              <w:rPr>
                <w:rFonts w:ascii="Arial" w:hAnsi="Arial"/>
                <w:sz w:val="12"/>
              </w:rPr>
              <w:t>/empreendimentos/mapa</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MapaReport</w:t>
            </w:r>
          </w:p>
        </w:tc>
      </w:tr>
      <w:tr>
        <w:trPr>
          <w:cantSplit/>
          <w:cantSplit/>
        </w:trPr>
        <w:tc>
          <w:tcPr>
            <w:tcW w:type="dxa" w:w="4032"/>
            <w:vAlign w:val="top"/>
          </w:tcPr>
          <w:p>
            <w:pPr>
              <w:spacing w:after="0"/>
            </w:pPr>
            <w:r>
              <w:rPr>
                <w:rFonts w:ascii="Arial" w:hAnsi="Arial"/>
                <w:sz w:val="12"/>
              </w:rPr>
              <w:t>/empreendimentos/dashboard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DashboardEmpreendimento</w:t>
            </w:r>
          </w:p>
        </w:tc>
      </w:tr>
      <w:tr>
        <w:trPr>
          <w:cantSplit/>
          <w:cantSplit/>
        </w:trPr>
        <w:tc>
          <w:tcPr>
            <w:tcW w:type="dxa" w:w="4032"/>
            <w:vAlign w:val="top"/>
          </w:tcPr>
          <w:p>
            <w:pPr>
              <w:spacing w:after="0"/>
            </w:pPr>
            <w:r>
              <w:rPr>
                <w:rFonts w:ascii="Arial" w:hAnsi="Arial"/>
                <w:sz w:val="12"/>
              </w:rPr>
              <w:t>/empreendimento/export-pdf/:id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ExportPdfEmpreendimento</w:t>
            </w:r>
          </w:p>
        </w:tc>
      </w:tr>
      <w:tr>
        <w:trPr>
          <w:cantSplit/>
          <w:cantSplit/>
        </w:trPr>
        <w:tc>
          <w:tcPr>
            <w:tcW w:type="dxa" w:w="4032"/>
            <w:vAlign w:val="top"/>
          </w:tcPr>
          <w:p>
            <w:pPr>
              <w:spacing w:after="0"/>
            </w:pPr>
            <w:r>
              <w:rPr>
                <w:rFonts w:ascii="Arial" w:hAnsi="Arial"/>
                <w:sz w:val="12"/>
              </w:rPr>
              <w:t>/empreendimentos/mesma-quadra</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EmpreendimentoMesmaQuadra</w:t>
            </w:r>
          </w:p>
        </w:tc>
      </w:tr>
      <w:tr>
        <w:trPr>
          <w:cantSplit/>
          <w:cantSplit/>
        </w:trPr>
        <w:tc>
          <w:tcPr>
            <w:tcW w:type="dxa" w:w="4032"/>
            <w:vAlign w:val="top"/>
          </w:tcPr>
          <w:p>
            <w:pPr>
              <w:spacing w:after="0"/>
            </w:pPr>
            <w:r>
              <w:rPr>
                <w:rFonts w:ascii="Arial" w:hAnsi="Arial"/>
                <w:sz w:val="12"/>
              </w:rPr>
              <w:t>/analise-mercado</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AnaliseMercado</w:t>
            </w:r>
          </w:p>
        </w:tc>
      </w:tr>
      <w:tr>
        <w:trPr>
          <w:cantSplit/>
          <w:cantSplit/>
        </w:trPr>
        <w:tc>
          <w:tcPr>
            <w:tcW w:type="dxa" w:w="4032"/>
            <w:vAlign w:val="top"/>
          </w:tcPr>
          <w:p>
            <w:pPr>
              <w:spacing w:after="0"/>
            </w:pPr>
            <w:r>
              <w:rPr>
                <w:rFonts w:ascii="Arial" w:hAnsi="Arial"/>
                <w:sz w:val="12"/>
              </w:rPr>
              <w:t>/inteligencia-mercado</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InteligenciaMercado</w:t>
            </w:r>
          </w:p>
        </w:tc>
      </w:tr>
      <w:tr>
        <w:trPr>
          <w:cantSplit/>
          <w:cantSplit/>
        </w:trPr>
        <w:tc>
          <w:tcPr>
            <w:tcW w:type="dxa" w:w="4032"/>
            <w:vAlign w:val="top"/>
          </w:tcPr>
          <w:p>
            <w:pPr>
              <w:spacing w:after="0"/>
            </w:pPr>
            <w:r>
              <w:rPr>
                <w:rFonts w:ascii="Arial" w:hAnsi="Arial"/>
                <w:sz w:val="12"/>
              </w:rPr>
              <w:t>/inteligencia-mercado/:id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Mercado</w:t>
            </w:r>
          </w:p>
        </w:tc>
      </w:tr>
      <w:tr>
        <w:trPr>
          <w:cantSplit/>
          <w:cantSplit/>
        </w:trPr>
        <w:tc>
          <w:tcPr>
            <w:tcW w:type="dxa" w:w="4032"/>
            <w:vAlign w:val="top"/>
          </w:tcPr>
          <w:p>
            <w:pPr>
              <w:spacing w:after="0"/>
            </w:pPr>
            <w:r>
              <w:rPr>
                <w:rFonts w:ascii="Arial" w:hAnsi="Arial"/>
                <w:sz w:val="12"/>
              </w:rPr>
              <w:t>/mercado-secundario/:tipo</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MercadoSecundario</w:t>
            </w:r>
          </w:p>
        </w:tc>
      </w:tr>
      <w:tr>
        <w:trPr>
          <w:cantSplit/>
          <w:cantSplit/>
        </w:trPr>
        <w:tc>
          <w:tcPr>
            <w:tcW w:type="dxa" w:w="4032"/>
            <w:vAlign w:val="top"/>
          </w:tcPr>
          <w:p>
            <w:pPr>
              <w:spacing w:after="0"/>
            </w:pPr>
            <w:r>
              <w:rPr>
                <w:rFonts w:ascii="Arial" w:hAnsi="Arial"/>
                <w:sz w:val="12"/>
              </w:rPr>
              <w:t>/mercado-secundario/venda/novo</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MercadoSecundarioVenda</w:t>
            </w:r>
          </w:p>
        </w:tc>
      </w:tr>
      <w:tr>
        <w:trPr>
          <w:cantSplit/>
          <w:cantSplit/>
        </w:trPr>
        <w:tc>
          <w:tcPr>
            <w:tcW w:type="dxa" w:w="4032"/>
            <w:vAlign w:val="top"/>
          </w:tcPr>
          <w:p>
            <w:pPr>
              <w:spacing w:after="0"/>
            </w:pPr>
            <w:r>
              <w:rPr>
                <w:rFonts w:ascii="Arial" w:hAnsi="Arial"/>
                <w:sz w:val="12"/>
              </w:rPr>
              <w:t>/mercado-secundario/aluguel/novo</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MercadoSecundarioAluguel</w:t>
            </w:r>
          </w:p>
        </w:tc>
      </w:tr>
      <w:tr>
        <w:trPr>
          <w:cantSplit/>
          <w:cantSplit/>
        </w:trPr>
        <w:tc>
          <w:tcPr>
            <w:tcW w:type="dxa" w:w="4032"/>
            <w:vAlign w:val="top"/>
          </w:tcPr>
          <w:p>
            <w:pPr>
              <w:spacing w:after="0"/>
            </w:pPr>
            <w:r>
              <w:rPr>
                <w:rFonts w:ascii="Arial" w:hAnsi="Arial"/>
                <w:sz w:val="12"/>
              </w:rPr>
              <w:t>/mercado-secundario/venda/:id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MercadoSecundarioVenda</w:t>
            </w:r>
          </w:p>
        </w:tc>
      </w:tr>
      <w:tr>
        <w:trPr>
          <w:cantSplit/>
          <w:cantSplit/>
        </w:trPr>
        <w:tc>
          <w:tcPr>
            <w:tcW w:type="dxa" w:w="4032"/>
            <w:vAlign w:val="top"/>
          </w:tcPr>
          <w:p>
            <w:pPr>
              <w:spacing w:after="0"/>
            </w:pPr>
            <w:r>
              <w:rPr>
                <w:rFonts w:ascii="Arial" w:hAnsi="Arial"/>
                <w:sz w:val="12"/>
              </w:rPr>
              <w:t>/mercado-secundario/aluguel/:id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MercadoSecundarioAluguel</w:t>
            </w:r>
          </w:p>
        </w:tc>
      </w:tr>
      <w:tr>
        <w:trPr>
          <w:cantSplit/>
          <w:cantSplit/>
        </w:trPr>
        <w:tc>
          <w:tcPr>
            <w:tcW w:type="dxa" w:w="4032"/>
            <w:vAlign w:val="top"/>
          </w:tcPr>
          <w:p>
            <w:pPr>
              <w:spacing w:after="0"/>
            </w:pPr>
            <w:r>
              <w:rPr>
                <w:rFonts w:ascii="Arial" w:hAnsi="Arial"/>
                <w:sz w:val="12"/>
              </w:rPr>
              <w:t>/mercado-secundario/:tipo/:id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MercadoSecundarioAluguel</w:t>
            </w:r>
          </w:p>
        </w:tc>
      </w:tr>
      <w:tr>
        <w:trPr>
          <w:cantSplit/>
          <w:cantSplit/>
        </w:trPr>
        <w:tc>
          <w:tcPr>
            <w:tcW w:type="dxa" w:w="4032"/>
            <w:vAlign w:val="top"/>
          </w:tcPr>
          <w:p>
            <w:pPr>
              <w:spacing w:after="0"/>
            </w:pPr>
            <w:r>
              <w:rPr>
                <w:rFonts w:ascii="Arial" w:hAnsi="Arial"/>
                <w:sz w:val="12"/>
              </w:rPr>
              <w:t>/prospecaco-terreno</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ProspeccaoTerreno</w:t>
            </w:r>
          </w:p>
        </w:tc>
      </w:tr>
      <w:tr>
        <w:trPr>
          <w:cantSplit/>
          <w:cantSplit/>
        </w:trPr>
        <w:tc>
          <w:tcPr>
            <w:tcW w:type="dxa" w:w="4032"/>
            <w:vAlign w:val="top"/>
          </w:tcPr>
          <w:p>
            <w:pPr>
              <w:spacing w:after="0"/>
            </w:pPr>
            <w:r>
              <w:rPr>
                <w:rFonts w:ascii="Arial" w:hAnsi="Arial"/>
                <w:sz w:val="12"/>
              </w:rPr>
              <w:t>/prospeccao-terreno/novo</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Prospeccao</w:t>
            </w:r>
          </w:p>
        </w:tc>
      </w:tr>
      <w:tr>
        <w:trPr>
          <w:cantSplit/>
          <w:cantSplit/>
        </w:trPr>
        <w:tc>
          <w:tcPr>
            <w:tcW w:type="dxa" w:w="4032"/>
            <w:vAlign w:val="top"/>
          </w:tcPr>
          <w:p>
            <w:pPr>
              <w:spacing w:after="0"/>
            </w:pPr>
            <w:r>
              <w:rPr>
                <w:rFonts w:ascii="Arial" w:hAnsi="Arial"/>
                <w:sz w:val="12"/>
              </w:rPr>
              <w:t>/avaliacoes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Avaliacoes</w:t>
            </w:r>
          </w:p>
        </w:tc>
      </w:tr>
      <w:tr>
        <w:trPr>
          <w:cantSplit/>
          <w:cantSplit/>
        </w:trPr>
        <w:tc>
          <w:tcPr>
            <w:tcW w:type="dxa" w:w="4032"/>
            <w:vAlign w:val="top"/>
          </w:tcPr>
          <w:p>
            <w:pPr>
              <w:spacing w:after="0"/>
            </w:pPr>
            <w:r>
              <w:rPr>
                <w:rFonts w:ascii="Arial" w:hAnsi="Arial"/>
                <w:sz w:val="12"/>
              </w:rPr>
              <w:t>/cadastro/cadastro-grupos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CadastroGrupos</w:t>
            </w:r>
          </w:p>
        </w:tc>
      </w:tr>
      <w:tr>
        <w:trPr>
          <w:cantSplit/>
          <w:cantSplit/>
        </w:trPr>
        <w:tc>
          <w:tcPr>
            <w:tcW w:type="dxa" w:w="4032"/>
            <w:vAlign w:val="top"/>
          </w:tcPr>
          <w:p>
            <w:pPr>
              <w:spacing w:after="0"/>
            </w:pPr>
            <w:r>
              <w:rPr>
                <w:rFonts w:ascii="Arial" w:hAnsi="Arial"/>
                <w:sz w:val="12"/>
              </w:rPr>
              <w:t>/cadastro/situacao-lotes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SituacaoLotes</w:t>
            </w:r>
          </w:p>
        </w:tc>
      </w:tr>
      <w:tr>
        <w:trPr>
          <w:cantSplit/>
          <w:cantSplit/>
        </w:trPr>
        <w:tc>
          <w:tcPr>
            <w:tcW w:type="dxa" w:w="4032"/>
            <w:vAlign w:val="top"/>
          </w:tcPr>
          <w:p>
            <w:pPr>
              <w:spacing w:after="0"/>
            </w:pPr>
            <w:r>
              <w:rPr>
                <w:rFonts w:ascii="Arial" w:hAnsi="Arial"/>
                <w:sz w:val="12"/>
              </w:rPr>
              <w:t>/cadastro/situacao-empreendimentos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SituacaoEmpreendimentos</w:t>
            </w:r>
          </w:p>
        </w:tc>
      </w:tr>
      <w:tr>
        <w:trPr>
          <w:cantSplit/>
          <w:cantSplit/>
        </w:trPr>
        <w:tc>
          <w:tcPr>
            <w:tcW w:type="dxa" w:w="4032"/>
            <w:vAlign w:val="top"/>
          </w:tcPr>
          <w:p>
            <w:pPr>
              <w:spacing w:after="0"/>
            </w:pPr>
            <w:r>
              <w:rPr>
                <w:rFonts w:ascii="Arial" w:hAnsi="Arial"/>
                <w:sz w:val="12"/>
              </w:rPr>
              <w:t>/cadastro/temperatura-empreendimentos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TemperaturaEmpreendimentos</w:t>
            </w:r>
          </w:p>
        </w:tc>
      </w:tr>
      <w:tr>
        <w:trPr>
          <w:cantSplit/>
          <w:cantSplit/>
        </w:trPr>
        <w:tc>
          <w:tcPr>
            <w:tcW w:type="dxa" w:w="4032"/>
            <w:vAlign w:val="top"/>
          </w:tcPr>
          <w:p>
            <w:pPr>
              <w:spacing w:after="0"/>
            </w:pPr>
            <w:r>
              <w:rPr>
                <w:rFonts w:ascii="Arial" w:hAnsi="Arial"/>
                <w:sz w:val="12"/>
              </w:rPr>
              <w:t>/cadastro/corretores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Corretores</w:t>
            </w:r>
          </w:p>
        </w:tc>
      </w:tr>
      <w:tr>
        <w:trPr>
          <w:cantSplit/>
          <w:cantSplit/>
        </w:trPr>
        <w:tc>
          <w:tcPr>
            <w:tcW w:type="dxa" w:w="4032"/>
            <w:vAlign w:val="top"/>
          </w:tcPr>
          <w:p>
            <w:pPr>
              <w:spacing w:after="0"/>
            </w:pPr>
            <w:r>
              <w:rPr>
                <w:rFonts w:ascii="Arial" w:hAnsi="Arial"/>
                <w:sz w:val="12"/>
              </w:rPr>
              <w:t>/cadastro/proprietarios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Proprietarios</w:t>
            </w:r>
          </w:p>
        </w:tc>
      </w:tr>
      <w:tr>
        <w:trPr>
          <w:cantSplit/>
          <w:cantSplit/>
        </w:trPr>
        <w:tc>
          <w:tcPr>
            <w:tcW w:type="dxa" w:w="4032"/>
            <w:vAlign w:val="top"/>
          </w:tcPr>
          <w:p>
            <w:pPr>
              <w:spacing w:after="0"/>
            </w:pPr>
            <w:r>
              <w:rPr>
                <w:rFonts w:ascii="Arial" w:hAnsi="Arial"/>
                <w:sz w:val="12"/>
              </w:rPr>
              <w:t>/cadastro/equipes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Equipes</w:t>
            </w:r>
          </w:p>
        </w:tc>
      </w:tr>
      <w:tr>
        <w:trPr>
          <w:cantSplit/>
          <w:cantSplit/>
        </w:trPr>
        <w:tc>
          <w:tcPr>
            <w:tcW w:type="dxa" w:w="4032"/>
            <w:vAlign w:val="top"/>
          </w:tcPr>
          <w:p>
            <w:pPr>
              <w:spacing w:after="0"/>
            </w:pPr>
            <w:r>
              <w:rPr>
                <w:rFonts w:ascii="Arial" w:hAnsi="Arial"/>
                <w:sz w:val="12"/>
              </w:rPr>
              <w:t>/sugestoes-usuarios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SugestoesUsuarios</w:t>
            </w:r>
          </w:p>
        </w:tc>
      </w:tr>
      <w:tr>
        <w:trPr>
          <w:cantSplit/>
          <w:cantSplit/>
        </w:trPr>
        <w:tc>
          <w:tcPr>
            <w:tcW w:type="dxa" w:w="4032"/>
            <w:vAlign w:val="top"/>
          </w:tcPr>
          <w:p>
            <w:pPr>
              <w:spacing w:after="0"/>
            </w:pPr>
            <w:r>
              <w:rPr>
                <w:rFonts w:ascii="Arial" w:hAnsi="Arial"/>
                <w:sz w:val="12"/>
              </w:rPr>
              <w:t>/sugestoes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Sugestoes</w:t>
            </w:r>
          </w:p>
        </w:tc>
      </w:tr>
      <w:tr>
        <w:trPr>
          <w:cantSplit/>
          <w:cantSplit/>
        </w:trPr>
        <w:tc>
          <w:tcPr>
            <w:tcW w:type="dxa" w:w="4032"/>
            <w:vAlign w:val="top"/>
          </w:tcPr>
          <w:p>
            <w:pPr>
              <w:spacing w:after="0"/>
            </w:pPr>
            <w:r>
              <w:rPr>
                <w:rFonts w:ascii="Arial" w:hAnsi="Arial"/>
                <w:sz w:val="12"/>
              </w:rPr>
              <w:t>/backoffice/usuarios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AdminUsuarios</w:t>
            </w:r>
          </w:p>
        </w:tc>
      </w:tr>
      <w:tr>
        <w:trPr>
          <w:cantSplit/>
          <w:cantSplit/>
        </w:trPr>
        <w:tc>
          <w:tcPr>
            <w:tcW w:type="dxa" w:w="4032"/>
            <w:vAlign w:val="top"/>
          </w:tcPr>
          <w:p>
            <w:pPr>
              <w:spacing w:after="0"/>
            </w:pPr>
            <w:r>
              <w:rPr>
                <w:rFonts w:ascii="Arial" w:hAnsi="Arial"/>
                <w:sz w:val="12"/>
              </w:rPr>
              <w:t>/backoffice/usuarios/edit/:id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AdminEditUsuarios</w:t>
            </w:r>
          </w:p>
        </w:tc>
      </w:tr>
      <w:tr>
        <w:trPr>
          <w:cantSplit/>
          <w:cantSplit/>
        </w:trPr>
        <w:tc>
          <w:tcPr>
            <w:tcW w:type="dxa" w:w="4032"/>
            <w:vAlign w:val="top"/>
          </w:tcPr>
          <w:p>
            <w:pPr>
              <w:spacing w:after="0"/>
            </w:pPr>
            <w:r>
              <w:rPr>
                <w:rFonts w:ascii="Arial" w:hAnsi="Arial"/>
                <w:sz w:val="12"/>
              </w:rPr>
              <w:t>/backoffice/empreendimentos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AdminEmpreendimentos</w:t>
            </w:r>
          </w:p>
        </w:tc>
      </w:tr>
      <w:tr>
        <w:trPr>
          <w:cantSplit/>
          <w:cantSplit/>
        </w:trPr>
        <w:tc>
          <w:tcPr>
            <w:tcW w:type="dxa" w:w="4032"/>
            <w:vAlign w:val="top"/>
          </w:tcPr>
          <w:p>
            <w:pPr>
              <w:spacing w:after="0"/>
            </w:pPr>
            <w:r>
              <w:rPr>
                <w:rFonts w:ascii="Arial" w:hAnsi="Arial"/>
                <w:sz w:val="12"/>
              </w:rPr>
              <w:t>/backoffice/empreendimentos/create</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AdminCreateEmpreendimentos</w:t>
            </w:r>
          </w:p>
        </w:tc>
      </w:tr>
      <w:tr>
        <w:trPr>
          <w:cantSplit/>
          <w:cantSplit/>
        </w:trPr>
        <w:tc>
          <w:tcPr>
            <w:tcW w:type="dxa" w:w="4032"/>
            <w:vAlign w:val="top"/>
          </w:tcPr>
          <w:p>
            <w:pPr>
              <w:spacing w:after="0"/>
            </w:pPr>
            <w:r>
              <w:rPr>
                <w:rFonts w:ascii="Arial" w:hAnsi="Arial"/>
                <w:sz w:val="12"/>
              </w:rPr>
              <w:t>/backoffice/empreendimentos/edit/:id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AdminEditEmpreendimentos</w:t>
            </w:r>
          </w:p>
        </w:tc>
      </w:tr>
      <w:tr>
        <w:trPr>
          <w:cantSplit/>
          <w:cantSplit/>
        </w:trPr>
        <w:tc>
          <w:tcPr>
            <w:tcW w:type="dxa" w:w="4032"/>
            <w:vAlign w:val="top"/>
          </w:tcPr>
          <w:p>
            <w:pPr>
              <w:spacing w:after="0"/>
            </w:pPr>
            <w:r>
              <w:rPr>
                <w:rFonts w:ascii="Arial" w:hAnsi="Arial"/>
                <w:sz w:val="12"/>
              </w:rPr>
              <w:t>/backoffice/incorporadoras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AdminIncorporadoras</w:t>
            </w:r>
          </w:p>
        </w:tc>
      </w:tr>
      <w:tr>
        <w:trPr>
          <w:cantSplit/>
          <w:cantSplit/>
        </w:trPr>
        <w:tc>
          <w:tcPr>
            <w:tcW w:type="dxa" w:w="4032"/>
            <w:vAlign w:val="top"/>
          </w:tcPr>
          <w:p>
            <w:pPr>
              <w:spacing w:after="0"/>
            </w:pPr>
            <w:r>
              <w:rPr>
                <w:rFonts w:ascii="Arial" w:hAnsi="Arial"/>
                <w:sz w:val="12"/>
              </w:rPr>
              <w:t>/backoffice/assinaturas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AdminAssinaturas</w:t>
            </w:r>
          </w:p>
        </w:tc>
      </w:tr>
      <w:tr>
        <w:trPr>
          <w:cantSplit/>
          <w:cantSplit/>
        </w:trPr>
        <w:tc>
          <w:tcPr>
            <w:tcW w:type="dxa" w:w="4032"/>
            <w:vAlign w:val="top"/>
          </w:tcPr>
          <w:p>
            <w:pPr>
              <w:spacing w:after="0"/>
            </w:pPr>
            <w:r>
              <w:rPr>
                <w:rFonts w:ascii="Arial" w:hAnsi="Arial"/>
                <w:sz w:val="12"/>
              </w:rPr>
              <w:t>/backoffice/empresas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AdminEmpresas</w:t>
            </w:r>
          </w:p>
        </w:tc>
      </w:tr>
      <w:tr>
        <w:trPr>
          <w:cantSplit/>
          <w:cantSplit/>
        </w:trPr>
        <w:tc>
          <w:tcPr>
            <w:tcW w:type="dxa" w:w="4032"/>
            <w:vAlign w:val="top"/>
          </w:tcPr>
          <w:p>
            <w:pPr>
              <w:spacing w:after="0"/>
            </w:pPr>
            <w:r>
              <w:rPr>
                <w:rFonts w:ascii="Arial" w:hAnsi="Arial"/>
                <w:sz w:val="12"/>
              </w:rPr>
              <w:t>/backoffice/empresas/edit/:id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AdminEditEmpresas</w:t>
            </w:r>
          </w:p>
        </w:tc>
      </w:tr>
      <w:tr>
        <w:trPr>
          <w:cantSplit/>
          <w:cantSplit/>
        </w:trPr>
        <w:tc>
          <w:tcPr>
            <w:tcW w:type="dxa" w:w="4032"/>
            <w:vAlign w:val="top"/>
          </w:tcPr>
          <w:p>
            <w:pPr>
              <w:spacing w:after="0"/>
            </w:pPr>
            <w:r>
              <w:rPr>
                <w:rFonts w:ascii="Arial" w:hAnsi="Arial"/>
                <w:sz w:val="12"/>
              </w:rPr>
              <w:t>/backoffice/pedidos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AdminPedidos</w:t>
            </w:r>
          </w:p>
        </w:tc>
      </w:tr>
      <w:tr>
        <w:trPr>
          <w:cantSplit/>
          <w:cantSplit/>
        </w:trPr>
        <w:tc>
          <w:tcPr>
            <w:tcW w:type="dxa" w:w="4032"/>
            <w:vAlign w:val="top"/>
          </w:tcPr>
          <w:p>
            <w:pPr>
              <w:spacing w:after="0"/>
            </w:pPr>
            <w:r>
              <w:rPr>
                <w:rFonts w:ascii="Arial" w:hAnsi="Arial"/>
                <w:sz w:val="12"/>
              </w:rPr>
              <w:t>/backoffice/pacotes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AdminPacotes</w:t>
            </w:r>
          </w:p>
        </w:tc>
      </w:tr>
      <w:tr>
        <w:trPr>
          <w:cantSplit/>
          <w:cantSplit/>
        </w:trPr>
        <w:tc>
          <w:tcPr>
            <w:tcW w:type="dxa" w:w="4032"/>
            <w:vAlign w:val="top"/>
          </w:tcPr>
          <w:p>
            <w:pPr>
              <w:spacing w:after="0"/>
            </w:pPr>
            <w:r>
              <w:rPr>
                <w:rFonts w:ascii="Arial" w:hAnsi="Arial"/>
                <w:sz w:val="12"/>
              </w:rPr>
              <w:t>/backoffice/pacotes/create</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AdminCreatePacotes</w:t>
            </w:r>
          </w:p>
        </w:tc>
      </w:tr>
      <w:tr>
        <w:trPr>
          <w:cantSplit/>
          <w:cantSplit/>
        </w:trPr>
        <w:tc>
          <w:tcPr>
            <w:tcW w:type="dxa" w:w="4032"/>
            <w:vAlign w:val="top"/>
          </w:tcPr>
          <w:p>
            <w:pPr>
              <w:spacing w:after="0"/>
            </w:pPr>
            <w:r>
              <w:rPr>
                <w:rFonts w:ascii="Arial" w:hAnsi="Arial"/>
                <w:sz w:val="12"/>
              </w:rPr>
              <w:t>/backoffice/pacotes/edit/:id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AdminEditPacotes</w:t>
            </w:r>
          </w:p>
        </w:tc>
      </w:tr>
      <w:tr>
        <w:trPr>
          <w:cantSplit/>
          <w:cantSplit/>
        </w:trPr>
        <w:tc>
          <w:tcPr>
            <w:tcW w:type="dxa" w:w="4032"/>
            <w:vAlign w:val="top"/>
          </w:tcPr>
          <w:p>
            <w:pPr>
              <w:spacing w:after="0"/>
            </w:pPr>
            <w:r>
              <w:rPr>
                <w:rFonts w:ascii="Arial" w:hAnsi="Arial"/>
                <w:sz w:val="12"/>
              </w:rPr>
              <w:t>/backoffice/servicos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AdminServicos</w:t>
            </w:r>
          </w:p>
        </w:tc>
      </w:tr>
      <w:tr>
        <w:trPr>
          <w:cantSplit/>
          <w:cantSplit/>
        </w:trPr>
        <w:tc>
          <w:tcPr>
            <w:tcW w:type="dxa" w:w="4032"/>
            <w:vAlign w:val="top"/>
          </w:tcPr>
          <w:p>
            <w:pPr>
              <w:spacing w:after="0"/>
            </w:pPr>
            <w:r>
              <w:rPr>
                <w:rFonts w:ascii="Arial" w:hAnsi="Arial"/>
                <w:sz w:val="12"/>
              </w:rPr>
              <w:t>/backoffice/servicos/create</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AdminCreateServicos</w:t>
            </w:r>
          </w:p>
        </w:tc>
      </w:tr>
      <w:tr>
        <w:trPr>
          <w:cantSplit/>
          <w:cantSplit/>
        </w:trPr>
        <w:tc>
          <w:tcPr>
            <w:tcW w:type="dxa" w:w="4032"/>
            <w:vAlign w:val="top"/>
          </w:tcPr>
          <w:p>
            <w:pPr>
              <w:spacing w:after="0"/>
            </w:pPr>
            <w:r>
              <w:rPr>
                <w:rFonts w:ascii="Arial" w:hAnsi="Arial"/>
                <w:sz w:val="12"/>
              </w:rPr>
              <w:t>/backoffice/servicos/edit/:id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AdminEditServicos</w:t>
            </w:r>
          </w:p>
        </w:tc>
      </w:tr>
      <w:tr>
        <w:trPr>
          <w:cantSplit/>
          <w:cantSplit/>
        </w:trPr>
        <w:tc>
          <w:tcPr>
            <w:tcW w:type="dxa" w:w="4032"/>
            <w:vAlign w:val="top"/>
          </w:tcPr>
          <w:p>
            <w:pPr>
              <w:spacing w:after="0"/>
            </w:pPr>
            <w:r>
              <w:rPr>
                <w:rFonts w:ascii="Arial" w:hAnsi="Arial"/>
                <w:sz w:val="12"/>
              </w:rPr>
              <w:t>/backoffice/produtos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AdminProdutos</w:t>
            </w:r>
          </w:p>
        </w:tc>
      </w:tr>
      <w:tr>
        <w:trPr>
          <w:cantSplit/>
          <w:cantSplit/>
        </w:trPr>
        <w:tc>
          <w:tcPr>
            <w:tcW w:type="dxa" w:w="4032"/>
            <w:vAlign w:val="top"/>
          </w:tcPr>
          <w:p>
            <w:pPr>
              <w:spacing w:after="0"/>
            </w:pPr>
            <w:r>
              <w:rPr>
                <w:rFonts w:ascii="Arial" w:hAnsi="Arial"/>
                <w:sz w:val="12"/>
              </w:rPr>
              <w:t>/backoffice/news-feed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AdminNewsFeed</w:t>
            </w:r>
          </w:p>
        </w:tc>
      </w:tr>
      <w:tr>
        <w:trPr>
          <w:cantSplit/>
          <w:cantSplit/>
        </w:trPr>
        <w:tc>
          <w:tcPr>
            <w:tcW w:type="dxa" w:w="4032"/>
            <w:vAlign w:val="top"/>
          </w:tcPr>
          <w:p>
            <w:pPr>
              <w:spacing w:after="0"/>
            </w:pPr>
            <w:r>
              <w:rPr>
                <w:rFonts w:ascii="Arial" w:hAnsi="Arial"/>
                <w:sz w:val="12"/>
              </w:rPr>
              <w:t>/backoffice/explorer-layers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AdminExplorerLayers</w:t>
            </w:r>
          </w:p>
        </w:tc>
      </w:tr>
      <w:tr>
        <w:trPr>
          <w:cantSplit/>
          <w:cantSplit/>
        </w:trPr>
        <w:tc>
          <w:tcPr>
            <w:tcW w:type="dxa" w:w="4032"/>
            <w:vAlign w:val="top"/>
          </w:tcPr>
          <w:p>
            <w:pPr>
              <w:spacing w:after="0"/>
            </w:pPr>
            <w:r>
              <w:rPr>
                <w:rFonts w:ascii="Arial" w:hAnsi="Arial"/>
                <w:sz w:val="12"/>
              </w:rPr>
              <w:t>/backoffice/explorer-layers/create</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AdminExplorerLayersCreate</w:t>
            </w:r>
          </w:p>
        </w:tc>
      </w:tr>
      <w:tr>
        <w:trPr>
          <w:cantSplit/>
          <w:cantSplit/>
        </w:trPr>
        <w:tc>
          <w:tcPr>
            <w:tcW w:type="dxa" w:w="4032"/>
            <w:vAlign w:val="top"/>
          </w:tcPr>
          <w:p>
            <w:pPr>
              <w:spacing w:after="0"/>
            </w:pPr>
            <w:r>
              <w:rPr>
                <w:rFonts w:ascii="Arial" w:hAnsi="Arial"/>
                <w:sz w:val="12"/>
              </w:rPr>
              <w:t>/backoffice/explorer-layers/edit/:id</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AdminExplorerLayersEdit</w:t>
            </w:r>
          </w:p>
        </w:tc>
      </w:tr>
      <w:tr>
        <w:trPr>
          <w:cantSplit/>
          <w:cantSplit/>
        </w:trPr>
        <w:tc>
          <w:tcPr>
            <w:tcW w:type="dxa" w:w="4032"/>
            <w:vAlign w:val="top"/>
          </w:tcPr>
          <w:p>
            <w:pPr>
              <w:spacing w:after="0"/>
            </w:pPr>
            <w:r>
              <w:rPr>
                <w:rFonts w:ascii="Arial" w:hAnsi="Arial"/>
                <w:sz w:val="12"/>
              </w:rPr>
              <w:t>/backoffice/cupons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AdminCupons</w:t>
            </w:r>
          </w:p>
        </w:tc>
      </w:tr>
      <w:tr>
        <w:trPr>
          <w:cantSplit/>
          <w:cantSplit/>
        </w:trPr>
        <w:tc>
          <w:tcPr>
            <w:tcW w:type="dxa" w:w="4032"/>
            <w:vAlign w:val="top"/>
          </w:tcPr>
          <w:p>
            <w:pPr>
              <w:spacing w:after="0"/>
            </w:pPr>
            <w:r>
              <w:rPr>
                <w:rFonts w:ascii="Arial" w:hAnsi="Arial"/>
                <w:sz w:val="12"/>
              </w:rPr>
              <w:t>/backoffice/termos</w:t>
            </w:r>
          </w:p>
        </w:tc>
        <w:tc>
          <w:tcPr>
            <w:tcW w:type="dxa" w:w="1512"/>
            <w:vAlign w:val="top"/>
          </w:tcPr>
          <w:p>
            <w:pPr>
              <w:spacing w:after="0"/>
            </w:pPr>
            <w:r>
              <w:rPr>
                <w:rFonts w:ascii="Arial" w:hAnsi="Arial"/>
                <w:sz w:val="12"/>
              </w:rPr>
              <w:t>PrivateRoute</w:t>
            </w:r>
          </w:p>
        </w:tc>
        <w:tc>
          <w:tcPr>
            <w:tcW w:type="dxa" w:w="3816"/>
            <w:vAlign w:val="top"/>
          </w:tcPr>
          <w:p>
            <w:pPr>
              <w:spacing w:after="0"/>
            </w:pPr>
            <w:r>
              <w:rPr>
                <w:rFonts w:ascii="Arial" w:hAnsi="Arial"/>
                <w:sz w:val="12"/>
              </w:rPr>
              <w:t>AdminTermos</w:t>
            </w:r>
          </w:p>
        </w:tc>
      </w:tr>
    </w:tbl>
    <w:p>
      <w:pPr>
        <w:spacing w:after="20"/>
      </w:pPr>
    </w:p>
    <w:p>
      <w:pPr>
        <w:pStyle w:val="Heading2"/>
        <w:keepNext/>
      </w:pPr>
      <w:r>
        <w:t>24.26 O que o arquivo não revela e como o LoteDiretor resolve</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4536"/>
            <w:shd w:fill="EDEDED"/>
            <w:vAlign w:val="center"/>
          </w:tcPr>
          <w:p>
            <w:pPr>
              <w:spacing w:after="0"/>
            </w:pPr>
            <w:r>
              <w:rPr>
                <w:rFonts w:ascii="Arial" w:hAnsi="Arial"/>
                <w:b/>
                <w:sz w:val="15"/>
              </w:rPr>
              <w:t>Limite do frontend fornecido</w:t>
            </w:r>
          </w:p>
        </w:tc>
        <w:tc>
          <w:tcPr>
            <w:tcW w:type="dxa" w:w="4824"/>
            <w:shd w:fill="EDEDED"/>
            <w:vAlign w:val="center"/>
          </w:tcPr>
          <w:p>
            <w:pPr>
              <w:spacing w:after="0"/>
            </w:pPr>
            <w:r>
              <w:rPr>
                <w:rFonts w:ascii="Arial" w:hAnsi="Arial"/>
                <w:b/>
                <w:sz w:val="15"/>
              </w:rPr>
              <w:t>Solução no Imóvel 360</w:t>
            </w:r>
          </w:p>
        </w:tc>
      </w:tr>
      <w:tr>
        <w:trPr>
          <w:cantSplit/>
          <w:cantSplit/>
        </w:trPr>
        <w:tc>
          <w:tcPr>
            <w:tcW w:type="dxa" w:w="4536"/>
            <w:vAlign w:val="top"/>
          </w:tcPr>
          <w:p>
            <w:pPr>
              <w:spacing w:after="0"/>
            </w:pPr>
            <w:r>
              <w:rPr>
                <w:rFonts w:ascii="Arial" w:hAnsi="Arial"/>
                <w:sz w:val="15"/>
              </w:rPr>
              <w:t>Lista completa de serviços de todos os municípios não está embutida; vinha de GetServicoPacote.</w:t>
            </w:r>
          </w:p>
        </w:tc>
        <w:tc>
          <w:tcPr>
            <w:tcW w:type="dxa" w:w="4824"/>
            <w:vAlign w:val="top"/>
          </w:tcPr>
          <w:p>
            <w:pPr>
              <w:spacing w:after="0"/>
            </w:pPr>
            <w:r>
              <w:rPr>
                <w:rFonts w:ascii="Arial" w:hAnsi="Arial"/>
                <w:sz w:val="15"/>
              </w:rPr>
              <w:t>Criar service_registry nacional com cobertura, fonte, licença, parâmetros, distância e display_config.</w:t>
            </w:r>
          </w:p>
        </w:tc>
      </w:tr>
      <w:tr>
        <w:trPr>
          <w:cantSplit/>
          <w:cantSplit/>
        </w:trPr>
        <w:tc>
          <w:tcPr>
            <w:tcW w:type="dxa" w:w="4536"/>
            <w:vAlign w:val="top"/>
          </w:tcPr>
          <w:p>
            <w:pPr>
              <w:spacing w:after="0"/>
            </w:pPr>
            <w:r>
              <w:rPr>
                <w:rFonts w:ascii="Arial" w:hAnsi="Arial"/>
                <w:sz w:val="15"/>
              </w:rPr>
              <w:t>Backend e schema PostGIS originais não estão no arquivo.</w:t>
            </w:r>
          </w:p>
        </w:tc>
        <w:tc>
          <w:tcPr>
            <w:tcW w:type="dxa" w:w="4824"/>
            <w:vAlign w:val="top"/>
          </w:tcPr>
          <w:p>
            <w:pPr>
              <w:spacing w:after="0"/>
            </w:pPr>
            <w:r>
              <w:rPr>
                <w:rFonts w:ascii="Arial" w:hAnsi="Arial"/>
                <w:sz w:val="15"/>
              </w:rPr>
              <w:t>Usar nosso PostgreSQL/PostGIS, migrations, ETLs e contratos próprios.</w:t>
            </w:r>
          </w:p>
        </w:tc>
      </w:tr>
      <w:tr>
        <w:trPr>
          <w:cantSplit/>
          <w:cantSplit/>
        </w:trPr>
        <w:tc>
          <w:tcPr>
            <w:tcW w:type="dxa" w:w="4536"/>
            <w:vAlign w:val="top"/>
          </w:tcPr>
          <w:p>
            <w:pPr>
              <w:spacing w:after="0"/>
            </w:pPr>
            <w:r>
              <w:rPr>
                <w:rFonts w:ascii="Arial" w:hAnsi="Arial"/>
                <w:sz w:val="15"/>
              </w:rPr>
              <w:t>Origem/licença de cada dataset não aparece de forma suficiente no frontend.</w:t>
            </w:r>
          </w:p>
        </w:tc>
        <w:tc>
          <w:tcPr>
            <w:tcW w:type="dxa" w:w="4824"/>
            <w:vAlign w:val="top"/>
          </w:tcPr>
          <w:p>
            <w:pPr>
              <w:spacing w:after="0"/>
            </w:pPr>
            <w:r>
              <w:rPr>
                <w:rFonts w:ascii="Arial" w:hAnsi="Arial"/>
                <w:sz w:val="15"/>
              </w:rPr>
              <w:t>source_registry obrigatório com autoridade, URL, licença, frequência, qualidade e termos de uso.</w:t>
            </w:r>
          </w:p>
        </w:tc>
      </w:tr>
      <w:tr>
        <w:trPr>
          <w:cantSplit/>
          <w:cantSplit/>
        </w:trPr>
        <w:tc>
          <w:tcPr>
            <w:tcW w:type="dxa" w:w="4536"/>
            <w:vAlign w:val="top"/>
          </w:tcPr>
          <w:p>
            <w:pPr>
              <w:spacing w:after="0"/>
            </w:pPr>
            <w:r>
              <w:rPr>
                <w:rFonts w:ascii="Arial" w:hAnsi="Arial"/>
                <w:sz w:val="15"/>
              </w:rPr>
              <w:t>Jobs de atualização/ETL não aparecem.</w:t>
            </w:r>
          </w:p>
        </w:tc>
        <w:tc>
          <w:tcPr>
            <w:tcW w:type="dxa" w:w="4824"/>
            <w:vAlign w:val="top"/>
          </w:tcPr>
          <w:p>
            <w:pPr>
              <w:spacing w:after="0"/>
            </w:pPr>
            <w:r>
              <w:rPr>
                <w:rFonts w:ascii="Arial" w:hAnsi="Arial"/>
                <w:sz w:val="15"/>
              </w:rPr>
              <w:t>Orquestração própria, snapshots, checksums, versionamento e monitoramento de atualização.</w:t>
            </w:r>
          </w:p>
        </w:tc>
      </w:tr>
      <w:tr>
        <w:trPr>
          <w:cantSplit/>
          <w:cantSplit/>
        </w:trPr>
        <w:tc>
          <w:tcPr>
            <w:tcW w:type="dxa" w:w="4536"/>
            <w:vAlign w:val="top"/>
          </w:tcPr>
          <w:p>
            <w:pPr>
              <w:spacing w:after="0"/>
            </w:pPr>
            <w:r>
              <w:rPr>
                <w:rFonts w:ascii="Arial" w:hAnsi="Arial"/>
                <w:sz w:val="15"/>
              </w:rPr>
              <w:t>Metodologia completa de índices/AVM não está disponível.</w:t>
            </w:r>
          </w:p>
        </w:tc>
        <w:tc>
          <w:tcPr>
            <w:tcW w:type="dxa" w:w="4824"/>
            <w:vAlign w:val="top"/>
          </w:tcPr>
          <w:p>
            <w:pPr>
              <w:spacing w:after="0"/>
            </w:pPr>
            <w:r>
              <w:rPr>
                <w:rFonts w:ascii="Arial" w:hAnsi="Arial"/>
                <w:sz w:val="15"/>
              </w:rPr>
              <w:t>Modelos próprios versionados, documentação metodológica e evidência de amostra.</w:t>
            </w:r>
          </w:p>
        </w:tc>
      </w:tr>
      <w:tr>
        <w:trPr>
          <w:cantSplit/>
          <w:cantSplit/>
        </w:trPr>
        <w:tc>
          <w:tcPr>
            <w:tcW w:type="dxa" w:w="4536"/>
            <w:vAlign w:val="top"/>
          </w:tcPr>
          <w:p>
            <w:pPr>
              <w:spacing w:after="0"/>
            </w:pPr>
            <w:r>
              <w:rPr>
                <w:rFonts w:ascii="Arial" w:hAnsi="Arial"/>
                <w:sz w:val="15"/>
              </w:rPr>
              <w:t>Cobertura de redes privadas e mercado depende de parceiros.</w:t>
            </w:r>
          </w:p>
        </w:tc>
        <w:tc>
          <w:tcPr>
            <w:tcW w:type="dxa" w:w="4824"/>
            <w:vAlign w:val="top"/>
          </w:tcPr>
          <w:p>
            <w:pPr>
              <w:spacing w:after="0"/>
            </w:pPr>
            <w:r>
              <w:rPr>
                <w:rFonts w:ascii="Arial" w:hAnsi="Arial"/>
                <w:sz w:val="15"/>
              </w:rPr>
              <w:t>Conectores licenciados + status de cobertura por município/operadora.</w:t>
            </w:r>
          </w:p>
        </w:tc>
      </w:tr>
    </w:tbl>
    <w:p>
      <w:pPr>
        <w:spacing w:after="20"/>
      </w:pPr>
    </w:p>
    <w:p>
      <w:pPr>
        <w:pStyle w:val="Heading2"/>
        <w:keepNext/>
      </w:pPr>
      <w:r>
        <w:t>24.27 Prioridade de implementação do Imóvel 360</w:t>
      </w:r>
    </w:p>
    <w:p>
      <w:pPr>
        <w:spacing w:after="40"/>
        <w:ind w:left="317" w:hanging="259"/>
      </w:pPr>
      <w:r>
        <w:rPr>
          <w:b/>
        </w:rPr>
        <w:t xml:space="preserve">1. </w:t>
      </w:r>
      <w:r>
        <w:t>Explorer + Parcel Resolver + município/lote/zoneamento.</w:t>
      </w:r>
    </w:p>
    <w:p>
      <w:pPr>
        <w:spacing w:after="40"/>
        <w:ind w:left="317" w:hanging="259"/>
      </w:pPr>
      <w:r>
        <w:rPr>
          <w:b/>
        </w:rPr>
        <w:t xml:space="preserve">2. </w:t>
      </w:r>
      <w:r>
        <w:t>Território/Legal/Cadastro via service_registry.</w:t>
      </w:r>
    </w:p>
    <w:p>
      <w:pPr>
        <w:spacing w:after="40"/>
        <w:ind w:left="317" w:hanging="259"/>
      </w:pPr>
      <w:r>
        <w:rPr>
          <w:b/>
        </w:rPr>
        <w:t xml:space="preserve">3. </w:t>
      </w:r>
      <w:r>
        <w:t>Ficha 360 com evidência e PDF.</w:t>
      </w:r>
    </w:p>
    <w:p>
      <w:pPr>
        <w:spacing w:after="40"/>
        <w:ind w:left="317" w:hanging="259"/>
      </w:pPr>
      <w:r>
        <w:rPr>
          <w:b/>
        </w:rPr>
        <w:t xml:space="preserve">4. </w:t>
      </w:r>
      <w:r>
        <w:t>Meus Imóveis + CRM básico + documentos/diligências.</w:t>
      </w:r>
    </w:p>
    <w:p>
      <w:pPr>
        <w:spacing w:after="40"/>
        <w:ind w:left="317" w:hanging="259"/>
      </w:pPr>
      <w:r>
        <w:rPr>
          <w:b/>
        </w:rPr>
        <w:t xml:space="preserve">5. </w:t>
      </w:r>
      <w:r>
        <w:t>Empreendimentos + composição de lotes + massa preliminar.</w:t>
      </w:r>
    </w:p>
    <w:p>
      <w:pPr>
        <w:spacing w:after="40"/>
        <w:ind w:left="317" w:hanging="259"/>
      </w:pPr>
      <w:r>
        <w:rPr>
          <w:b/>
        </w:rPr>
        <w:t xml:space="preserve">6. </w:t>
      </w:r>
      <w:r>
        <w:t>Painel de Mercado + dados primário/secundário licenciados.</w:t>
      </w:r>
    </w:p>
    <w:p>
      <w:pPr>
        <w:spacing w:after="40"/>
        <w:ind w:left="317" w:hanging="259"/>
      </w:pPr>
      <w:r>
        <w:rPr>
          <w:b/>
        </w:rPr>
        <w:t xml:space="preserve">7. </w:t>
      </w:r>
      <w:r>
        <w:t>AVM explicável e comparáveis.</w:t>
      </w:r>
    </w:p>
    <w:p>
      <w:pPr>
        <w:spacing w:after="40"/>
        <w:ind w:left="317" w:hanging="259"/>
      </w:pPr>
      <w:r>
        <w:rPr>
          <w:b/>
        </w:rPr>
        <w:t xml:space="preserve">8. </w:t>
      </w:r>
      <w:r>
        <w:t>Prospecção de terrenos com filtros e ranking.</w:t>
      </w:r>
    </w:p>
    <w:p>
      <w:pPr>
        <w:spacing w:after="40"/>
        <w:ind w:left="317" w:hanging="259"/>
      </w:pPr>
      <w:r>
        <w:rPr>
          <w:b/>
        </w:rPr>
        <w:t xml:space="preserve">9. </w:t>
      </w:r>
      <w:r>
        <w:t>Backoffice de layers/services com publicação MVT e permissões.</w:t>
      </w:r>
    </w:p>
    <w:p>
      <w:pPr>
        <w:spacing w:after="40"/>
        <w:ind w:left="317" w:hanging="259"/>
      </w:pPr>
      <w:r>
        <w:rPr>
          <w:b/>
        </w:rPr>
        <w:t xml:space="preserve">10. </w:t>
      </w:r>
      <w:r>
        <w:t>Alertas, histórico temporal, compartilhamento e APIs B2B/B2G.</w:t>
      </w:r>
    </w:p>
    <w:p>
      <w:r>
        <w:br w:type="page"/>
      </w:r>
    </w:p>
    <w:p>
      <w:pPr>
        <w:pStyle w:val="Heading1"/>
      </w:pPr>
      <w:r>
        <w:t>25. RE Rural — inteligência cadastral, fundiária, ambiental e de crédito rural</w:t>
      </w:r>
    </w:p>
    <w:p>
      <w:pPr>
        <w:spacing w:after="60"/>
      </w:pPr>
      <w:r>
        <w:rPr>
          <w:b/>
        </w:rPr>
        <w:t xml:space="preserve">Definição. </w:t>
      </w:r>
      <w:r>
        <w:t>RE Rural é o módulo nacional do LoteDiretor para pesquisar, relacionar, mapear, monitorar e documentar imóveis rurais e suas múltiplas identidades oficiais. Ele consolida cadastros ambientais, fundiários, fiscais, restrições, sensoriamento remoto, crédito rural e documentos em um dossiê auditável, sem tratar fontes de naturezas jurídicas diferentes como se fossem um único registro.</w:t>
      </w:r>
    </w:p>
    <w:p>
      <w:pPr>
        <w:pStyle w:val="Small"/>
        <w:spacing w:before="80" w:after="120"/>
        <w:ind w:left="259" w:right="259"/>
      </w:pPr>
      <w:r>
        <w:rPr>
          <w:b/>
        </w:rPr>
        <w:t xml:space="preserve">Evidência funcional: </w:t>
      </w:r>
      <w:r>
        <w:t>esta especificação combina os arquivos fornecidos do produto de referência com verificação das páginas públicas e documentação disponível em 20/08/2026. Itens marcados como “observado” aparecem nos arquivos/páginas analisados; itens “planejados” eram apresentados como expansão/roadmap. A implementação do LoteDiretor deve usar nossas integrações e fontes oficiais, não depender da infraestrutura do produto de referência.</w:t>
      </w:r>
    </w:p>
    <w:p>
      <w:pPr>
        <w:pStyle w:val="Heading2"/>
      </w:pPr>
      <w:r>
        <w:t>25.1 O problema que o RE Rural resolve</w:t>
      </w:r>
    </w:p>
    <w:p>
      <w:pPr>
        <w:spacing w:after="30"/>
        <w:ind w:left="259" w:hanging="173"/>
      </w:pPr>
      <w:r>
        <w:t xml:space="preserve">• </w:t>
      </w:r>
      <w:r>
        <w:t>Um mesmo território pode ter número do CAR, código SNCR/INCRA, CCIR, parcela SIGEF, CIB/CAFIR, matrícula, NIRF legado, embargo, polígonos PRODES e operações de crédito SICOR — e esses identificadores não são equivalentes.</w:t>
      </w:r>
    </w:p>
    <w:p>
      <w:pPr>
        <w:spacing w:after="30"/>
        <w:ind w:left="259" w:hanging="173"/>
      </w:pPr>
      <w:r>
        <w:t xml:space="preserve">• </w:t>
      </w:r>
      <w:r>
        <w:t>O usuário precisa descobrir se os cadastros se referem ao mesmo imóvel físico, se as áreas/geometrias divergem, quem aparece como titular/cadastrante quando o acesso é permitido e quais restrições incidem sobre cada perímetro.</w:t>
      </w:r>
    </w:p>
    <w:p>
      <w:pPr>
        <w:spacing w:after="30"/>
        <w:ind w:left="259" w:hanging="173"/>
      </w:pPr>
      <w:r>
        <w:t xml:space="preserve">• </w:t>
      </w:r>
      <w:r>
        <w:t>O produto deve responder “o que sabemos”, “de qual fonte veio”, “quando foi consultado”, “qual geometria foi usada”, “qual é a natureza jurídica/cadastral do dado” e “qual conflito precisa de diligência”.</w:t>
      </w:r>
    </w:p>
    <w:p>
      <w:pPr>
        <w:spacing w:after="30"/>
        <w:ind w:left="259" w:hanging="173"/>
      </w:pPr>
      <w:r>
        <w:t xml:space="preserve">• </w:t>
      </w:r>
      <w:r>
        <w:t>O RE Rural deve atender crédito, compra/arrendamento, regularização, compliance socioambiental, produção rural, avaliação, perícia, advocacia, engenharia agronômica, georreferenciamento e gestão pública.</w:t>
      </w:r>
    </w:p>
    <w:p>
      <w:pPr>
        <w:pStyle w:val="Heading2"/>
      </w:pPr>
      <w:r>
        <w:t>25.2 Mapa funcional do RE Rural</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F6F6F6"/>
          </w:tcPr>
          <w:p>
            <w:pPr>
              <w:spacing w:after="0"/>
            </w:pPr>
            <w:r>
              <w:rPr>
                <w:rFonts w:ascii="Arial" w:hAnsi="Arial"/>
                <w:sz w:val="17"/>
              </w:rPr>
            </w:r>
            <w:r>
              <w:rPr>
                <w:rFonts w:ascii="Courier New" w:hAnsi="Courier New"/>
                <w:sz w:val="14"/>
              </w:rPr>
              <w:t>RE RURAL</w:t>
              <w:br/>
              <w:t>│</w:t>
              <w:br/>
              <w:t>├── Busca nacional / SERP</w:t>
              <w:br/>
              <w:t>│   ├── Imóveis: CAR / SNCR / SIGEF / CAFIR-CIB</w:t>
              <w:br/>
              <w:t>│   ├── Restrições: Embargos IBAMA</w:t>
              <w:br/>
              <w:t>│   ├── Camadas: PRODES e expansões territoriais</w:t>
              <w:br/>
              <w:t>│   └── Pessoas &amp; empresas vinculadas às fontes permitidas</w:t>
              <w:br/>
              <w:t>├── Mapa rural</w:t>
              <w:br/>
              <w:t>│   ├── satélite / base cartográfica</w:t>
              <w:br/>
              <w:t>│   ├── polígonos e vizinhança</w:t>
              <w:br/>
              <w:t>│   └── busca por coordenada / raio</w:t>
              <w:br/>
              <w:t>├── Ficha do cadastro / imóvel</w:t>
              <w:br/>
              <w:t>├── Análise de sobreposição</w:t>
              <w:br/>
              <w:t>├── KML / KMZ / documentos oficiais</w:t>
              <w:br/>
              <w:t>├── Relatórios PDF / dossiê</w:t>
              <w:br/>
              <w:t>├── Monitoramento de CAR e alertas</w:t>
              <w:br/>
              <w:t>├── Favoritos / Documentos / Atividade</w:t>
              <w:br/>
              <w:t>├── CRM: contatos + imóveis</w:t>
              <w:br/>
              <w:t>├── Workspaces / equipes / permissões</w:t>
              <w:br/>
              <w:t>└── API B2B / B2G + auditoria</w:t>
            </w:r>
          </w:p>
        </w:tc>
      </w:tr>
    </w:tbl>
    <w:p>
      <w:pPr>
        <w:spacing w:after="20"/>
      </w:pPr>
    </w:p>
    <w:p>
      <w:pPr>
        <w:pStyle w:val="Heading2"/>
      </w:pPr>
      <w:r>
        <w:t>25.3 Evidências observadas no material</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520"/>
            <w:shd w:fill="EDEDED"/>
            <w:vAlign w:val="center"/>
          </w:tcPr>
          <w:p>
            <w:pPr>
              <w:spacing w:after="0"/>
            </w:pPr>
            <w:r>
              <w:rPr>
                <w:rFonts w:ascii="Arial" w:hAnsi="Arial"/>
                <w:b/>
                <w:sz w:val="15"/>
              </w:rPr>
              <w:t>Evidência</w:t>
            </w:r>
          </w:p>
        </w:tc>
        <w:tc>
          <w:tcPr>
            <w:tcW w:type="dxa" w:w="6840"/>
            <w:shd w:fill="EDEDED"/>
            <w:vAlign w:val="center"/>
          </w:tcPr>
          <w:p>
            <w:pPr>
              <w:spacing w:after="0"/>
            </w:pPr>
            <w:r>
              <w:rPr>
                <w:rFonts w:ascii="Arial" w:hAnsi="Arial"/>
                <w:b/>
                <w:sz w:val="15"/>
              </w:rPr>
              <w:t>O que significa para o RE Rural</w:t>
            </w:r>
          </w:p>
        </w:tc>
      </w:tr>
      <w:tr>
        <w:trPr>
          <w:cantSplit/>
          <w:cantSplit/>
        </w:trPr>
        <w:tc>
          <w:tcPr>
            <w:tcW w:type="dxa" w:w="2520"/>
            <w:vAlign w:val="top"/>
          </w:tcPr>
          <w:p>
            <w:pPr>
              <w:spacing w:after="0"/>
            </w:pPr>
            <w:r>
              <w:rPr>
                <w:rFonts w:ascii="Arial" w:hAnsi="Arial"/>
                <w:sz w:val="15"/>
              </w:rPr>
              <w:t>Busca com 4 cadastros de imóveis</w:t>
            </w:r>
          </w:p>
        </w:tc>
        <w:tc>
          <w:tcPr>
            <w:tcW w:type="dxa" w:w="6840"/>
            <w:vAlign w:val="top"/>
          </w:tcPr>
          <w:p>
            <w:pPr>
              <w:spacing w:after="0"/>
            </w:pPr>
            <w:r>
              <w:rPr>
                <w:rFonts w:ascii="Arial" w:hAnsi="Arial"/>
                <w:sz w:val="15"/>
              </w:rPr>
              <w:t>CAR, INCRA/SNCR, SIGEF e CAFIR/NIRF-CIB compõem o núcleo cadastral observado.</w:t>
            </w:r>
          </w:p>
        </w:tc>
      </w:tr>
      <w:tr>
        <w:trPr>
          <w:cantSplit/>
          <w:cantSplit/>
        </w:trPr>
        <w:tc>
          <w:tcPr>
            <w:tcW w:type="dxa" w:w="2520"/>
            <w:vAlign w:val="top"/>
          </w:tcPr>
          <w:p>
            <w:pPr>
              <w:spacing w:after="0"/>
            </w:pPr>
            <w:r>
              <w:rPr>
                <w:rFonts w:ascii="Arial" w:hAnsi="Arial"/>
                <w:sz w:val="15"/>
              </w:rPr>
              <w:t>Embargos IBAMA</w:t>
            </w:r>
          </w:p>
        </w:tc>
        <w:tc>
          <w:tcPr>
            <w:tcW w:type="dxa" w:w="6840"/>
            <w:vAlign w:val="top"/>
          </w:tcPr>
          <w:p>
            <w:pPr>
              <w:spacing w:after="0"/>
            </w:pPr>
            <w:r>
              <w:rPr>
                <w:rFonts w:ascii="Arial" w:hAnsi="Arial"/>
                <w:sz w:val="15"/>
              </w:rPr>
              <w:t>restrição ambiental pesquisável e cruzada espacialmente com imóveis.</w:t>
            </w:r>
          </w:p>
        </w:tc>
      </w:tr>
      <w:tr>
        <w:trPr>
          <w:cantSplit/>
          <w:cantSplit/>
        </w:trPr>
        <w:tc>
          <w:tcPr>
            <w:tcW w:type="dxa" w:w="2520"/>
            <w:vAlign w:val="top"/>
          </w:tcPr>
          <w:p>
            <w:pPr>
              <w:spacing w:after="0"/>
            </w:pPr>
            <w:r>
              <w:rPr>
                <w:rFonts w:ascii="Arial" w:hAnsi="Arial"/>
                <w:sz w:val="15"/>
              </w:rPr>
              <w:t>PRODES</w:t>
            </w:r>
          </w:p>
        </w:tc>
        <w:tc>
          <w:tcPr>
            <w:tcW w:type="dxa" w:w="6840"/>
            <w:vAlign w:val="top"/>
          </w:tcPr>
          <w:p>
            <w:pPr>
              <w:spacing w:after="0"/>
            </w:pPr>
            <w:r>
              <w:rPr>
                <w:rFonts w:ascii="Arial" w:hAnsi="Arial"/>
                <w:sz w:val="15"/>
              </w:rPr>
              <w:t>camada territorial/sensoriamento remoto exposta na busca e no mapa.</w:t>
            </w:r>
          </w:p>
        </w:tc>
      </w:tr>
      <w:tr>
        <w:trPr>
          <w:cantSplit/>
          <w:cantSplit/>
        </w:trPr>
        <w:tc>
          <w:tcPr>
            <w:tcW w:type="dxa" w:w="2520"/>
            <w:vAlign w:val="top"/>
          </w:tcPr>
          <w:p>
            <w:pPr>
              <w:spacing w:after="0"/>
            </w:pPr>
            <w:r>
              <w:rPr>
                <w:rFonts w:ascii="Arial" w:hAnsi="Arial"/>
                <w:sz w:val="15"/>
              </w:rPr>
              <w:t>Pessoas &amp; empresas</w:t>
            </w:r>
          </w:p>
        </w:tc>
        <w:tc>
          <w:tcPr>
            <w:tcW w:type="dxa" w:w="6840"/>
            <w:vAlign w:val="top"/>
          </w:tcPr>
          <w:p>
            <w:pPr>
              <w:spacing w:after="0"/>
            </w:pPr>
            <w:r>
              <w:rPr>
                <w:rFonts w:ascii="Arial" w:hAnsi="Arial"/>
                <w:sz w:val="15"/>
              </w:rPr>
              <w:t>índice de entidades físicas/jurídicas derivadas das bases quando permitido.</w:t>
            </w:r>
          </w:p>
        </w:tc>
      </w:tr>
      <w:tr>
        <w:trPr>
          <w:cantSplit/>
          <w:cantSplit/>
        </w:trPr>
        <w:tc>
          <w:tcPr>
            <w:tcW w:type="dxa" w:w="2520"/>
            <w:vAlign w:val="top"/>
          </w:tcPr>
          <w:p>
            <w:pPr>
              <w:spacing w:after="0"/>
            </w:pPr>
            <w:r>
              <w:rPr>
                <w:rFonts w:ascii="Arial" w:hAnsi="Arial"/>
                <w:sz w:val="15"/>
              </w:rPr>
              <w:t>Mapa + satélite</w:t>
            </w:r>
          </w:p>
        </w:tc>
        <w:tc>
          <w:tcPr>
            <w:tcW w:type="dxa" w:w="6840"/>
            <w:vAlign w:val="top"/>
          </w:tcPr>
          <w:p>
            <w:pPr>
              <w:spacing w:after="0"/>
            </w:pPr>
            <w:r>
              <w:rPr>
                <w:rFonts w:ascii="Arial" w:hAnsi="Arial"/>
                <w:sz w:val="15"/>
              </w:rPr>
              <w:t>visualização espacial, ações de mapa e consulta por coordenada.</w:t>
            </w:r>
          </w:p>
        </w:tc>
      </w:tr>
      <w:tr>
        <w:trPr>
          <w:cantSplit/>
          <w:cantSplit/>
        </w:trPr>
        <w:tc>
          <w:tcPr>
            <w:tcW w:type="dxa" w:w="2520"/>
            <w:vAlign w:val="top"/>
          </w:tcPr>
          <w:p>
            <w:pPr>
              <w:spacing w:after="0"/>
            </w:pPr>
            <w:r>
              <w:rPr>
                <w:rFonts w:ascii="Arial" w:hAnsi="Arial"/>
                <w:sz w:val="15"/>
              </w:rPr>
              <w:t>Relatórios PDF</w:t>
            </w:r>
          </w:p>
        </w:tc>
        <w:tc>
          <w:tcPr>
            <w:tcW w:type="dxa" w:w="6840"/>
            <w:vAlign w:val="top"/>
          </w:tcPr>
          <w:p>
            <w:pPr>
              <w:spacing w:after="0"/>
            </w:pPr>
            <w:r>
              <w:rPr>
                <w:rFonts w:ascii="Arial" w:hAnsi="Arial"/>
                <w:sz w:val="15"/>
              </w:rPr>
              <w:t>CAR completo, CAR por CPF/CNPJ, INCRA completo e INCRA por CPF/CNPJ.</w:t>
            </w:r>
          </w:p>
        </w:tc>
      </w:tr>
      <w:tr>
        <w:trPr>
          <w:cantSplit/>
          <w:cantSplit/>
        </w:trPr>
        <w:tc>
          <w:tcPr>
            <w:tcW w:type="dxa" w:w="2520"/>
            <w:vAlign w:val="top"/>
          </w:tcPr>
          <w:p>
            <w:pPr>
              <w:spacing w:after="0"/>
            </w:pPr>
            <w:r>
              <w:rPr>
                <w:rFonts w:ascii="Arial" w:hAnsi="Arial"/>
                <w:sz w:val="15"/>
              </w:rPr>
              <w:t>Análise de sobreposição</w:t>
            </w:r>
          </w:p>
        </w:tc>
        <w:tc>
          <w:tcPr>
            <w:tcW w:type="dxa" w:w="6840"/>
            <w:vAlign w:val="top"/>
          </w:tcPr>
          <w:p>
            <w:pPr>
              <w:spacing w:after="0"/>
            </w:pPr>
            <w:r>
              <w:rPr>
                <w:rFonts w:ascii="Arial" w:hAnsi="Arial"/>
                <w:sz w:val="15"/>
              </w:rPr>
              <w:t>comparação de polígonos com área comum, percentuais e classificação do relacionamento.</w:t>
            </w:r>
          </w:p>
        </w:tc>
      </w:tr>
      <w:tr>
        <w:trPr>
          <w:cantSplit/>
          <w:cantSplit/>
        </w:trPr>
        <w:tc>
          <w:tcPr>
            <w:tcW w:type="dxa" w:w="2520"/>
            <w:vAlign w:val="top"/>
          </w:tcPr>
          <w:p>
            <w:pPr>
              <w:spacing w:after="0"/>
            </w:pPr>
            <w:r>
              <w:rPr>
                <w:rFonts w:ascii="Arial" w:hAnsi="Arial"/>
                <w:sz w:val="15"/>
              </w:rPr>
              <w:t>KML/KMZ</w:t>
            </w:r>
          </w:p>
        </w:tc>
        <w:tc>
          <w:tcPr>
            <w:tcW w:type="dxa" w:w="6840"/>
            <w:vAlign w:val="top"/>
          </w:tcPr>
          <w:p>
            <w:pPr>
              <w:spacing w:after="0"/>
            </w:pPr>
            <w:r>
              <w:rPr>
                <w:rFonts w:ascii="Arial" w:hAnsi="Arial"/>
                <w:sz w:val="15"/>
              </w:rPr>
              <w:t>exportação para Google Earth, QGIS, ArcGIS e AutoCAD; CAR inclui Reserva Legal separada.</w:t>
            </w:r>
          </w:p>
        </w:tc>
      </w:tr>
      <w:tr>
        <w:trPr>
          <w:cantSplit/>
          <w:cantSplit/>
        </w:trPr>
        <w:tc>
          <w:tcPr>
            <w:tcW w:type="dxa" w:w="2520"/>
            <w:vAlign w:val="top"/>
          </w:tcPr>
          <w:p>
            <w:pPr>
              <w:spacing w:after="0"/>
            </w:pPr>
            <w:r>
              <w:rPr>
                <w:rFonts w:ascii="Arial" w:hAnsi="Arial"/>
                <w:sz w:val="15"/>
              </w:rPr>
              <w:t>Monitoramento de CAR</w:t>
            </w:r>
          </w:p>
        </w:tc>
        <w:tc>
          <w:tcPr>
            <w:tcW w:type="dxa" w:w="6840"/>
            <w:vAlign w:val="top"/>
          </w:tcPr>
          <w:p>
            <w:pPr>
              <w:spacing w:after="0"/>
            </w:pPr>
            <w:r>
              <w:rPr>
                <w:rFonts w:ascii="Arial" w:hAnsi="Arial"/>
                <w:sz w:val="15"/>
              </w:rPr>
              <w:t>alerta quando o SICAR registra mudança nos dados do CAR.</w:t>
            </w:r>
          </w:p>
        </w:tc>
      </w:tr>
      <w:tr>
        <w:trPr>
          <w:cantSplit/>
          <w:cantSplit/>
        </w:trPr>
        <w:tc>
          <w:tcPr>
            <w:tcW w:type="dxa" w:w="2520"/>
            <w:vAlign w:val="top"/>
          </w:tcPr>
          <w:p>
            <w:pPr>
              <w:spacing w:after="0"/>
            </w:pPr>
            <w:r>
              <w:rPr>
                <w:rFonts w:ascii="Arial" w:hAnsi="Arial"/>
                <w:sz w:val="15"/>
              </w:rPr>
              <w:t>Painel operacional</w:t>
            </w:r>
          </w:p>
        </w:tc>
        <w:tc>
          <w:tcPr>
            <w:tcW w:type="dxa" w:w="6840"/>
            <w:vAlign w:val="top"/>
          </w:tcPr>
          <w:p>
            <w:pPr>
              <w:spacing w:after="0"/>
            </w:pPr>
            <w:r>
              <w:rPr>
                <w:rFonts w:ascii="Arial" w:hAnsi="Arial"/>
                <w:sz w:val="15"/>
              </w:rPr>
              <w:t>favoritos, documentos, CRM, monitoramentos, relatórios, atividade, notificações, workspace e créditos.</w:t>
            </w:r>
          </w:p>
        </w:tc>
      </w:tr>
      <w:tr>
        <w:trPr>
          <w:cantSplit/>
          <w:cantSplit/>
        </w:trPr>
        <w:tc>
          <w:tcPr>
            <w:tcW w:type="dxa" w:w="2520"/>
            <w:vAlign w:val="top"/>
          </w:tcPr>
          <w:p>
            <w:pPr>
              <w:spacing w:after="0"/>
            </w:pPr>
            <w:r>
              <w:rPr>
                <w:rFonts w:ascii="Arial" w:hAnsi="Arial"/>
                <w:sz w:val="15"/>
              </w:rPr>
              <w:t>API para empresas</w:t>
            </w:r>
          </w:p>
        </w:tc>
        <w:tc>
          <w:tcPr>
            <w:tcW w:type="dxa" w:w="6840"/>
            <w:vAlign w:val="top"/>
          </w:tcPr>
          <w:p>
            <w:pPr>
              <w:spacing w:after="0"/>
            </w:pPr>
            <w:r>
              <w:rPr>
                <w:rFonts w:ascii="Arial" w:hAnsi="Arial"/>
                <w:sz w:val="15"/>
              </w:rPr>
              <w:t>integração B2B citada para fluxo de crédito/compliance.</w:t>
            </w:r>
          </w:p>
        </w:tc>
      </w:tr>
      <w:tr>
        <w:trPr>
          <w:cantSplit/>
          <w:cantSplit/>
        </w:trPr>
        <w:tc>
          <w:tcPr>
            <w:tcW w:type="dxa" w:w="2520"/>
            <w:vAlign w:val="top"/>
          </w:tcPr>
          <w:p>
            <w:pPr>
              <w:spacing w:after="0"/>
            </w:pPr>
            <w:r>
              <w:rPr>
                <w:rFonts w:ascii="Arial" w:hAnsi="Arial"/>
                <w:sz w:val="15"/>
              </w:rPr>
              <w:t>SICOR/Bacen</w:t>
            </w:r>
          </w:p>
        </w:tc>
        <w:tc>
          <w:tcPr>
            <w:tcW w:type="dxa" w:w="6840"/>
            <w:vAlign w:val="top"/>
          </w:tcPr>
          <w:p>
            <w:pPr>
              <w:spacing w:after="0"/>
            </w:pPr>
            <w:r>
              <w:rPr>
                <w:rFonts w:ascii="Arial" w:hAnsi="Arial"/>
                <w:sz w:val="15"/>
              </w:rPr>
              <w:t>fonte declarada na página pública de fontes; deve entrar como módulo de crédito rural no nosso source_registry.</w:t>
            </w:r>
          </w:p>
        </w:tc>
      </w:tr>
    </w:tbl>
    <w:p>
      <w:pPr>
        <w:spacing w:after="20"/>
      </w:pPr>
    </w:p>
    <w:p>
      <w:pPr>
        <w:pStyle w:val="Heading2"/>
      </w:pPr>
      <w:r>
        <w:t>25.4 Busca nacional e filtros avançados</w:t>
      </w:r>
    </w:p>
    <w:p>
      <w:pPr>
        <w:spacing w:after="60"/>
      </w:pPr>
      <w:r>
        <w:t>A experiência observada usa uma SERP unificada e filtros por fonte, localização, coordenada e área. No RE Rural, a busca deve funcionar tanto por texto/documento quanto por geometria.</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376"/>
            <w:shd w:fill="EDEDED"/>
            <w:vAlign w:val="center"/>
          </w:tcPr>
          <w:p>
            <w:pPr>
              <w:spacing w:after="0"/>
            </w:pPr>
            <w:r>
              <w:rPr>
                <w:rFonts w:ascii="Arial" w:hAnsi="Arial"/>
                <w:b/>
                <w:sz w:val="14"/>
              </w:rPr>
              <w:t>Filtro</w:t>
            </w:r>
          </w:p>
        </w:tc>
        <w:tc>
          <w:tcPr>
            <w:tcW w:type="dxa" w:w="6984"/>
            <w:shd w:fill="EDEDED"/>
            <w:vAlign w:val="center"/>
          </w:tcPr>
          <w:p>
            <w:pPr>
              <w:spacing w:after="0"/>
            </w:pPr>
            <w:r>
              <w:rPr>
                <w:rFonts w:ascii="Arial" w:hAnsi="Arial"/>
                <w:b/>
                <w:sz w:val="14"/>
              </w:rPr>
              <w:t>Comportamento especificado</w:t>
            </w:r>
          </w:p>
        </w:tc>
      </w:tr>
      <w:tr>
        <w:trPr>
          <w:cantSplit/>
          <w:cantSplit/>
        </w:trPr>
        <w:tc>
          <w:tcPr>
            <w:tcW w:type="dxa" w:w="2376"/>
            <w:vAlign w:val="top"/>
          </w:tcPr>
          <w:p>
            <w:pPr>
              <w:spacing w:after="0"/>
            </w:pPr>
            <w:r>
              <w:rPr>
                <w:rFonts w:ascii="Arial" w:hAnsi="Arial"/>
                <w:sz w:val="14"/>
              </w:rPr>
              <w:t>Texto livre</w:t>
            </w:r>
          </w:p>
        </w:tc>
        <w:tc>
          <w:tcPr>
            <w:tcW w:type="dxa" w:w="6984"/>
            <w:vAlign w:val="top"/>
          </w:tcPr>
          <w:p>
            <w:pPr>
              <w:spacing w:after="0"/>
            </w:pPr>
            <w:r>
              <w:rPr>
                <w:rFonts w:ascii="Arial" w:hAnsi="Arial"/>
                <w:sz w:val="14"/>
              </w:rPr>
              <w:t>estado, município, nome/razão social, CPF/CNPJ quando autorizado, código do imóvel, número de cadastro e identificadores de embargo.</w:t>
            </w:r>
          </w:p>
        </w:tc>
      </w:tr>
      <w:tr>
        <w:trPr>
          <w:cantSplit/>
          <w:cantSplit/>
        </w:trPr>
        <w:tc>
          <w:tcPr>
            <w:tcW w:type="dxa" w:w="2376"/>
            <w:vAlign w:val="top"/>
          </w:tcPr>
          <w:p>
            <w:pPr>
              <w:spacing w:after="0"/>
            </w:pPr>
            <w:r>
              <w:rPr>
                <w:rFonts w:ascii="Arial" w:hAnsi="Arial"/>
                <w:sz w:val="14"/>
              </w:rPr>
              <w:t>Estado / município</w:t>
            </w:r>
          </w:p>
        </w:tc>
        <w:tc>
          <w:tcPr>
            <w:tcW w:type="dxa" w:w="6984"/>
            <w:vAlign w:val="top"/>
          </w:tcPr>
          <w:p>
            <w:pPr>
              <w:spacing w:after="0"/>
            </w:pPr>
            <w:r>
              <w:rPr>
                <w:rFonts w:ascii="Arial" w:hAnsi="Arial"/>
                <w:sz w:val="14"/>
              </w:rPr>
              <w:t>todas as UFs; município dependente do estado selecionado.</w:t>
            </w:r>
          </w:p>
        </w:tc>
      </w:tr>
      <w:tr>
        <w:trPr>
          <w:cantSplit/>
          <w:cantSplit/>
        </w:trPr>
        <w:tc>
          <w:tcPr>
            <w:tcW w:type="dxa" w:w="2376"/>
            <w:vAlign w:val="top"/>
          </w:tcPr>
          <w:p>
            <w:pPr>
              <w:spacing w:after="0"/>
            </w:pPr>
            <w:r>
              <w:rPr>
                <w:rFonts w:ascii="Arial" w:hAnsi="Arial"/>
                <w:sz w:val="14"/>
              </w:rPr>
              <w:t>Coordenada decimal</w:t>
            </w:r>
          </w:p>
        </w:tc>
        <w:tc>
          <w:tcPr>
            <w:tcW w:type="dxa" w:w="6984"/>
            <w:vAlign w:val="top"/>
          </w:tcPr>
          <w:p>
            <w:pPr>
              <w:spacing w:after="0"/>
            </w:pPr>
            <w:r>
              <w:rPr>
                <w:rFonts w:ascii="Arial" w:hAnsi="Arial"/>
                <w:sz w:val="14"/>
              </w:rPr>
              <w:t>latitude/longitude.</w:t>
            </w:r>
          </w:p>
        </w:tc>
      </w:tr>
      <w:tr>
        <w:trPr>
          <w:cantSplit/>
          <w:cantSplit/>
        </w:trPr>
        <w:tc>
          <w:tcPr>
            <w:tcW w:type="dxa" w:w="2376"/>
            <w:vAlign w:val="top"/>
          </w:tcPr>
          <w:p>
            <w:pPr>
              <w:spacing w:after="0"/>
            </w:pPr>
            <w:r>
              <w:rPr>
                <w:rFonts w:ascii="Arial" w:hAnsi="Arial"/>
                <w:sz w:val="14"/>
              </w:rPr>
              <w:t>GMS</w:t>
            </w:r>
          </w:p>
        </w:tc>
        <w:tc>
          <w:tcPr>
            <w:tcW w:type="dxa" w:w="6984"/>
            <w:vAlign w:val="top"/>
          </w:tcPr>
          <w:p>
            <w:pPr>
              <w:spacing w:after="0"/>
            </w:pPr>
            <w:r>
              <w:rPr>
                <w:rFonts w:ascii="Arial" w:hAnsi="Arial"/>
                <w:sz w:val="14"/>
              </w:rPr>
              <w:t>graus, minutos, segundos e hemisfério.</w:t>
            </w:r>
          </w:p>
        </w:tc>
      </w:tr>
      <w:tr>
        <w:trPr>
          <w:cantSplit/>
          <w:cantSplit/>
        </w:trPr>
        <w:tc>
          <w:tcPr>
            <w:tcW w:type="dxa" w:w="2376"/>
            <w:vAlign w:val="top"/>
          </w:tcPr>
          <w:p>
            <w:pPr>
              <w:spacing w:after="0"/>
            </w:pPr>
            <w:r>
              <w:rPr>
                <w:rFonts w:ascii="Arial" w:hAnsi="Arial"/>
                <w:sz w:val="14"/>
              </w:rPr>
              <w:t>UTM</w:t>
            </w:r>
          </w:p>
        </w:tc>
        <w:tc>
          <w:tcPr>
            <w:tcW w:type="dxa" w:w="6984"/>
            <w:vAlign w:val="top"/>
          </w:tcPr>
          <w:p>
            <w:pPr>
              <w:spacing w:after="0"/>
            </w:pPr>
            <w:r>
              <w:rPr>
                <w:rFonts w:ascii="Arial" w:hAnsi="Arial"/>
                <w:sz w:val="14"/>
              </w:rPr>
              <w:t>zona, hemisfério, Easting e Northing.</w:t>
            </w:r>
          </w:p>
        </w:tc>
      </w:tr>
      <w:tr>
        <w:trPr>
          <w:cantSplit/>
          <w:cantSplit/>
        </w:trPr>
        <w:tc>
          <w:tcPr>
            <w:tcW w:type="dxa" w:w="2376"/>
            <w:vAlign w:val="top"/>
          </w:tcPr>
          <w:p>
            <w:pPr>
              <w:spacing w:after="0"/>
            </w:pPr>
            <w:r>
              <w:rPr>
                <w:rFonts w:ascii="Arial" w:hAnsi="Arial"/>
                <w:sz w:val="14"/>
              </w:rPr>
              <w:t>Raio</w:t>
            </w:r>
          </w:p>
        </w:tc>
        <w:tc>
          <w:tcPr>
            <w:tcW w:type="dxa" w:w="6984"/>
            <w:vAlign w:val="top"/>
          </w:tcPr>
          <w:p>
            <w:pPr>
              <w:spacing w:after="0"/>
            </w:pPr>
            <w:r>
              <w:rPr>
                <w:rFonts w:ascii="Arial" w:hAnsi="Arial"/>
                <w:sz w:val="14"/>
              </w:rPr>
              <w:t>ponto exato, ≤5 km, ≤25 km e ≤100 km observados; arquitetura deve aceitar raio customizado.</w:t>
            </w:r>
          </w:p>
        </w:tc>
      </w:tr>
      <w:tr>
        <w:trPr>
          <w:cantSplit/>
          <w:cantSplit/>
        </w:trPr>
        <w:tc>
          <w:tcPr>
            <w:tcW w:type="dxa" w:w="2376"/>
            <w:vAlign w:val="top"/>
          </w:tcPr>
          <w:p>
            <w:pPr>
              <w:spacing w:after="0"/>
            </w:pPr>
            <w:r>
              <w:rPr>
                <w:rFonts w:ascii="Arial" w:hAnsi="Arial"/>
                <w:sz w:val="14"/>
              </w:rPr>
              <w:t>Área</w:t>
            </w:r>
          </w:p>
        </w:tc>
        <w:tc>
          <w:tcPr>
            <w:tcW w:type="dxa" w:w="6984"/>
            <w:vAlign w:val="top"/>
          </w:tcPr>
          <w:p>
            <w:pPr>
              <w:spacing w:after="0"/>
            </w:pPr>
            <w:r>
              <w:rPr>
                <w:rFonts w:ascii="Arial" w:hAnsi="Arial"/>
                <w:sz w:val="14"/>
              </w:rPr>
              <w:t>todos; pequeno &lt;50 ha; médio 50–500 ha; grande 500+ ha; faixa personalizada.</w:t>
            </w:r>
          </w:p>
        </w:tc>
      </w:tr>
      <w:tr>
        <w:trPr>
          <w:cantSplit/>
          <w:cantSplit/>
        </w:trPr>
        <w:tc>
          <w:tcPr>
            <w:tcW w:type="dxa" w:w="2376"/>
            <w:vAlign w:val="top"/>
          </w:tcPr>
          <w:p>
            <w:pPr>
              <w:spacing w:after="0"/>
            </w:pPr>
            <w:r>
              <w:rPr>
                <w:rFonts w:ascii="Arial" w:hAnsi="Arial"/>
                <w:sz w:val="14"/>
              </w:rPr>
              <w:t>Fontes</w:t>
            </w:r>
          </w:p>
        </w:tc>
        <w:tc>
          <w:tcPr>
            <w:tcW w:type="dxa" w:w="6984"/>
            <w:vAlign w:val="top"/>
          </w:tcPr>
          <w:p>
            <w:pPr>
              <w:spacing w:after="0"/>
            </w:pPr>
            <w:r>
              <w:rPr>
                <w:rFonts w:ascii="Arial" w:hAnsi="Arial"/>
                <w:sz w:val="14"/>
              </w:rPr>
              <w:t>CAR, SIGEF, CAFIR/CIB, INCRA/SNCR, Embargos IBAMA e PRODES.</w:t>
            </w:r>
          </w:p>
        </w:tc>
      </w:tr>
      <w:tr>
        <w:trPr>
          <w:cantSplit/>
          <w:cantSplit/>
        </w:trPr>
        <w:tc>
          <w:tcPr>
            <w:tcW w:type="dxa" w:w="2376"/>
            <w:vAlign w:val="top"/>
          </w:tcPr>
          <w:p>
            <w:pPr>
              <w:spacing w:after="0"/>
            </w:pPr>
            <w:r>
              <w:rPr>
                <w:rFonts w:ascii="Arial" w:hAnsi="Arial"/>
                <w:sz w:val="14"/>
              </w:rPr>
              <w:t>Tipo de entidade</w:t>
            </w:r>
          </w:p>
        </w:tc>
        <w:tc>
          <w:tcPr>
            <w:tcW w:type="dxa" w:w="6984"/>
            <w:vAlign w:val="top"/>
          </w:tcPr>
          <w:p>
            <w:pPr>
              <w:spacing w:after="0"/>
            </w:pPr>
            <w:r>
              <w:rPr>
                <w:rFonts w:ascii="Arial" w:hAnsi="Arial"/>
                <w:sz w:val="14"/>
              </w:rPr>
              <w:t>imóveis, restrições ambientais, camadas territoriais, pessoa física e pessoa jurídica.</w:t>
            </w:r>
          </w:p>
        </w:tc>
      </w:tr>
      <w:tr>
        <w:trPr>
          <w:cantSplit/>
          <w:cantSplit/>
        </w:trPr>
        <w:tc>
          <w:tcPr>
            <w:tcW w:type="dxa" w:w="2376"/>
            <w:vAlign w:val="top"/>
          </w:tcPr>
          <w:p>
            <w:pPr>
              <w:spacing w:after="0"/>
            </w:pPr>
            <w:r>
              <w:rPr>
                <w:rFonts w:ascii="Arial" w:hAnsi="Arial"/>
                <w:sz w:val="14"/>
              </w:rPr>
              <w:t>Ordenação</w:t>
            </w:r>
          </w:p>
        </w:tc>
        <w:tc>
          <w:tcPr>
            <w:tcW w:type="dxa" w:w="6984"/>
            <w:vAlign w:val="top"/>
          </w:tcPr>
          <w:p>
            <w:pPr>
              <w:spacing w:after="0"/>
            </w:pPr>
            <w:r>
              <w:rPr>
                <w:rFonts w:ascii="Arial" w:hAnsi="Arial"/>
                <w:sz w:val="14"/>
              </w:rPr>
              <w:t>relevância, maior área, menor área; extensível para atualização, distância e risco.</w:t>
            </w:r>
          </w:p>
        </w:tc>
      </w:tr>
    </w:tbl>
    <w:p>
      <w:pPr>
        <w:spacing w:after="20"/>
      </w:pPr>
    </w:p>
    <w:p>
      <w:pPr>
        <w:spacing w:after="30"/>
        <w:ind w:left="259" w:hanging="173"/>
      </w:pPr>
      <w:r>
        <w:t xml:space="preserve">• </w:t>
      </w:r>
      <w:r>
        <w:t>A API deve oferecer busca textual indexada (OpenSearch/PostgreSQL FTS), filtros estruturados e filtros espaciais no PostGIS; resultados devem retornar source_id, source_key, score, geometria resumida, município/UF e status de acesso aos campos sensíveis.</w:t>
      </w:r>
    </w:p>
    <w:p>
      <w:pPr>
        <w:pStyle w:val="Heading2"/>
      </w:pPr>
      <w:r>
        <w:t>25.5 Grafo de identidade rural — regra central</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F6F6F6"/>
          </w:tcPr>
          <w:p>
            <w:pPr>
              <w:spacing w:after="0"/>
            </w:pPr>
            <w:r>
              <w:rPr>
                <w:rFonts w:ascii="Arial" w:hAnsi="Arial"/>
                <w:sz w:val="17"/>
              </w:rPr>
            </w:r>
            <w:r>
              <w:rPr>
                <w:rFonts w:ascii="Courier New" w:hAnsi="Courier New"/>
                <w:sz w:val="14"/>
              </w:rPr>
              <w:t>TERRITÓRIO FÍSICO / GEOMETRIA</w:t>
              <w:br/>
              <w:t xml:space="preserve">        │</w:t>
              <w:br/>
              <w:t xml:space="preserve">        ├── CAR / SICAR ─────── ambiental, declaratório</w:t>
              <w:br/>
              <w:t xml:space="preserve">        ├── SNCR / INCRA ───── cadastral-fundiário</w:t>
              <w:br/>
              <w:t xml:space="preserve">        │      └── CCIR ────── certificado cadastral anual</w:t>
              <w:br/>
              <w:t xml:space="preserve">        ├── SIGEF ──────────── certificação do georreferenciamento</w:t>
              <w:br/>
              <w:t xml:space="preserve">        ├── CAFIR / CIB ────── fiscal / cadastro Receita Federal</w:t>
              <w:br/>
              <w:t xml:space="preserve">        ├── MATRÍCULA ──────── registro imobiliário / domínio e ônus</w:t>
              <w:br/>
              <w:t xml:space="preserve">        ├── EMBARGO IBAMA ──── restrição administrativa espacial</w:t>
              <w:br/>
              <w:t xml:space="preserve">        ├── PRODES ─────────── sensoriamento / classe temporal</w:t>
              <w:br/>
              <w:t xml:space="preserve">        └── SICOR ──────────── operação de crédito rural / gleba</w:t>
              <w:br/>
              <w:br/>
              <w:t>RE RURAL = RELACIONAR + MEDIR CONVERGÊNCIA/DIVERGÊNCIA + PRESERVAR A FONTE</w:t>
            </w:r>
          </w:p>
        </w:tc>
      </w:tr>
    </w:tbl>
    <w:p>
      <w:pPr>
        <w:spacing w:after="20"/>
      </w:pP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1944"/>
            <w:shd w:fill="EDEDED"/>
            <w:vAlign w:val="center"/>
          </w:tcPr>
          <w:p>
            <w:pPr>
              <w:spacing w:after="0"/>
            </w:pPr>
            <w:r>
              <w:rPr>
                <w:rFonts w:ascii="Arial" w:hAnsi="Arial"/>
                <w:b/>
                <w:sz w:val="15"/>
              </w:rPr>
              <w:t>Objeto</w:t>
            </w:r>
          </w:p>
        </w:tc>
        <w:tc>
          <w:tcPr>
            <w:tcW w:type="dxa" w:w="7416"/>
            <w:shd w:fill="EDEDED"/>
            <w:vAlign w:val="center"/>
          </w:tcPr>
          <w:p>
            <w:pPr>
              <w:spacing w:after="0"/>
            </w:pPr>
            <w:r>
              <w:rPr>
                <w:rFonts w:ascii="Arial" w:hAnsi="Arial"/>
                <w:b/>
                <w:sz w:val="15"/>
              </w:rPr>
              <w:t>O que NÃO devemos inferir automaticamente</w:t>
            </w:r>
          </w:p>
        </w:tc>
      </w:tr>
      <w:tr>
        <w:trPr>
          <w:cantSplit/>
          <w:cantSplit/>
        </w:trPr>
        <w:tc>
          <w:tcPr>
            <w:tcW w:type="dxa" w:w="1944"/>
            <w:vAlign w:val="top"/>
          </w:tcPr>
          <w:p>
            <w:pPr>
              <w:spacing w:after="0"/>
            </w:pPr>
            <w:r>
              <w:rPr>
                <w:rFonts w:ascii="Arial" w:hAnsi="Arial"/>
                <w:sz w:val="15"/>
              </w:rPr>
              <w:t>CAR</w:t>
            </w:r>
          </w:p>
        </w:tc>
        <w:tc>
          <w:tcPr>
            <w:tcW w:type="dxa" w:w="7416"/>
            <w:vAlign w:val="top"/>
          </w:tcPr>
          <w:p>
            <w:pPr>
              <w:spacing w:after="0"/>
            </w:pPr>
            <w:r>
              <w:rPr>
                <w:rFonts w:ascii="Arial" w:hAnsi="Arial"/>
                <w:sz w:val="15"/>
              </w:rPr>
              <w:t>não prova domínio, posse ou regularidade ambiental definitiva; é registro ambiental de natureza declaratória.</w:t>
            </w:r>
          </w:p>
        </w:tc>
      </w:tr>
      <w:tr>
        <w:trPr>
          <w:cantSplit/>
          <w:cantSplit/>
        </w:trPr>
        <w:tc>
          <w:tcPr>
            <w:tcW w:type="dxa" w:w="1944"/>
            <w:vAlign w:val="top"/>
          </w:tcPr>
          <w:p>
            <w:pPr>
              <w:spacing w:after="0"/>
            </w:pPr>
            <w:r>
              <w:rPr>
                <w:rFonts w:ascii="Arial" w:hAnsi="Arial"/>
                <w:sz w:val="15"/>
              </w:rPr>
              <w:t>SNCR/CCIR</w:t>
            </w:r>
          </w:p>
        </w:tc>
        <w:tc>
          <w:tcPr>
            <w:tcW w:type="dxa" w:w="7416"/>
            <w:vAlign w:val="top"/>
          </w:tcPr>
          <w:p>
            <w:pPr>
              <w:spacing w:after="0"/>
            </w:pPr>
            <w:r>
              <w:rPr>
                <w:rFonts w:ascii="Arial" w:hAnsi="Arial"/>
                <w:sz w:val="15"/>
              </w:rPr>
              <w:t>não substitui matrícula nem prova domínio; comprova situação cadastral junto ao Incra.</w:t>
            </w:r>
          </w:p>
        </w:tc>
      </w:tr>
      <w:tr>
        <w:trPr>
          <w:cantSplit/>
          <w:cantSplit/>
        </w:trPr>
        <w:tc>
          <w:tcPr>
            <w:tcW w:type="dxa" w:w="1944"/>
            <w:vAlign w:val="top"/>
          </w:tcPr>
          <w:p>
            <w:pPr>
              <w:spacing w:after="0"/>
            </w:pPr>
            <w:r>
              <w:rPr>
                <w:rFonts w:ascii="Arial" w:hAnsi="Arial"/>
                <w:sz w:val="15"/>
              </w:rPr>
              <w:t>SIGEF</w:t>
            </w:r>
          </w:p>
        </w:tc>
        <w:tc>
          <w:tcPr>
            <w:tcW w:type="dxa" w:w="7416"/>
            <w:vAlign w:val="top"/>
          </w:tcPr>
          <w:p>
            <w:pPr>
              <w:spacing w:after="0"/>
            </w:pPr>
            <w:r>
              <w:rPr>
                <w:rFonts w:ascii="Arial" w:hAnsi="Arial"/>
                <w:sz w:val="15"/>
              </w:rPr>
              <w:t>certificação geográfica não é, isoladamente, prova de titularidade.</w:t>
            </w:r>
          </w:p>
        </w:tc>
      </w:tr>
      <w:tr>
        <w:trPr>
          <w:cantSplit/>
          <w:cantSplit/>
        </w:trPr>
        <w:tc>
          <w:tcPr>
            <w:tcW w:type="dxa" w:w="1944"/>
            <w:vAlign w:val="top"/>
          </w:tcPr>
          <w:p>
            <w:pPr>
              <w:spacing w:after="0"/>
            </w:pPr>
            <w:r>
              <w:rPr>
                <w:rFonts w:ascii="Arial" w:hAnsi="Arial"/>
                <w:sz w:val="15"/>
              </w:rPr>
              <w:t>CAFIR/CIB</w:t>
            </w:r>
          </w:p>
        </w:tc>
        <w:tc>
          <w:tcPr>
            <w:tcW w:type="dxa" w:w="7416"/>
            <w:vAlign w:val="top"/>
          </w:tcPr>
          <w:p>
            <w:pPr>
              <w:spacing w:after="0"/>
            </w:pPr>
            <w:r>
              <w:rPr>
                <w:rFonts w:ascii="Arial" w:hAnsi="Arial"/>
                <w:sz w:val="15"/>
              </w:rPr>
              <w:t>cadastro fiscal/identificador não substitui registro imobiliário.</w:t>
            </w:r>
          </w:p>
        </w:tc>
      </w:tr>
      <w:tr>
        <w:trPr>
          <w:cantSplit/>
          <w:cantSplit/>
        </w:trPr>
        <w:tc>
          <w:tcPr>
            <w:tcW w:type="dxa" w:w="1944"/>
            <w:vAlign w:val="top"/>
          </w:tcPr>
          <w:p>
            <w:pPr>
              <w:spacing w:after="0"/>
            </w:pPr>
            <w:r>
              <w:rPr>
                <w:rFonts w:ascii="Arial" w:hAnsi="Arial"/>
                <w:sz w:val="15"/>
              </w:rPr>
              <w:t>Matrícula</w:t>
            </w:r>
          </w:p>
        </w:tc>
        <w:tc>
          <w:tcPr>
            <w:tcW w:type="dxa" w:w="7416"/>
            <w:vAlign w:val="top"/>
          </w:tcPr>
          <w:p>
            <w:pPr>
              <w:spacing w:after="0"/>
            </w:pPr>
            <w:r>
              <w:rPr>
                <w:rFonts w:ascii="Arial" w:hAnsi="Arial"/>
                <w:sz w:val="15"/>
              </w:rPr>
              <w:t>é referência registral; acesso e conteúdo dependem dos serviços registrais e permissões aplicáveis.</w:t>
            </w:r>
          </w:p>
        </w:tc>
      </w:tr>
      <w:tr>
        <w:trPr>
          <w:cantSplit/>
          <w:cantSplit/>
        </w:trPr>
        <w:tc>
          <w:tcPr>
            <w:tcW w:type="dxa" w:w="1944"/>
            <w:vAlign w:val="top"/>
          </w:tcPr>
          <w:p>
            <w:pPr>
              <w:spacing w:after="0"/>
            </w:pPr>
            <w:r>
              <w:rPr>
                <w:rFonts w:ascii="Arial" w:hAnsi="Arial"/>
                <w:sz w:val="15"/>
              </w:rPr>
              <w:t>Embargo</w:t>
            </w:r>
          </w:p>
        </w:tc>
        <w:tc>
          <w:tcPr>
            <w:tcW w:type="dxa" w:w="7416"/>
            <w:vAlign w:val="top"/>
          </w:tcPr>
          <w:p>
            <w:pPr>
              <w:spacing w:after="0"/>
            </w:pPr>
            <w:r>
              <w:rPr>
                <w:rFonts w:ascii="Arial" w:hAnsi="Arial"/>
                <w:sz w:val="15"/>
              </w:rPr>
              <w:t>indica ato/restrição administrativa; deve preservar número, situação, data, área e fonte oficial.</w:t>
            </w:r>
          </w:p>
        </w:tc>
      </w:tr>
      <w:tr>
        <w:trPr>
          <w:cantSplit/>
          <w:cantSplit/>
        </w:trPr>
        <w:tc>
          <w:tcPr>
            <w:tcW w:type="dxa" w:w="1944"/>
            <w:vAlign w:val="top"/>
          </w:tcPr>
          <w:p>
            <w:pPr>
              <w:spacing w:after="0"/>
            </w:pPr>
            <w:r>
              <w:rPr>
                <w:rFonts w:ascii="Arial" w:hAnsi="Arial"/>
                <w:sz w:val="15"/>
              </w:rPr>
              <w:t>PRODES</w:t>
            </w:r>
          </w:p>
        </w:tc>
        <w:tc>
          <w:tcPr>
            <w:tcW w:type="dxa" w:w="7416"/>
            <w:vAlign w:val="top"/>
          </w:tcPr>
          <w:p>
            <w:pPr>
              <w:spacing w:after="0"/>
            </w:pPr>
            <w:r>
              <w:rPr>
                <w:rFonts w:ascii="Arial" w:hAnsi="Arial"/>
                <w:sz w:val="15"/>
              </w:rPr>
              <w:t>é classificação de monitoramento por sensoriamento remoto; não é auto de infração nem embargo.</w:t>
            </w:r>
          </w:p>
        </w:tc>
      </w:tr>
      <w:tr>
        <w:trPr>
          <w:cantSplit/>
          <w:cantSplit/>
        </w:trPr>
        <w:tc>
          <w:tcPr>
            <w:tcW w:type="dxa" w:w="1944"/>
            <w:vAlign w:val="top"/>
          </w:tcPr>
          <w:p>
            <w:pPr>
              <w:spacing w:after="0"/>
            </w:pPr>
            <w:r>
              <w:rPr>
                <w:rFonts w:ascii="Arial" w:hAnsi="Arial"/>
                <w:sz w:val="15"/>
              </w:rPr>
              <w:t>SICOR</w:t>
            </w:r>
          </w:p>
        </w:tc>
        <w:tc>
          <w:tcPr>
            <w:tcW w:type="dxa" w:w="7416"/>
            <w:vAlign w:val="top"/>
          </w:tcPr>
          <w:p>
            <w:pPr>
              <w:spacing w:after="0"/>
            </w:pPr>
            <w:r>
              <w:rPr>
                <w:rFonts w:ascii="Arial" w:hAnsi="Arial"/>
                <w:sz w:val="15"/>
              </w:rPr>
              <w:t>é operação registrada de crédito; não deve ser usado como prova de propriedade da gleba.</w:t>
            </w:r>
          </w:p>
        </w:tc>
      </w:tr>
    </w:tbl>
    <w:p>
      <w:pPr>
        <w:spacing w:after="20"/>
      </w:pPr>
    </w:p>
    <w:p>
      <w:pPr>
        <w:pStyle w:val="Heading2"/>
      </w:pPr>
      <w:r>
        <w:t>25.6 Catálogo de fontes — ativo, observado e planejado</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2520"/>
            <w:shd w:fill="EDEDED"/>
            <w:vAlign w:val="center"/>
          </w:tcPr>
          <w:p>
            <w:pPr>
              <w:spacing w:after="0"/>
            </w:pPr>
            <w:r>
              <w:rPr>
                <w:rFonts w:ascii="Arial" w:hAnsi="Arial"/>
                <w:b/>
                <w:sz w:val="13"/>
              </w:rPr>
              <w:t>Fonte/camada</w:t>
            </w:r>
          </w:p>
        </w:tc>
        <w:tc>
          <w:tcPr>
            <w:tcW w:type="dxa" w:w="2448"/>
            <w:shd w:fill="EDEDED"/>
            <w:vAlign w:val="center"/>
          </w:tcPr>
          <w:p>
            <w:pPr>
              <w:spacing w:after="0"/>
            </w:pPr>
            <w:r>
              <w:rPr>
                <w:rFonts w:ascii="Arial" w:hAnsi="Arial"/>
                <w:b/>
                <w:sz w:val="13"/>
              </w:rPr>
              <w:t>Status no material analisado</w:t>
            </w:r>
          </w:p>
        </w:tc>
        <w:tc>
          <w:tcPr>
            <w:tcW w:type="dxa" w:w="4392"/>
            <w:shd w:fill="EDEDED"/>
            <w:vAlign w:val="center"/>
          </w:tcPr>
          <w:p>
            <w:pPr>
              <w:spacing w:after="0"/>
            </w:pPr>
            <w:r>
              <w:rPr>
                <w:rFonts w:ascii="Arial" w:hAnsi="Arial"/>
                <w:b/>
                <w:sz w:val="13"/>
              </w:rPr>
              <w:t>Papel no RE Rural</w:t>
            </w:r>
          </w:p>
        </w:tc>
      </w:tr>
      <w:tr>
        <w:trPr>
          <w:cantSplit/>
          <w:cantSplit/>
        </w:trPr>
        <w:tc>
          <w:tcPr>
            <w:tcW w:type="dxa" w:w="2520"/>
            <w:vAlign w:val="top"/>
          </w:tcPr>
          <w:p>
            <w:pPr>
              <w:spacing w:after="0"/>
            </w:pPr>
            <w:r>
              <w:rPr>
                <w:rFonts w:ascii="Arial" w:hAnsi="Arial"/>
                <w:sz w:val="13"/>
              </w:rPr>
              <w:t>CAR / SICAR</w:t>
            </w:r>
          </w:p>
        </w:tc>
        <w:tc>
          <w:tcPr>
            <w:tcW w:type="dxa" w:w="2448"/>
            <w:vAlign w:val="top"/>
          </w:tcPr>
          <w:p>
            <w:pPr>
              <w:spacing w:after="0"/>
            </w:pPr>
            <w:r>
              <w:rPr>
                <w:rFonts w:ascii="Arial" w:hAnsi="Arial"/>
                <w:sz w:val="13"/>
              </w:rPr>
              <w:t>ativo observado</w:t>
            </w:r>
          </w:p>
        </w:tc>
        <w:tc>
          <w:tcPr>
            <w:tcW w:type="dxa" w:w="4392"/>
            <w:vAlign w:val="top"/>
          </w:tcPr>
          <w:p>
            <w:pPr>
              <w:spacing w:after="0"/>
            </w:pPr>
            <w:r>
              <w:rPr>
                <w:rFonts w:ascii="Arial" w:hAnsi="Arial"/>
                <w:sz w:val="13"/>
              </w:rPr>
              <w:t>perímetro, situação, áreas ambientais, Reserva Legal, APP, uso consolidado, recibo/demonstrativo quando permitido.</w:t>
            </w:r>
          </w:p>
        </w:tc>
      </w:tr>
      <w:tr>
        <w:trPr>
          <w:cantSplit/>
          <w:cantSplit/>
        </w:trPr>
        <w:tc>
          <w:tcPr>
            <w:tcW w:type="dxa" w:w="2520"/>
            <w:vAlign w:val="top"/>
          </w:tcPr>
          <w:p>
            <w:pPr>
              <w:spacing w:after="0"/>
            </w:pPr>
            <w:r>
              <w:rPr>
                <w:rFonts w:ascii="Arial" w:hAnsi="Arial"/>
                <w:sz w:val="13"/>
              </w:rPr>
              <w:t>INCRA / SNCR</w:t>
            </w:r>
          </w:p>
        </w:tc>
        <w:tc>
          <w:tcPr>
            <w:tcW w:type="dxa" w:w="2448"/>
            <w:vAlign w:val="top"/>
          </w:tcPr>
          <w:p>
            <w:pPr>
              <w:spacing w:after="0"/>
            </w:pPr>
            <w:r>
              <w:rPr>
                <w:rFonts w:ascii="Arial" w:hAnsi="Arial"/>
                <w:sz w:val="13"/>
              </w:rPr>
              <w:t>ativo observado</w:t>
            </w:r>
          </w:p>
        </w:tc>
        <w:tc>
          <w:tcPr>
            <w:tcW w:type="dxa" w:w="4392"/>
            <w:vAlign w:val="top"/>
          </w:tcPr>
          <w:p>
            <w:pPr>
              <w:spacing w:after="0"/>
            </w:pPr>
            <w:r>
              <w:rPr>
                <w:rFonts w:ascii="Arial" w:hAnsi="Arial"/>
                <w:sz w:val="13"/>
              </w:rPr>
              <w:t>imóvel cadastral, titulares quando autorizado, áreas, módulos, classificação e CCIR.</w:t>
            </w:r>
          </w:p>
        </w:tc>
      </w:tr>
      <w:tr>
        <w:trPr>
          <w:cantSplit/>
          <w:cantSplit/>
        </w:trPr>
        <w:tc>
          <w:tcPr>
            <w:tcW w:type="dxa" w:w="2520"/>
            <w:vAlign w:val="top"/>
          </w:tcPr>
          <w:p>
            <w:pPr>
              <w:spacing w:after="0"/>
            </w:pPr>
            <w:r>
              <w:rPr>
                <w:rFonts w:ascii="Arial" w:hAnsi="Arial"/>
                <w:sz w:val="13"/>
              </w:rPr>
              <w:t>SIGEF</w:t>
            </w:r>
          </w:p>
        </w:tc>
        <w:tc>
          <w:tcPr>
            <w:tcW w:type="dxa" w:w="2448"/>
            <w:vAlign w:val="top"/>
          </w:tcPr>
          <w:p>
            <w:pPr>
              <w:spacing w:after="0"/>
            </w:pPr>
            <w:r>
              <w:rPr>
                <w:rFonts w:ascii="Arial" w:hAnsi="Arial"/>
                <w:sz w:val="13"/>
              </w:rPr>
              <w:t>ativo observado</w:t>
            </w:r>
          </w:p>
        </w:tc>
        <w:tc>
          <w:tcPr>
            <w:tcW w:type="dxa" w:w="4392"/>
            <w:vAlign w:val="top"/>
          </w:tcPr>
          <w:p>
            <w:pPr>
              <w:spacing w:after="0"/>
            </w:pPr>
            <w:r>
              <w:rPr>
                <w:rFonts w:ascii="Arial" w:hAnsi="Arial"/>
                <w:sz w:val="13"/>
              </w:rPr>
              <w:t>parcelas certificadas, geometria, situação, data de entrada, responsável técnico/documento quando disponível.</w:t>
            </w:r>
          </w:p>
        </w:tc>
      </w:tr>
      <w:tr>
        <w:trPr>
          <w:cantSplit/>
          <w:cantSplit/>
        </w:trPr>
        <w:tc>
          <w:tcPr>
            <w:tcW w:type="dxa" w:w="2520"/>
            <w:vAlign w:val="top"/>
          </w:tcPr>
          <w:p>
            <w:pPr>
              <w:spacing w:after="0"/>
            </w:pPr>
            <w:r>
              <w:rPr>
                <w:rFonts w:ascii="Arial" w:hAnsi="Arial"/>
                <w:sz w:val="13"/>
              </w:rPr>
              <w:t>Receita Federal / CAFIR / CIB (NIRF legado)</w:t>
            </w:r>
          </w:p>
        </w:tc>
        <w:tc>
          <w:tcPr>
            <w:tcW w:type="dxa" w:w="2448"/>
            <w:vAlign w:val="top"/>
          </w:tcPr>
          <w:p>
            <w:pPr>
              <w:spacing w:after="0"/>
            </w:pPr>
            <w:r>
              <w:rPr>
                <w:rFonts w:ascii="Arial" w:hAnsi="Arial"/>
                <w:sz w:val="13"/>
              </w:rPr>
              <w:t>ativo observado</w:t>
            </w:r>
          </w:p>
        </w:tc>
        <w:tc>
          <w:tcPr>
            <w:tcW w:type="dxa" w:w="4392"/>
            <w:vAlign w:val="top"/>
          </w:tcPr>
          <w:p>
            <w:pPr>
              <w:spacing w:after="0"/>
            </w:pPr>
            <w:r>
              <w:rPr>
                <w:rFonts w:ascii="Arial" w:hAnsi="Arial"/>
                <w:sz w:val="13"/>
              </w:rPr>
              <w:t>identificador fiscal, situação cadastral, vínculos autorizados e integração CNIR/SINTER.</w:t>
            </w:r>
          </w:p>
        </w:tc>
      </w:tr>
      <w:tr>
        <w:trPr>
          <w:cantSplit/>
          <w:cantSplit/>
        </w:trPr>
        <w:tc>
          <w:tcPr>
            <w:tcW w:type="dxa" w:w="2520"/>
            <w:vAlign w:val="top"/>
          </w:tcPr>
          <w:p>
            <w:pPr>
              <w:spacing w:after="0"/>
            </w:pPr>
            <w:r>
              <w:rPr>
                <w:rFonts w:ascii="Arial" w:hAnsi="Arial"/>
                <w:sz w:val="13"/>
              </w:rPr>
              <w:t>Embargos IBAMA</w:t>
            </w:r>
          </w:p>
        </w:tc>
        <w:tc>
          <w:tcPr>
            <w:tcW w:type="dxa" w:w="2448"/>
            <w:vAlign w:val="top"/>
          </w:tcPr>
          <w:p>
            <w:pPr>
              <w:spacing w:after="0"/>
            </w:pPr>
            <w:r>
              <w:rPr>
                <w:rFonts w:ascii="Arial" w:hAnsi="Arial"/>
                <w:sz w:val="13"/>
              </w:rPr>
              <w:t>ativo observado</w:t>
            </w:r>
          </w:p>
        </w:tc>
        <w:tc>
          <w:tcPr>
            <w:tcW w:type="dxa" w:w="4392"/>
            <w:vAlign w:val="top"/>
          </w:tcPr>
          <w:p>
            <w:pPr>
              <w:spacing w:after="0"/>
            </w:pPr>
            <w:r>
              <w:rPr>
                <w:rFonts w:ascii="Arial" w:hAnsi="Arial"/>
                <w:sz w:val="13"/>
              </w:rPr>
              <w:t>área embargada, auto/termo, infração, autuado quando permitido, data, município e geometria.</w:t>
            </w:r>
          </w:p>
        </w:tc>
      </w:tr>
      <w:tr>
        <w:trPr>
          <w:cantSplit/>
          <w:cantSplit/>
        </w:trPr>
        <w:tc>
          <w:tcPr>
            <w:tcW w:type="dxa" w:w="2520"/>
            <w:vAlign w:val="top"/>
          </w:tcPr>
          <w:p>
            <w:pPr>
              <w:spacing w:after="0"/>
            </w:pPr>
            <w:r>
              <w:rPr>
                <w:rFonts w:ascii="Arial" w:hAnsi="Arial"/>
                <w:sz w:val="13"/>
              </w:rPr>
              <w:t>PRODES / INPE</w:t>
            </w:r>
          </w:p>
        </w:tc>
        <w:tc>
          <w:tcPr>
            <w:tcW w:type="dxa" w:w="2448"/>
            <w:vAlign w:val="top"/>
          </w:tcPr>
          <w:p>
            <w:pPr>
              <w:spacing w:after="0"/>
            </w:pPr>
            <w:r>
              <w:rPr>
                <w:rFonts w:ascii="Arial" w:hAnsi="Arial"/>
                <w:sz w:val="13"/>
              </w:rPr>
              <w:t>ativo observado</w:t>
            </w:r>
          </w:p>
        </w:tc>
        <w:tc>
          <w:tcPr>
            <w:tcW w:type="dxa" w:w="4392"/>
            <w:vAlign w:val="top"/>
          </w:tcPr>
          <w:p>
            <w:pPr>
              <w:spacing w:after="0"/>
            </w:pPr>
            <w:r>
              <w:rPr>
                <w:rFonts w:ascii="Arial" w:hAnsi="Arial"/>
                <w:sz w:val="13"/>
              </w:rPr>
              <w:t>polígonos/classes temporais de supressão/monitoramento e camadas auxiliares do TerraBrasilis.</w:t>
            </w:r>
          </w:p>
        </w:tc>
      </w:tr>
      <w:tr>
        <w:trPr>
          <w:cantSplit/>
          <w:cantSplit/>
        </w:trPr>
        <w:tc>
          <w:tcPr>
            <w:tcW w:type="dxa" w:w="2520"/>
            <w:vAlign w:val="top"/>
          </w:tcPr>
          <w:p>
            <w:pPr>
              <w:spacing w:after="0"/>
            </w:pPr>
            <w:r>
              <w:rPr>
                <w:rFonts w:ascii="Arial" w:hAnsi="Arial"/>
                <w:sz w:val="13"/>
              </w:rPr>
              <w:t>SICOR / Banco Central</w:t>
            </w:r>
          </w:p>
        </w:tc>
        <w:tc>
          <w:tcPr>
            <w:tcW w:type="dxa" w:w="2448"/>
            <w:vAlign w:val="top"/>
          </w:tcPr>
          <w:p>
            <w:pPr>
              <w:spacing w:after="0"/>
            </w:pPr>
            <w:r>
              <w:rPr>
                <w:rFonts w:ascii="Arial" w:hAnsi="Arial"/>
                <w:sz w:val="13"/>
              </w:rPr>
              <w:t>fonte declarada na página pública</w:t>
            </w:r>
          </w:p>
        </w:tc>
        <w:tc>
          <w:tcPr>
            <w:tcW w:type="dxa" w:w="4392"/>
            <w:vAlign w:val="top"/>
          </w:tcPr>
          <w:p>
            <w:pPr>
              <w:spacing w:after="0"/>
            </w:pPr>
            <w:r>
              <w:rPr>
                <w:rFonts w:ascii="Arial" w:hAnsi="Arial"/>
                <w:sz w:val="13"/>
              </w:rPr>
              <w:t>operações de crédito rural, Proagro, município/atividade e glebas WKT nos subconjuntos públicos.</w:t>
            </w:r>
          </w:p>
        </w:tc>
      </w:tr>
      <w:tr>
        <w:trPr>
          <w:cantSplit/>
          <w:cantSplit/>
        </w:trPr>
        <w:tc>
          <w:tcPr>
            <w:tcW w:type="dxa" w:w="2520"/>
            <w:vAlign w:val="top"/>
          </w:tcPr>
          <w:p>
            <w:pPr>
              <w:spacing w:after="0"/>
            </w:pPr>
            <w:r>
              <w:rPr>
                <w:rFonts w:ascii="Arial" w:hAnsi="Arial"/>
                <w:sz w:val="13"/>
              </w:rPr>
              <w:t>Terras Indígenas / FUNAI</w:t>
            </w:r>
          </w:p>
        </w:tc>
        <w:tc>
          <w:tcPr>
            <w:tcW w:type="dxa" w:w="2448"/>
            <w:vAlign w:val="top"/>
          </w:tcPr>
          <w:p>
            <w:pPr>
              <w:spacing w:after="0"/>
            </w:pPr>
            <w:r>
              <w:rPr>
                <w:rFonts w:ascii="Arial" w:hAnsi="Arial"/>
                <w:sz w:val="13"/>
              </w:rPr>
              <w:t>expansão anunciada</w:t>
            </w:r>
          </w:p>
        </w:tc>
        <w:tc>
          <w:tcPr>
            <w:tcW w:type="dxa" w:w="4392"/>
            <w:vAlign w:val="top"/>
          </w:tcPr>
          <w:p>
            <w:pPr>
              <w:spacing w:after="0"/>
            </w:pPr>
            <w:r>
              <w:rPr>
                <w:rFonts w:ascii="Arial" w:hAnsi="Arial"/>
                <w:sz w:val="13"/>
              </w:rPr>
              <w:t>limites, fase administrativa, portarias e áreas em estudo.</w:t>
            </w:r>
          </w:p>
        </w:tc>
      </w:tr>
      <w:tr>
        <w:trPr>
          <w:cantSplit/>
          <w:cantSplit/>
        </w:trPr>
        <w:tc>
          <w:tcPr>
            <w:tcW w:type="dxa" w:w="2520"/>
            <w:vAlign w:val="top"/>
          </w:tcPr>
          <w:p>
            <w:pPr>
              <w:spacing w:after="0"/>
            </w:pPr>
            <w:r>
              <w:rPr>
                <w:rFonts w:ascii="Arial" w:hAnsi="Arial"/>
                <w:sz w:val="13"/>
              </w:rPr>
              <w:t>Unidades de Conservação / CNUC</w:t>
            </w:r>
          </w:p>
        </w:tc>
        <w:tc>
          <w:tcPr>
            <w:tcW w:type="dxa" w:w="2448"/>
            <w:vAlign w:val="top"/>
          </w:tcPr>
          <w:p>
            <w:pPr>
              <w:spacing w:after="0"/>
            </w:pPr>
            <w:r>
              <w:rPr>
                <w:rFonts w:ascii="Arial" w:hAnsi="Arial"/>
                <w:sz w:val="13"/>
              </w:rPr>
              <w:t>expansão anunciada</w:t>
            </w:r>
          </w:p>
        </w:tc>
        <w:tc>
          <w:tcPr>
            <w:tcW w:type="dxa" w:w="4392"/>
            <w:vAlign w:val="top"/>
          </w:tcPr>
          <w:p>
            <w:pPr>
              <w:spacing w:after="0"/>
            </w:pPr>
            <w:r>
              <w:rPr>
                <w:rFonts w:ascii="Arial" w:hAnsi="Arial"/>
                <w:sz w:val="13"/>
              </w:rPr>
              <w:t>UCs federais/estaduais/municipais/privadas, categoria, esfera e limite.</w:t>
            </w:r>
          </w:p>
        </w:tc>
      </w:tr>
      <w:tr>
        <w:trPr>
          <w:cantSplit/>
          <w:cantSplit/>
        </w:trPr>
        <w:tc>
          <w:tcPr>
            <w:tcW w:type="dxa" w:w="2520"/>
            <w:vAlign w:val="top"/>
          </w:tcPr>
          <w:p>
            <w:pPr>
              <w:spacing w:after="0"/>
            </w:pPr>
            <w:r>
              <w:rPr>
                <w:rFonts w:ascii="Arial" w:hAnsi="Arial"/>
                <w:sz w:val="13"/>
              </w:rPr>
              <w:t>Territórios Quilombolas / INCRA</w:t>
            </w:r>
          </w:p>
        </w:tc>
        <w:tc>
          <w:tcPr>
            <w:tcW w:type="dxa" w:w="2448"/>
            <w:vAlign w:val="top"/>
          </w:tcPr>
          <w:p>
            <w:pPr>
              <w:spacing w:after="0"/>
            </w:pPr>
            <w:r>
              <w:rPr>
                <w:rFonts w:ascii="Arial" w:hAnsi="Arial"/>
                <w:sz w:val="13"/>
              </w:rPr>
              <w:t>expansão anunciada</w:t>
            </w:r>
          </w:p>
        </w:tc>
        <w:tc>
          <w:tcPr>
            <w:tcW w:type="dxa" w:w="4392"/>
            <w:vAlign w:val="top"/>
          </w:tcPr>
          <w:p>
            <w:pPr>
              <w:spacing w:after="0"/>
            </w:pPr>
            <w:r>
              <w:rPr>
                <w:rFonts w:ascii="Arial" w:hAnsi="Arial"/>
                <w:sz w:val="13"/>
              </w:rPr>
              <w:t>territórios e situação fundiária; cruzamento com imóveis e crédito/compliance.</w:t>
            </w:r>
          </w:p>
        </w:tc>
      </w:tr>
      <w:tr>
        <w:trPr>
          <w:cantSplit/>
          <w:cantSplit/>
        </w:trPr>
        <w:tc>
          <w:tcPr>
            <w:tcW w:type="dxa" w:w="2520"/>
            <w:vAlign w:val="top"/>
          </w:tcPr>
          <w:p>
            <w:pPr>
              <w:spacing w:after="0"/>
            </w:pPr>
            <w:r>
              <w:rPr>
                <w:rFonts w:ascii="Arial" w:hAnsi="Arial"/>
                <w:sz w:val="13"/>
              </w:rPr>
              <w:t>Biomas e limites oficiais</w:t>
            </w:r>
          </w:p>
        </w:tc>
        <w:tc>
          <w:tcPr>
            <w:tcW w:type="dxa" w:w="2448"/>
            <w:vAlign w:val="top"/>
          </w:tcPr>
          <w:p>
            <w:pPr>
              <w:spacing w:after="0"/>
            </w:pPr>
            <w:r>
              <w:rPr>
                <w:rFonts w:ascii="Arial" w:hAnsi="Arial"/>
                <w:sz w:val="13"/>
              </w:rPr>
              <w:t>mencionado como expansão/contexto</w:t>
            </w:r>
          </w:p>
        </w:tc>
        <w:tc>
          <w:tcPr>
            <w:tcW w:type="dxa" w:w="4392"/>
            <w:vAlign w:val="top"/>
          </w:tcPr>
          <w:p>
            <w:pPr>
              <w:spacing w:after="0"/>
            </w:pPr>
            <w:r>
              <w:rPr>
                <w:rFonts w:ascii="Arial" w:hAnsi="Arial"/>
                <w:sz w:val="13"/>
              </w:rPr>
              <w:t>contexto ecológico/territorial, preferindo IBGE/MMA/INPE conforme camada.</w:t>
            </w:r>
          </w:p>
        </w:tc>
      </w:tr>
    </w:tbl>
    <w:p>
      <w:pPr>
        <w:spacing w:after="20"/>
      </w:pPr>
    </w:p>
    <w:p>
      <w:pPr>
        <w:pStyle w:val="Heading2"/>
      </w:pPr>
      <w:r>
        <w:t>25.7 Como obter e manter cada fonte oficial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1872"/>
            <w:shd w:fill="EDEDED"/>
            <w:vAlign w:val="center"/>
          </w:tcPr>
          <w:p>
            <w:pPr>
              <w:spacing w:after="0"/>
            </w:pPr>
            <w:r>
              <w:rPr>
                <w:rFonts w:ascii="Arial" w:hAnsi="Arial"/>
                <w:b/>
                <w:sz w:val="12"/>
              </w:rPr>
              <w:t>Fonte oficial</w:t>
            </w:r>
          </w:p>
        </w:tc>
        <w:tc>
          <w:tcPr>
            <w:tcW w:type="dxa" w:w="2880"/>
            <w:shd w:fill="EDEDED"/>
            <w:vAlign w:val="center"/>
          </w:tcPr>
          <w:p>
            <w:pPr>
              <w:spacing w:after="0"/>
            </w:pPr>
            <w:r>
              <w:rPr>
                <w:rFonts w:ascii="Arial" w:hAnsi="Arial"/>
                <w:b/>
                <w:sz w:val="12"/>
              </w:rPr>
              <w:t>Canal/método recomendado</w:t>
            </w:r>
          </w:p>
        </w:tc>
        <w:tc>
          <w:tcPr>
            <w:tcW w:type="dxa" w:w="2592"/>
            <w:shd w:fill="EDEDED"/>
            <w:vAlign w:val="center"/>
          </w:tcPr>
          <w:p>
            <w:pPr>
              <w:spacing w:after="0"/>
            </w:pPr>
            <w:r>
              <w:rPr>
                <w:rFonts w:ascii="Arial" w:hAnsi="Arial"/>
                <w:b/>
                <w:sz w:val="12"/>
              </w:rPr>
              <w:t>ETL e atualização</w:t>
            </w:r>
          </w:p>
        </w:tc>
        <w:tc>
          <w:tcPr>
            <w:tcW w:type="dxa" w:w="2232"/>
            <w:shd w:fill="EDEDED"/>
            <w:vAlign w:val="center"/>
          </w:tcPr>
          <w:p>
            <w:pPr>
              <w:spacing w:after="0"/>
            </w:pPr>
            <w:r>
              <w:rPr>
                <w:rFonts w:ascii="Arial" w:hAnsi="Arial"/>
                <w:b/>
                <w:sz w:val="12"/>
              </w:rPr>
              <w:t>Cuidados</w:t>
            </w:r>
          </w:p>
        </w:tc>
      </w:tr>
      <w:tr>
        <w:trPr>
          <w:cantSplit/>
          <w:cantSplit/>
        </w:trPr>
        <w:tc>
          <w:tcPr>
            <w:tcW w:type="dxa" w:w="1872"/>
            <w:vAlign w:val="top"/>
          </w:tcPr>
          <w:p>
            <w:pPr>
              <w:spacing w:after="0"/>
            </w:pPr>
            <w:r>
              <w:rPr>
                <w:rFonts w:ascii="Arial" w:hAnsi="Arial"/>
                <w:sz w:val="12"/>
              </w:rPr>
              <w:t>SICAR / CAR</w:t>
            </w:r>
          </w:p>
        </w:tc>
        <w:tc>
          <w:tcPr>
            <w:tcW w:type="dxa" w:w="2880"/>
            <w:vAlign w:val="top"/>
          </w:tcPr>
          <w:p>
            <w:pPr>
              <w:spacing w:after="0"/>
            </w:pPr>
            <w:r>
              <w:rPr>
                <w:rFonts w:ascii="Arial" w:hAnsi="Arial"/>
                <w:sz w:val="12"/>
              </w:rPr>
              <w:t>SICAR/SFB + consultas públicas/geoportais estaduais; Meu Imóvel Rural para dados do próprio usuário autenticado.</w:t>
            </w:r>
          </w:p>
        </w:tc>
        <w:tc>
          <w:tcPr>
            <w:tcW w:type="dxa" w:w="2592"/>
            <w:vAlign w:val="top"/>
          </w:tcPr>
          <w:p>
            <w:pPr>
              <w:spacing w:after="0"/>
            </w:pPr>
            <w:r>
              <w:rPr>
                <w:rFonts w:ascii="Arial" w:hAnsi="Arial"/>
                <w:sz w:val="12"/>
              </w:rPr>
              <w:t>conectores por UF; snapshots de demonstrativo e geometria; hash/versionamento por CAR.</w:t>
            </w:r>
          </w:p>
        </w:tc>
        <w:tc>
          <w:tcPr>
            <w:tcW w:type="dxa" w:w="2232"/>
            <w:vAlign w:val="top"/>
          </w:tcPr>
          <w:p>
            <w:pPr>
              <w:spacing w:after="0"/>
            </w:pPr>
            <w:r>
              <w:rPr>
                <w:rFonts w:ascii="Arial" w:hAnsi="Arial"/>
                <w:sz w:val="12"/>
              </w:rPr>
              <w:t>CAR é descentralizado por UF; separar dado público de dado autenticado e respeitar acesso a dados pessoais.</w:t>
            </w:r>
          </w:p>
        </w:tc>
      </w:tr>
      <w:tr>
        <w:trPr>
          <w:cantSplit/>
          <w:cantSplit/>
        </w:trPr>
        <w:tc>
          <w:tcPr>
            <w:tcW w:type="dxa" w:w="1872"/>
            <w:vAlign w:val="top"/>
          </w:tcPr>
          <w:p>
            <w:pPr>
              <w:spacing w:after="0"/>
            </w:pPr>
            <w:r>
              <w:rPr>
                <w:rFonts w:ascii="Arial" w:hAnsi="Arial"/>
                <w:sz w:val="12"/>
              </w:rPr>
              <w:t>SNCR / CCIR</w:t>
            </w:r>
          </w:p>
        </w:tc>
        <w:tc>
          <w:tcPr>
            <w:tcW w:type="dxa" w:w="2880"/>
            <w:vAlign w:val="top"/>
          </w:tcPr>
          <w:p>
            <w:pPr>
              <w:spacing w:after="0"/>
            </w:pPr>
            <w:r>
              <w:rPr>
                <w:rFonts w:ascii="Arial" w:hAnsi="Arial"/>
                <w:sz w:val="12"/>
              </w:rPr>
              <w:t>INCRA, serviços SNCR/CCIR e Meu Imóvel Rural; integrações autorizadas.</w:t>
            </w:r>
          </w:p>
        </w:tc>
        <w:tc>
          <w:tcPr>
            <w:tcW w:type="dxa" w:w="2592"/>
            <w:vAlign w:val="top"/>
          </w:tcPr>
          <w:p>
            <w:pPr>
              <w:spacing w:after="0"/>
            </w:pPr>
            <w:r>
              <w:rPr>
                <w:rFonts w:ascii="Arial" w:hAnsi="Arial"/>
                <w:sz w:val="12"/>
              </w:rPr>
              <w:t>capturar código, áreas, classificação, módulos e versão do CCIR; guardar ano/exercício.</w:t>
            </w:r>
          </w:p>
        </w:tc>
        <w:tc>
          <w:tcPr>
            <w:tcW w:type="dxa" w:w="2232"/>
            <w:vAlign w:val="top"/>
          </w:tcPr>
          <w:p>
            <w:pPr>
              <w:spacing w:after="0"/>
            </w:pPr>
            <w:r>
              <w:rPr>
                <w:rFonts w:ascii="Arial" w:hAnsi="Arial"/>
                <w:sz w:val="12"/>
              </w:rPr>
              <w:t>dados cadastrais não equivalem a domínio; alguns campos exigem autenticação/finalidade legítima.</w:t>
            </w:r>
          </w:p>
        </w:tc>
      </w:tr>
      <w:tr>
        <w:trPr>
          <w:cantSplit/>
          <w:cantSplit/>
        </w:trPr>
        <w:tc>
          <w:tcPr>
            <w:tcW w:type="dxa" w:w="1872"/>
            <w:vAlign w:val="top"/>
          </w:tcPr>
          <w:p>
            <w:pPr>
              <w:spacing w:after="0"/>
            </w:pPr>
            <w:r>
              <w:rPr>
                <w:rFonts w:ascii="Arial" w:hAnsi="Arial"/>
                <w:sz w:val="12"/>
              </w:rPr>
              <w:t>SIGEF</w:t>
            </w:r>
          </w:p>
        </w:tc>
        <w:tc>
          <w:tcPr>
            <w:tcW w:type="dxa" w:w="2880"/>
            <w:vAlign w:val="top"/>
          </w:tcPr>
          <w:p>
            <w:pPr>
              <w:spacing w:after="0"/>
            </w:pPr>
            <w:r>
              <w:rPr>
                <w:rFonts w:ascii="Arial" w:hAnsi="Arial"/>
                <w:sz w:val="12"/>
              </w:rPr>
              <w:t>consulta oficial de parcelas certificadas; Acervo Fundiário/serviços geoespaciais do INCRA.</w:t>
            </w:r>
          </w:p>
        </w:tc>
        <w:tc>
          <w:tcPr>
            <w:tcW w:type="dxa" w:w="2592"/>
            <w:vAlign w:val="top"/>
          </w:tcPr>
          <w:p>
            <w:pPr>
              <w:spacing w:after="0"/>
            </w:pPr>
            <w:r>
              <w:rPr>
                <w:rFonts w:ascii="Arial" w:hAnsi="Arial"/>
                <w:sz w:val="12"/>
              </w:rPr>
              <w:t>ingestão incremental de parcelas, situação, datas e geometrias; índice GIST.</w:t>
            </w:r>
          </w:p>
        </w:tc>
        <w:tc>
          <w:tcPr>
            <w:tcW w:type="dxa" w:w="2232"/>
            <w:vAlign w:val="top"/>
          </w:tcPr>
          <w:p>
            <w:pPr>
              <w:spacing w:after="0"/>
            </w:pPr>
            <w:r>
              <w:rPr>
                <w:rFonts w:ascii="Arial" w:hAnsi="Arial"/>
                <w:sz w:val="12"/>
              </w:rPr>
              <w:t>o Acervo atual pode exigir GOV.BR; respeitar termos e preferir serviços/downloads oficiais.</w:t>
            </w:r>
          </w:p>
        </w:tc>
      </w:tr>
      <w:tr>
        <w:trPr>
          <w:cantSplit/>
          <w:cantSplit/>
        </w:trPr>
        <w:tc>
          <w:tcPr>
            <w:tcW w:type="dxa" w:w="1872"/>
            <w:vAlign w:val="top"/>
          </w:tcPr>
          <w:p>
            <w:pPr>
              <w:spacing w:after="0"/>
            </w:pPr>
            <w:r>
              <w:rPr>
                <w:rFonts w:ascii="Arial" w:hAnsi="Arial"/>
                <w:sz w:val="12"/>
              </w:rPr>
              <w:t>CAFIR / CIB / CNIR</w:t>
            </w:r>
          </w:p>
        </w:tc>
        <w:tc>
          <w:tcPr>
            <w:tcW w:type="dxa" w:w="2880"/>
            <w:vAlign w:val="top"/>
          </w:tcPr>
          <w:p>
            <w:pPr>
              <w:spacing w:after="0"/>
            </w:pPr>
            <w:r>
              <w:rPr>
                <w:rFonts w:ascii="Arial" w:hAnsi="Arial"/>
                <w:sz w:val="12"/>
              </w:rPr>
              <w:t>Receita Federal/CNIR/SINTER; consulta e integração autenticada quando necessária.</w:t>
            </w:r>
          </w:p>
        </w:tc>
        <w:tc>
          <w:tcPr>
            <w:tcW w:type="dxa" w:w="2592"/>
            <w:vAlign w:val="top"/>
          </w:tcPr>
          <w:p>
            <w:pPr>
              <w:spacing w:after="0"/>
            </w:pPr>
            <w:r>
              <w:rPr>
                <w:rFonts w:ascii="Arial" w:hAnsi="Arial"/>
                <w:sz w:val="12"/>
              </w:rPr>
              <w:t>normalizar CIB, situação cadastral, vínculos e datas; reconciliar NIRF legado.</w:t>
            </w:r>
          </w:p>
        </w:tc>
        <w:tc>
          <w:tcPr>
            <w:tcW w:type="dxa" w:w="2232"/>
            <w:vAlign w:val="top"/>
          </w:tcPr>
          <w:p>
            <w:pPr>
              <w:spacing w:after="0"/>
            </w:pPr>
            <w:r>
              <w:rPr>
                <w:rFonts w:ascii="Arial" w:hAnsi="Arial"/>
                <w:sz w:val="12"/>
              </w:rPr>
              <w:t>não presumir publicidade de titularidade; aplicar LGPD e trilha de finalidade.</w:t>
            </w:r>
          </w:p>
        </w:tc>
      </w:tr>
      <w:tr>
        <w:trPr>
          <w:cantSplit/>
          <w:cantSplit/>
        </w:trPr>
        <w:tc>
          <w:tcPr>
            <w:tcW w:type="dxa" w:w="1872"/>
            <w:vAlign w:val="top"/>
          </w:tcPr>
          <w:p>
            <w:pPr>
              <w:spacing w:after="0"/>
            </w:pPr>
            <w:r>
              <w:rPr>
                <w:rFonts w:ascii="Arial" w:hAnsi="Arial"/>
                <w:sz w:val="12"/>
              </w:rPr>
              <w:t>IBAMA Embargos</w:t>
            </w:r>
          </w:p>
        </w:tc>
        <w:tc>
          <w:tcPr>
            <w:tcW w:type="dxa" w:w="2880"/>
            <w:vAlign w:val="top"/>
          </w:tcPr>
          <w:p>
            <w:pPr>
              <w:spacing w:after="0"/>
            </w:pPr>
            <w:r>
              <w:rPr>
                <w:rFonts w:ascii="Arial" w:hAnsi="Arial"/>
                <w:sz w:val="12"/>
              </w:rPr>
              <w:t>dadosabertos.ibama.gov.br: SHP/CSV/JSON/API.</w:t>
            </w:r>
          </w:p>
        </w:tc>
        <w:tc>
          <w:tcPr>
            <w:tcW w:type="dxa" w:w="2592"/>
            <w:vAlign w:val="top"/>
          </w:tcPr>
          <w:p>
            <w:pPr>
              <w:spacing w:after="0"/>
            </w:pPr>
            <w:r>
              <w:rPr>
                <w:rFonts w:ascii="Arial" w:hAnsi="Arial"/>
                <w:sz w:val="12"/>
              </w:rPr>
              <w:t>ETL diário/semanal; deduplicação por termo/auto; geometria + status + datas.</w:t>
            </w:r>
          </w:p>
        </w:tc>
        <w:tc>
          <w:tcPr>
            <w:tcW w:type="dxa" w:w="2232"/>
            <w:vAlign w:val="top"/>
          </w:tcPr>
          <w:p>
            <w:pPr>
              <w:spacing w:after="0"/>
            </w:pPr>
            <w:r>
              <w:rPr>
                <w:rFonts w:ascii="Arial" w:hAnsi="Arial"/>
                <w:sz w:val="12"/>
              </w:rPr>
              <w:t>preservar situação e histórico; distinguir embargo ativo, suspenso/cancelado quando a fonte informar.</w:t>
            </w:r>
          </w:p>
        </w:tc>
      </w:tr>
      <w:tr>
        <w:trPr>
          <w:cantSplit/>
          <w:cantSplit/>
        </w:trPr>
        <w:tc>
          <w:tcPr>
            <w:tcW w:type="dxa" w:w="1872"/>
            <w:vAlign w:val="top"/>
          </w:tcPr>
          <w:p>
            <w:pPr>
              <w:spacing w:after="0"/>
            </w:pPr>
            <w:r>
              <w:rPr>
                <w:rFonts w:ascii="Arial" w:hAnsi="Arial"/>
                <w:sz w:val="12"/>
              </w:rPr>
              <w:t>PRODES / INPE</w:t>
            </w:r>
          </w:p>
        </w:tc>
        <w:tc>
          <w:tcPr>
            <w:tcW w:type="dxa" w:w="2880"/>
            <w:vAlign w:val="top"/>
          </w:tcPr>
          <w:p>
            <w:pPr>
              <w:spacing w:after="0"/>
            </w:pPr>
            <w:r>
              <w:rPr>
                <w:rFonts w:ascii="Arial" w:hAnsi="Arial"/>
                <w:sz w:val="12"/>
              </w:rPr>
              <w:t>TerraBrasilis: downloads vetoriais/raster, GeoServer/WFS, metadados.</w:t>
            </w:r>
          </w:p>
        </w:tc>
        <w:tc>
          <w:tcPr>
            <w:tcW w:type="dxa" w:w="2592"/>
            <w:vAlign w:val="top"/>
          </w:tcPr>
          <w:p>
            <w:pPr>
              <w:spacing w:after="0"/>
            </w:pPr>
            <w:r>
              <w:rPr>
                <w:rFonts w:ascii="Arial" w:hAnsi="Arial"/>
                <w:sz w:val="12"/>
              </w:rPr>
              <w:t>cargas por bioma/ano; manter classe, ano e versão da publicação.</w:t>
            </w:r>
          </w:p>
        </w:tc>
        <w:tc>
          <w:tcPr>
            <w:tcW w:type="dxa" w:w="2232"/>
            <w:vAlign w:val="top"/>
          </w:tcPr>
          <w:p>
            <w:pPr>
              <w:spacing w:after="0"/>
            </w:pPr>
            <w:r>
              <w:rPr>
                <w:rFonts w:ascii="Arial" w:hAnsi="Arial"/>
                <w:sz w:val="12"/>
              </w:rPr>
              <w:t>dado de monitoramento; não converter automaticamente em infração.</w:t>
            </w:r>
          </w:p>
        </w:tc>
      </w:tr>
      <w:tr>
        <w:trPr>
          <w:cantSplit/>
          <w:cantSplit/>
        </w:trPr>
        <w:tc>
          <w:tcPr>
            <w:tcW w:type="dxa" w:w="1872"/>
            <w:vAlign w:val="top"/>
          </w:tcPr>
          <w:p>
            <w:pPr>
              <w:spacing w:after="0"/>
            </w:pPr>
            <w:r>
              <w:rPr>
                <w:rFonts w:ascii="Arial" w:hAnsi="Arial"/>
                <w:sz w:val="12"/>
              </w:rPr>
              <w:t>SICOR / BCB</w:t>
            </w:r>
          </w:p>
        </w:tc>
        <w:tc>
          <w:tcPr>
            <w:tcW w:type="dxa" w:w="2880"/>
            <w:vAlign w:val="top"/>
          </w:tcPr>
          <w:p>
            <w:pPr>
              <w:spacing w:after="0"/>
            </w:pPr>
            <w:r>
              <w:rPr>
                <w:rFonts w:ascii="Arial" w:hAnsi="Arial"/>
                <w:sz w:val="12"/>
              </w:rPr>
              <w:t>microdados anuais/mensais do crédito rural e Proagro; glebas WKT quando disponibilizadas.</w:t>
            </w:r>
          </w:p>
        </w:tc>
        <w:tc>
          <w:tcPr>
            <w:tcW w:type="dxa" w:w="2592"/>
            <w:vAlign w:val="top"/>
          </w:tcPr>
          <w:p>
            <w:pPr>
              <w:spacing w:after="0"/>
            </w:pPr>
            <w:r>
              <w:rPr>
                <w:rFonts w:ascii="Arial" w:hAnsi="Arial"/>
                <w:sz w:val="12"/>
              </w:rPr>
              <w:t>particionar por ano/UF, normalizar operação e geometria; agregações por município, cultura, fonte e programa.</w:t>
            </w:r>
          </w:p>
        </w:tc>
        <w:tc>
          <w:tcPr>
            <w:tcW w:type="dxa" w:w="2232"/>
            <w:vAlign w:val="top"/>
          </w:tcPr>
          <w:p>
            <w:pPr>
              <w:spacing w:after="0"/>
            </w:pPr>
            <w:r>
              <w:rPr>
                <w:rFonts w:ascii="Arial" w:hAnsi="Arial"/>
                <w:sz w:val="12"/>
              </w:rPr>
              <w:t>microdados têm universos e níveis de detalhe distintos; observar disclaimers do BCB.</w:t>
            </w:r>
          </w:p>
        </w:tc>
      </w:tr>
      <w:tr>
        <w:trPr>
          <w:cantSplit/>
          <w:cantSplit/>
        </w:trPr>
        <w:tc>
          <w:tcPr>
            <w:tcW w:type="dxa" w:w="1872"/>
            <w:vAlign w:val="top"/>
          </w:tcPr>
          <w:p>
            <w:pPr>
              <w:spacing w:after="0"/>
            </w:pPr>
            <w:r>
              <w:rPr>
                <w:rFonts w:ascii="Arial" w:hAnsi="Arial"/>
                <w:sz w:val="12"/>
              </w:rPr>
              <w:t>FUNAI</w:t>
            </w:r>
          </w:p>
        </w:tc>
        <w:tc>
          <w:tcPr>
            <w:tcW w:type="dxa" w:w="2880"/>
            <w:vAlign w:val="top"/>
          </w:tcPr>
          <w:p>
            <w:pPr>
              <w:spacing w:after="0"/>
            </w:pPr>
            <w:r>
              <w:rPr>
                <w:rFonts w:ascii="Arial" w:hAnsi="Arial"/>
                <w:sz w:val="12"/>
              </w:rPr>
              <w:t>SHP/KML/CSV/XLSX + GeoServer; atualização mensal declarada.</w:t>
            </w:r>
          </w:p>
        </w:tc>
        <w:tc>
          <w:tcPr>
            <w:tcW w:type="dxa" w:w="2592"/>
            <w:vAlign w:val="top"/>
          </w:tcPr>
          <w:p>
            <w:pPr>
              <w:spacing w:after="0"/>
            </w:pPr>
            <w:r>
              <w:rPr>
                <w:rFonts w:ascii="Arial" w:hAnsi="Arial"/>
                <w:sz w:val="12"/>
              </w:rPr>
              <w:t>snapshot mensal, fase/portaria/status; espacializar por polígono.</w:t>
            </w:r>
          </w:p>
        </w:tc>
        <w:tc>
          <w:tcPr>
            <w:tcW w:type="dxa" w:w="2232"/>
            <w:vAlign w:val="top"/>
          </w:tcPr>
          <w:p>
            <w:pPr>
              <w:spacing w:after="0"/>
            </w:pPr>
            <w:r>
              <w:rPr>
                <w:rFonts w:ascii="Arial" w:hAnsi="Arial"/>
                <w:sz w:val="12"/>
              </w:rPr>
              <w:t>citar fonte e preservar fase administrativa.</w:t>
            </w:r>
          </w:p>
        </w:tc>
      </w:tr>
      <w:tr>
        <w:trPr>
          <w:cantSplit/>
          <w:cantSplit/>
        </w:trPr>
        <w:tc>
          <w:tcPr>
            <w:tcW w:type="dxa" w:w="1872"/>
            <w:vAlign w:val="top"/>
          </w:tcPr>
          <w:p>
            <w:pPr>
              <w:spacing w:after="0"/>
            </w:pPr>
            <w:r>
              <w:rPr>
                <w:rFonts w:ascii="Arial" w:hAnsi="Arial"/>
                <w:sz w:val="12"/>
              </w:rPr>
              <w:t>CNUC</w:t>
            </w:r>
          </w:p>
        </w:tc>
        <w:tc>
          <w:tcPr>
            <w:tcW w:type="dxa" w:w="2880"/>
            <w:vAlign w:val="top"/>
          </w:tcPr>
          <w:p>
            <w:pPr>
              <w:spacing w:after="0"/>
            </w:pPr>
            <w:r>
              <w:rPr>
                <w:rFonts w:ascii="Arial" w:hAnsi="Arial"/>
                <w:sz w:val="12"/>
              </w:rPr>
              <w:t>plataforma oficial MMA; relatórios e SHP/KML.</w:t>
            </w:r>
          </w:p>
        </w:tc>
        <w:tc>
          <w:tcPr>
            <w:tcW w:type="dxa" w:w="2592"/>
            <w:vAlign w:val="top"/>
          </w:tcPr>
          <w:p>
            <w:pPr>
              <w:spacing w:after="0"/>
            </w:pPr>
            <w:r>
              <w:rPr>
                <w:rFonts w:ascii="Arial" w:hAnsi="Arial"/>
                <w:sz w:val="12"/>
              </w:rPr>
              <w:t>snapshot periódico por UC; categoria, esfera, bioma e gestão.</w:t>
            </w:r>
          </w:p>
        </w:tc>
        <w:tc>
          <w:tcPr>
            <w:tcW w:type="dxa" w:w="2232"/>
            <w:vAlign w:val="top"/>
          </w:tcPr>
          <w:p>
            <w:pPr>
              <w:spacing w:after="0"/>
            </w:pPr>
            <w:r>
              <w:rPr>
                <w:rFonts w:ascii="Arial" w:hAnsi="Arial"/>
                <w:sz w:val="12"/>
              </w:rPr>
              <w:t>limites podem ser atualizados pelos órgãos gestores; registrar data-base.</w:t>
            </w:r>
          </w:p>
        </w:tc>
      </w:tr>
      <w:tr>
        <w:trPr>
          <w:cantSplit/>
          <w:cantSplit/>
        </w:trPr>
        <w:tc>
          <w:tcPr>
            <w:tcW w:type="dxa" w:w="1872"/>
            <w:vAlign w:val="top"/>
          </w:tcPr>
          <w:p>
            <w:pPr>
              <w:spacing w:after="0"/>
            </w:pPr>
            <w:r>
              <w:rPr>
                <w:rFonts w:ascii="Arial" w:hAnsi="Arial"/>
                <w:sz w:val="12"/>
              </w:rPr>
              <w:t>Quilombolas</w:t>
            </w:r>
          </w:p>
        </w:tc>
        <w:tc>
          <w:tcPr>
            <w:tcW w:type="dxa" w:w="2880"/>
            <w:vAlign w:val="top"/>
          </w:tcPr>
          <w:p>
            <w:pPr>
              <w:spacing w:after="0"/>
            </w:pPr>
            <w:r>
              <w:rPr>
                <w:rFonts w:ascii="Arial" w:hAnsi="Arial"/>
                <w:sz w:val="12"/>
              </w:rPr>
              <w:t>Acervo Fundiário INCRA; WMS/WFS/download conforme acesso; IBGE como fonte complementar de recortes publicados.</w:t>
            </w:r>
          </w:p>
        </w:tc>
        <w:tc>
          <w:tcPr>
            <w:tcW w:type="dxa" w:w="2592"/>
            <w:vAlign w:val="top"/>
          </w:tcPr>
          <w:p>
            <w:pPr>
              <w:spacing w:after="0"/>
            </w:pPr>
            <w:r>
              <w:rPr>
                <w:rFonts w:ascii="Arial" w:hAnsi="Arial"/>
                <w:sz w:val="12"/>
              </w:rPr>
              <w:t>snapshot e histórico por território/status; geometrias no PostGIS.</w:t>
            </w:r>
          </w:p>
        </w:tc>
        <w:tc>
          <w:tcPr>
            <w:tcW w:type="dxa" w:w="2232"/>
            <w:vAlign w:val="top"/>
          </w:tcPr>
          <w:p>
            <w:pPr>
              <w:spacing w:after="0"/>
            </w:pPr>
            <w:r>
              <w:rPr>
                <w:rFonts w:ascii="Arial" w:hAnsi="Arial"/>
                <w:sz w:val="12"/>
              </w:rPr>
              <w:t>não confundir território reconhecido, titulado e demais fases; preservar status.</w:t>
            </w:r>
          </w:p>
        </w:tc>
      </w:tr>
    </w:tbl>
    <w:p>
      <w:pPr>
        <w:spacing w:after="20"/>
      </w:pPr>
    </w:p>
    <w:p>
      <w:pPr>
        <w:pStyle w:val="Heading2"/>
      </w:pPr>
      <w:r>
        <w:t>25.8 CAR / SICAR — ficha ambiental completa</w:t>
      </w:r>
    </w:p>
    <w:p>
      <w:pPr>
        <w:spacing w:after="30"/>
        <w:ind w:left="259" w:hanging="173"/>
      </w:pPr>
      <w:r>
        <w:t xml:space="preserve">• </w:t>
      </w:r>
      <w:r>
        <w:t>Identificação: número do CAR, denominação, município/UF, área declarada, situação/condição, datas de inscrição, retificação e última leitura.</w:t>
      </w:r>
    </w:p>
    <w:p>
      <w:pPr>
        <w:spacing w:after="30"/>
        <w:ind w:left="259" w:hanging="173"/>
      </w:pPr>
      <w:r>
        <w:t xml:space="preserve">• </w:t>
      </w:r>
      <w:r>
        <w:t>Pessoas: proprietário/possuidor, cadastrante e vínculos somente quando o acesso e a base legal permitirem.</w:t>
      </w:r>
    </w:p>
    <w:p>
      <w:pPr>
        <w:spacing w:after="30"/>
        <w:ind w:left="259" w:hanging="173"/>
      </w:pPr>
      <w:r>
        <w:t xml:space="preserve">• </w:t>
      </w:r>
      <w:r>
        <w:t>Geometrias: perímetro do imóvel, Reserva Legal, APP, uso restrito, remanescentes de vegetação, áreas consolidadas e demais classes disponíveis no demonstrativo/base.</w:t>
      </w:r>
    </w:p>
    <w:p>
      <w:pPr>
        <w:spacing w:after="30"/>
        <w:ind w:left="259" w:hanging="173"/>
      </w:pPr>
      <w:r>
        <w:t xml:space="preserve">• </w:t>
      </w:r>
      <w:r>
        <w:t>Documentos: Recibo de Inscrição e Demonstrativo SICAR quando o canal oficial/autorizado permitir; armazenar hash e data da coleta.</w:t>
      </w:r>
    </w:p>
    <w:p>
      <w:pPr>
        <w:spacing w:after="30"/>
        <w:ind w:left="259" w:hanging="173"/>
      </w:pPr>
      <w:r>
        <w:t xml:space="preserve">• </w:t>
      </w:r>
      <w:r>
        <w:t>Arquivos GIS: KML/KMZ do perímetro; KML/KMZ separado da Reserva Legal; GeoJSON/GPKG para APIs próprias.</w:t>
      </w:r>
    </w:p>
    <w:p>
      <w:pPr>
        <w:spacing w:after="30"/>
        <w:ind w:left="259" w:hanging="173"/>
      </w:pPr>
      <w:r>
        <w:t xml:space="preserve">• </w:t>
      </w:r>
      <w:r>
        <w:t>Qualidade: divergência entre área alfanumérica e área geométrica, geometrias inválidas, multipolígonos, sobreposição com CAR vizinho e diferenças entre nosso cruzamento e o demonstrativo oficial SICAR.</w:t>
      </w:r>
    </w:p>
    <w:p>
      <w:pPr>
        <w:pStyle w:val="Heading2"/>
      </w:pPr>
      <w:r>
        <w:t>25.9 INCRA / SNCR / CCIR — cadastro e classificação fundiária</w:t>
      </w:r>
    </w:p>
    <w:p>
      <w:pPr>
        <w:spacing w:after="30"/>
        <w:ind w:left="259" w:hanging="173"/>
      </w:pPr>
      <w:r>
        <w:t xml:space="preserve">• </w:t>
      </w:r>
      <w:r>
        <w:t>Código do imóvel INCRA/SNCR, denominação, município/UF e localização.</w:t>
      </w:r>
    </w:p>
    <w:p>
      <w:pPr>
        <w:spacing w:after="30"/>
        <w:ind w:left="259" w:hanging="173"/>
      </w:pPr>
      <w:r>
        <w:t xml:space="preserve">• </w:t>
      </w:r>
      <w:r>
        <w:t>Titulares e percentuais de detenção quando o acesso for legalmente autorizado.</w:t>
      </w:r>
    </w:p>
    <w:p>
      <w:pPr>
        <w:spacing w:after="30"/>
        <w:ind w:left="259" w:hanging="173"/>
      </w:pPr>
      <w:r>
        <w:t xml:space="preserve">• </w:t>
      </w:r>
      <w:r>
        <w:t>Áreas detalhadas e áreas registradas em cartório; manter a tipologia/origem de cada área, não apenas um total.</w:t>
      </w:r>
    </w:p>
    <w:p>
      <w:pPr>
        <w:spacing w:after="30"/>
        <w:ind w:left="259" w:hanging="173"/>
      </w:pPr>
      <w:r>
        <w:t xml:space="preserve">• </w:t>
      </w:r>
      <w:r>
        <w:t>Módulo fiscal, módulos rurais, fração mínima de parcelamento e classificação fundiária quando fornecidos.</w:t>
      </w:r>
    </w:p>
    <w:p>
      <w:pPr>
        <w:spacing w:after="30"/>
        <w:ind w:left="259" w:hanging="173"/>
      </w:pPr>
      <w:r>
        <w:t xml:space="preserve">• </w:t>
      </w:r>
      <w:r>
        <w:t>CCIR: exercício, situação, dados do certificado e histórico; o documento é anual e não legitima domínio ou posse.</w:t>
      </w:r>
    </w:p>
    <w:p>
      <w:pPr>
        <w:spacing w:after="30"/>
        <w:ind w:left="259" w:hanging="173"/>
      </w:pPr>
      <w:r>
        <w:t xml:space="preserve">• </w:t>
      </w:r>
      <w:r>
        <w:t>Matrículas e cartórios como referências cadastrais quando a fonte autorizada as fornecer; validação registral deve permanecer separada.</w:t>
      </w:r>
    </w:p>
    <w:p>
      <w:pPr>
        <w:pStyle w:val="Heading2"/>
      </w:pPr>
      <w:r>
        <w:t>25.10 SIGEF — parcela georreferenciada e consistência fundiária</w:t>
      </w:r>
    </w:p>
    <w:p>
      <w:pPr>
        <w:spacing w:after="30"/>
        <w:ind w:left="259" w:hanging="173"/>
      </w:pPr>
      <w:r>
        <w:t xml:space="preserve">• </w:t>
      </w:r>
      <w:r>
        <w:t>Identificador/código da parcela, código do imóvel associado, nome/título da parcela, município/UF, área e geometria certificada.</w:t>
      </w:r>
    </w:p>
    <w:p>
      <w:pPr>
        <w:spacing w:after="30"/>
        <w:ind w:left="259" w:hanging="173"/>
      </w:pPr>
      <w:r>
        <w:t xml:space="preserve">• </w:t>
      </w:r>
      <w:r>
        <w:t>Situação da parcela, data de entrada/certificação e demais atributos disponibilizados pela consulta oficial.</w:t>
      </w:r>
    </w:p>
    <w:p>
      <w:pPr>
        <w:spacing w:after="30"/>
        <w:ind w:left="259" w:hanging="173"/>
      </w:pPr>
      <w:r>
        <w:t xml:space="preserve">• </w:t>
      </w:r>
      <w:r>
        <w:t>Documento do responsável técnico e vínculo profissional quando a fonte oficial disponibilizar.</w:t>
      </w:r>
    </w:p>
    <w:p>
      <w:pPr>
        <w:spacing w:after="30"/>
        <w:ind w:left="259" w:hanging="173"/>
      </w:pPr>
      <w:r>
        <w:t xml:space="preserve">• </w:t>
      </w:r>
      <w:r>
        <w:t>Número de matrícula e dados cartoriais quando presentes na fonte/integração autorizada.</w:t>
      </w:r>
    </w:p>
    <w:p>
      <w:pPr>
        <w:spacing w:after="30"/>
        <w:ind w:left="259" w:hanging="173"/>
      </w:pPr>
      <w:r>
        <w:t xml:space="preserve">• </w:t>
      </w:r>
      <w:r>
        <w:t>Relacionamentos espaciais prioritários: CAR × SIGEF, SIGEF × Embargo, SIGEF × SIGEF e SIGEF × matrícula/referência cadastral.</w:t>
      </w:r>
    </w:p>
    <w:p>
      <w:pPr>
        <w:pStyle w:val="Heading2"/>
      </w:pPr>
      <w:r>
        <w:t>25.11 Receita Federal — CAFIR, CIB, CNIR e legado NIRF</w:t>
      </w:r>
    </w:p>
    <w:p>
      <w:pPr>
        <w:spacing w:after="60"/>
      </w:pPr>
      <w:r>
        <w:t>O RE Rural deve adotar CIB como identificador fiscal moderno e manter NIRF apenas como identificador legado quando aparecer em documentos ou bases históricas. O CNIR integra dados do SNCR/INCRA e CAFIR/Receita Federal.</w:t>
      </w:r>
    </w:p>
    <w:p>
      <w:pPr>
        <w:spacing w:after="30"/>
        <w:ind w:left="259" w:hanging="173"/>
      </w:pPr>
      <w:r>
        <w:t xml:space="preserve">• </w:t>
      </w:r>
      <w:r>
        <w:t>CIB, situação cadastral, denominação/localização, dados fiscais e vínculos com o cadastro de origem quando legalmente acessíveis.</w:t>
      </w:r>
    </w:p>
    <w:p>
      <w:pPr>
        <w:spacing w:after="30"/>
        <w:ind w:left="259" w:hanging="173"/>
      </w:pPr>
      <w:r>
        <w:t xml:space="preserve">• </w:t>
      </w:r>
      <w:r>
        <w:t>Reconciliar CIB ↔ código SNCR ↔ NIRF histórico ↔ identificadores internos sem apagar a proveniência.</w:t>
      </w:r>
    </w:p>
    <w:p>
      <w:pPr>
        <w:spacing w:after="30"/>
        <w:ind w:left="259" w:hanging="173"/>
      </w:pPr>
      <w:r>
        <w:t xml:space="preserve">• </w:t>
      </w:r>
      <w:r>
        <w:t>SINTER/CIB devem ser tratados como eixo futuro de interoperabilidade nacional, inclusive com registros e municípios.</w:t>
      </w:r>
    </w:p>
    <w:p>
      <w:pPr>
        <w:spacing w:after="30"/>
        <w:ind w:left="259" w:hanging="173"/>
      </w:pPr>
      <w:r>
        <w:t xml:space="preserve">• </w:t>
      </w:r>
      <w:r>
        <w:t>Consultas que revelam titulares/condôminos/compossuidores exigem controle de acesso, finalidade e auditoria.</w:t>
      </w:r>
    </w:p>
    <w:p>
      <w:pPr>
        <w:pStyle w:val="Heading2"/>
      </w:pPr>
      <w:r>
        <w:t>25.12 Embargos IBAMA — restrição ambiental</w:t>
      </w:r>
    </w:p>
    <w:p>
      <w:pPr>
        <w:spacing w:after="30"/>
        <w:ind w:left="259" w:hanging="173"/>
      </w:pPr>
      <w:r>
        <w:t xml:space="preserve">• </w:t>
      </w:r>
      <w:r>
        <w:t>Número do termo/TAD/auto relacionado, tipo de infração, descrição, data, município/UF, área, bioma, situação e geometria.</w:t>
      </w:r>
    </w:p>
    <w:p>
      <w:pPr>
        <w:spacing w:after="30"/>
        <w:ind w:left="259" w:hanging="173"/>
      </w:pPr>
      <w:r>
        <w:t xml:space="preserve">• </w:t>
      </w:r>
      <w:r>
        <w:t>Autuado e CPF/CNPJ somente conforme política de dados, finalidade e base legal aplicável.</w:t>
      </w:r>
    </w:p>
    <w:p>
      <w:pPr>
        <w:spacing w:after="30"/>
        <w:ind w:left="259" w:hanging="173"/>
      </w:pPr>
      <w:r>
        <w:t xml:space="preserve">• </w:t>
      </w:r>
      <w:r>
        <w:t>Classificar cruzamento com imóvel como restrição espacial; calcular área comum, percentual do imóvel e percentual do embargo.</w:t>
      </w:r>
    </w:p>
    <w:p>
      <w:pPr>
        <w:spacing w:after="30"/>
        <w:ind w:left="259" w:hanging="173"/>
      </w:pPr>
      <w:r>
        <w:t xml:space="preserve">• </w:t>
      </w:r>
      <w:r>
        <w:t>Manter histórico de atualização e status. Nunca manter apenas uma fotografia sem data do conjunto de dados.</w:t>
      </w:r>
    </w:p>
    <w:p>
      <w:pPr>
        <w:pStyle w:val="Heading2"/>
      </w:pPr>
      <w:r>
        <w:t>25.13 PRODES / TerraBrasilis — sensoriamento e histórico</w:t>
      </w:r>
    </w:p>
    <w:p>
      <w:pPr>
        <w:spacing w:after="30"/>
        <w:ind w:left="259" w:hanging="173"/>
      </w:pPr>
      <w:r>
        <w:t xml:space="preserve">• </w:t>
      </w:r>
      <w:r>
        <w:t>Importar classes PRODES por bioma e ano/publicação; armazenar classe, ano, versão, bioma e geometria.</w:t>
      </w:r>
    </w:p>
    <w:p>
      <w:pPr>
        <w:spacing w:after="30"/>
        <w:ind w:left="259" w:hanging="173"/>
      </w:pPr>
      <w:r>
        <w:t xml:space="preserve">• </w:t>
      </w:r>
      <w:r>
        <w:t>Permitir consultas imóvel × PRODES por área e por série temporal: primeiro evento, último evento, área acumulada e percentual sobre o imóvel.</w:t>
      </w:r>
    </w:p>
    <w:p>
      <w:pPr>
        <w:spacing w:after="30"/>
        <w:ind w:left="259" w:hanging="173"/>
      </w:pPr>
      <w:r>
        <w:t xml:space="preserve">• </w:t>
      </w:r>
      <w:r>
        <w:t>A arquitetura deve aceitar também DETER e outras camadas oficiais do TerraBrasilis como módulos futuros, mantendo conceitos separados.</w:t>
      </w:r>
    </w:p>
    <w:p>
      <w:pPr>
        <w:spacing w:after="30"/>
        <w:ind w:left="259" w:hanging="173"/>
      </w:pPr>
      <w:r>
        <w:t xml:space="preserve">• </w:t>
      </w:r>
      <w:r>
        <w:t>Downloads e WFS/GeoServer são preferíveis a raspagem de interface; metadados do INPE devem acompanhar cada carga.</w:t>
      </w:r>
    </w:p>
    <w:p>
      <w:pPr>
        <w:pStyle w:val="Heading2"/>
      </w:pPr>
      <w:r>
        <w:t>25.14 SICOR / Banco Central — inteligência de crédito rural</w:t>
      </w:r>
    </w:p>
    <w:p>
      <w:pPr>
        <w:spacing w:after="60"/>
      </w:pPr>
      <w:r>
        <w:t>A página pública de fontes do produto de referência declara SICOR/Bacen. O Banco Central publica microdados do Crédito Rural e Proagro desde 2013, inclusive glebas em WKT em subconjuntos públicos. No RE Rural, SICOR deve ser uma camada analítica de crédito, não um cadastro dominial.</w:t>
      </w:r>
    </w:p>
    <w:p>
      <w:pPr>
        <w:spacing w:after="30"/>
        <w:ind w:left="259" w:hanging="173"/>
      </w:pPr>
      <w:r>
        <w:t xml:space="preserve">• </w:t>
      </w:r>
      <w:r>
        <w:t>Operação: ano, instituição, produto/atividade, fonte de recursos, programa, município/UF, valor, finalidade e demais dimensões do dicionário oficial.</w:t>
      </w:r>
    </w:p>
    <w:p>
      <w:pPr>
        <w:spacing w:after="30"/>
        <w:ind w:left="259" w:hanging="173"/>
      </w:pPr>
      <w:r>
        <w:t xml:space="preserve">• </w:t>
      </w:r>
      <w:r>
        <w:t>Gleba WKT: quando presente, converter para geometry(PostGIS), validar SRID e relacionar por interseção/proximidade com cadastros rurais sem afirmar identidade jurídica automática.</w:t>
      </w:r>
    </w:p>
    <w:p>
      <w:pPr>
        <w:spacing w:after="30"/>
        <w:ind w:left="259" w:hanging="173"/>
      </w:pPr>
      <w:r>
        <w:t xml:space="preserve">• </w:t>
      </w:r>
      <w:r>
        <w:t>Indicadores: volume financiado no entorno, culturas/atividades predominantes, concentração por instituição, evolução temporal e histórico de crédito na região.</w:t>
      </w:r>
    </w:p>
    <w:p>
      <w:pPr>
        <w:spacing w:after="30"/>
        <w:ind w:left="259" w:hanging="173"/>
      </w:pPr>
      <w:r>
        <w:t xml:space="preserve">• </w:t>
      </w:r>
      <w:r>
        <w:t>Compliance: registrar universo do microdado (operações contratadas x subconjuntos públicos/complementares) conforme documentação do Banco Central.</w:t>
      </w:r>
    </w:p>
    <w:p>
      <w:pPr>
        <w:pStyle w:val="Heading2"/>
      </w:pPr>
      <w:r>
        <w:t>25.15 Camadas territoriais de expansão</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2232"/>
            <w:shd w:fill="EDEDED"/>
            <w:vAlign w:val="center"/>
          </w:tcPr>
          <w:p>
            <w:pPr>
              <w:spacing w:after="0"/>
            </w:pPr>
            <w:r>
              <w:rPr>
                <w:rFonts w:ascii="Arial" w:hAnsi="Arial"/>
                <w:b/>
                <w:sz w:val="14"/>
              </w:rPr>
              <w:t>Camada</w:t>
            </w:r>
          </w:p>
        </w:tc>
        <w:tc>
          <w:tcPr>
            <w:tcW w:type="dxa" w:w="3384"/>
            <w:shd w:fill="EDEDED"/>
            <w:vAlign w:val="center"/>
          </w:tcPr>
          <w:p>
            <w:pPr>
              <w:spacing w:after="0"/>
            </w:pPr>
            <w:r>
              <w:rPr>
                <w:rFonts w:ascii="Arial" w:hAnsi="Arial"/>
                <w:b/>
                <w:sz w:val="14"/>
              </w:rPr>
              <w:t>Fonte oficial preferida</w:t>
            </w:r>
          </w:p>
        </w:tc>
        <w:tc>
          <w:tcPr>
            <w:tcW w:type="dxa" w:w="3744"/>
            <w:shd w:fill="EDEDED"/>
            <w:vAlign w:val="center"/>
          </w:tcPr>
          <w:p>
            <w:pPr>
              <w:spacing w:after="0"/>
            </w:pPr>
            <w:r>
              <w:rPr>
                <w:rFonts w:ascii="Arial" w:hAnsi="Arial"/>
                <w:b/>
                <w:sz w:val="14"/>
              </w:rPr>
              <w:t>Uso</w:t>
            </w:r>
          </w:p>
        </w:tc>
      </w:tr>
      <w:tr>
        <w:trPr>
          <w:cantSplit/>
          <w:cantSplit/>
        </w:trPr>
        <w:tc>
          <w:tcPr>
            <w:tcW w:type="dxa" w:w="2232"/>
            <w:vAlign w:val="top"/>
          </w:tcPr>
          <w:p>
            <w:pPr>
              <w:spacing w:after="0"/>
            </w:pPr>
            <w:r>
              <w:rPr>
                <w:rFonts w:ascii="Arial" w:hAnsi="Arial"/>
                <w:sz w:val="14"/>
              </w:rPr>
              <w:t>Terras Indígenas</w:t>
            </w:r>
          </w:p>
        </w:tc>
        <w:tc>
          <w:tcPr>
            <w:tcW w:type="dxa" w:w="3384"/>
            <w:vAlign w:val="top"/>
          </w:tcPr>
          <w:p>
            <w:pPr>
              <w:spacing w:after="0"/>
            </w:pPr>
            <w:r>
              <w:rPr>
                <w:rFonts w:ascii="Arial" w:hAnsi="Arial"/>
                <w:sz w:val="14"/>
              </w:rPr>
              <w:t>FUNAI — dados geoespaciais/GeoServer</w:t>
            </w:r>
          </w:p>
        </w:tc>
        <w:tc>
          <w:tcPr>
            <w:tcW w:type="dxa" w:w="3744"/>
            <w:vAlign w:val="top"/>
          </w:tcPr>
          <w:p>
            <w:pPr>
              <w:spacing w:after="0"/>
            </w:pPr>
            <w:r>
              <w:rPr>
                <w:rFonts w:ascii="Arial" w:hAnsi="Arial"/>
                <w:sz w:val="14"/>
              </w:rPr>
              <w:t>interseção, distância, fase administrativa, portarias, alerta territorial.</w:t>
            </w:r>
          </w:p>
        </w:tc>
      </w:tr>
      <w:tr>
        <w:trPr>
          <w:cantSplit/>
          <w:cantSplit/>
        </w:trPr>
        <w:tc>
          <w:tcPr>
            <w:tcW w:type="dxa" w:w="2232"/>
            <w:vAlign w:val="top"/>
          </w:tcPr>
          <w:p>
            <w:pPr>
              <w:spacing w:after="0"/>
            </w:pPr>
            <w:r>
              <w:rPr>
                <w:rFonts w:ascii="Arial" w:hAnsi="Arial"/>
                <w:sz w:val="14"/>
              </w:rPr>
              <w:t>Unidades de Conservação</w:t>
            </w:r>
          </w:p>
        </w:tc>
        <w:tc>
          <w:tcPr>
            <w:tcW w:type="dxa" w:w="3384"/>
            <w:vAlign w:val="top"/>
          </w:tcPr>
          <w:p>
            <w:pPr>
              <w:spacing w:after="0"/>
            </w:pPr>
            <w:r>
              <w:rPr>
                <w:rFonts w:ascii="Arial" w:hAnsi="Arial"/>
                <w:sz w:val="14"/>
              </w:rPr>
              <w:t>MMA/CNUC</w:t>
            </w:r>
          </w:p>
        </w:tc>
        <w:tc>
          <w:tcPr>
            <w:tcW w:type="dxa" w:w="3744"/>
            <w:vAlign w:val="top"/>
          </w:tcPr>
          <w:p>
            <w:pPr>
              <w:spacing w:after="0"/>
            </w:pPr>
            <w:r>
              <w:rPr>
                <w:rFonts w:ascii="Arial" w:hAnsi="Arial"/>
                <w:sz w:val="14"/>
              </w:rPr>
              <w:t>interseção, categoria, esfera, zona/gestão quando disponível.</w:t>
            </w:r>
          </w:p>
        </w:tc>
      </w:tr>
      <w:tr>
        <w:trPr>
          <w:cantSplit/>
          <w:cantSplit/>
        </w:trPr>
        <w:tc>
          <w:tcPr>
            <w:tcW w:type="dxa" w:w="2232"/>
            <w:vAlign w:val="top"/>
          </w:tcPr>
          <w:p>
            <w:pPr>
              <w:spacing w:after="0"/>
            </w:pPr>
            <w:r>
              <w:rPr>
                <w:rFonts w:ascii="Arial" w:hAnsi="Arial"/>
                <w:sz w:val="14"/>
              </w:rPr>
              <w:t>Territórios Quilombolas</w:t>
            </w:r>
          </w:p>
        </w:tc>
        <w:tc>
          <w:tcPr>
            <w:tcW w:type="dxa" w:w="3384"/>
            <w:vAlign w:val="top"/>
          </w:tcPr>
          <w:p>
            <w:pPr>
              <w:spacing w:after="0"/>
            </w:pPr>
            <w:r>
              <w:rPr>
                <w:rFonts w:ascii="Arial" w:hAnsi="Arial"/>
                <w:sz w:val="14"/>
              </w:rPr>
              <w:t>INCRA/Acervo Fundiário</w:t>
            </w:r>
          </w:p>
        </w:tc>
        <w:tc>
          <w:tcPr>
            <w:tcW w:type="dxa" w:w="3744"/>
            <w:vAlign w:val="top"/>
          </w:tcPr>
          <w:p>
            <w:pPr>
              <w:spacing w:after="0"/>
            </w:pPr>
            <w:r>
              <w:rPr>
                <w:rFonts w:ascii="Arial" w:hAnsi="Arial"/>
                <w:sz w:val="14"/>
              </w:rPr>
              <w:t>interseção, status fundiário e contexto de regularização.</w:t>
            </w:r>
          </w:p>
        </w:tc>
      </w:tr>
      <w:tr>
        <w:trPr>
          <w:cantSplit/>
          <w:cantSplit/>
        </w:trPr>
        <w:tc>
          <w:tcPr>
            <w:tcW w:type="dxa" w:w="2232"/>
            <w:vAlign w:val="top"/>
          </w:tcPr>
          <w:p>
            <w:pPr>
              <w:spacing w:after="0"/>
            </w:pPr>
            <w:r>
              <w:rPr>
                <w:rFonts w:ascii="Arial" w:hAnsi="Arial"/>
                <w:sz w:val="14"/>
              </w:rPr>
              <w:t>Biomas</w:t>
            </w:r>
          </w:p>
        </w:tc>
        <w:tc>
          <w:tcPr>
            <w:tcW w:type="dxa" w:w="3384"/>
            <w:vAlign w:val="top"/>
          </w:tcPr>
          <w:p>
            <w:pPr>
              <w:spacing w:after="0"/>
            </w:pPr>
            <w:r>
              <w:rPr>
                <w:rFonts w:ascii="Arial" w:hAnsi="Arial"/>
                <w:sz w:val="14"/>
              </w:rPr>
              <w:t>IBGE/MMA/INPE conforme produto</w:t>
            </w:r>
          </w:p>
        </w:tc>
        <w:tc>
          <w:tcPr>
            <w:tcW w:type="dxa" w:w="3744"/>
            <w:vAlign w:val="top"/>
          </w:tcPr>
          <w:p>
            <w:pPr>
              <w:spacing w:after="0"/>
            </w:pPr>
            <w:r>
              <w:rPr>
                <w:rFonts w:ascii="Arial" w:hAnsi="Arial"/>
                <w:sz w:val="14"/>
              </w:rPr>
              <w:t>contexto ambiental e regras/indicadores por bioma.</w:t>
            </w:r>
          </w:p>
        </w:tc>
      </w:tr>
      <w:tr>
        <w:trPr>
          <w:cantSplit/>
          <w:cantSplit/>
        </w:trPr>
        <w:tc>
          <w:tcPr>
            <w:tcW w:type="dxa" w:w="2232"/>
            <w:vAlign w:val="top"/>
          </w:tcPr>
          <w:p>
            <w:pPr>
              <w:spacing w:after="0"/>
            </w:pPr>
            <w:r>
              <w:rPr>
                <w:rFonts w:ascii="Arial" w:hAnsi="Arial"/>
                <w:sz w:val="14"/>
              </w:rPr>
              <w:t>Assentamentos da reforma agrária</w:t>
            </w:r>
          </w:p>
        </w:tc>
        <w:tc>
          <w:tcPr>
            <w:tcW w:type="dxa" w:w="3384"/>
            <w:vAlign w:val="top"/>
          </w:tcPr>
          <w:p>
            <w:pPr>
              <w:spacing w:after="0"/>
            </w:pPr>
            <w:r>
              <w:rPr>
                <w:rFonts w:ascii="Arial" w:hAnsi="Arial"/>
                <w:sz w:val="14"/>
              </w:rPr>
              <w:t>INCRA/Acervo Fundiário</w:t>
            </w:r>
          </w:p>
        </w:tc>
        <w:tc>
          <w:tcPr>
            <w:tcW w:type="dxa" w:w="3744"/>
            <w:vAlign w:val="top"/>
          </w:tcPr>
          <w:p>
            <w:pPr>
              <w:spacing w:after="0"/>
            </w:pPr>
            <w:r>
              <w:rPr>
                <w:rFonts w:ascii="Arial" w:hAnsi="Arial"/>
                <w:sz w:val="14"/>
              </w:rPr>
              <w:t>interseção, projeto, situação e contexto fundiário.</w:t>
            </w:r>
          </w:p>
        </w:tc>
      </w:tr>
      <w:tr>
        <w:trPr>
          <w:cantSplit/>
          <w:cantSplit/>
        </w:trPr>
        <w:tc>
          <w:tcPr>
            <w:tcW w:type="dxa" w:w="2232"/>
            <w:vAlign w:val="top"/>
          </w:tcPr>
          <w:p>
            <w:pPr>
              <w:spacing w:after="0"/>
            </w:pPr>
            <w:r>
              <w:rPr>
                <w:rFonts w:ascii="Arial" w:hAnsi="Arial"/>
                <w:sz w:val="14"/>
              </w:rPr>
              <w:t>DETER/alertas</w:t>
            </w:r>
          </w:p>
        </w:tc>
        <w:tc>
          <w:tcPr>
            <w:tcW w:type="dxa" w:w="3384"/>
            <w:vAlign w:val="top"/>
          </w:tcPr>
          <w:p>
            <w:pPr>
              <w:spacing w:after="0"/>
            </w:pPr>
            <w:r>
              <w:rPr>
                <w:rFonts w:ascii="Arial" w:hAnsi="Arial"/>
                <w:sz w:val="14"/>
              </w:rPr>
              <w:t>INPE/TerraBrasilis</w:t>
            </w:r>
          </w:p>
        </w:tc>
        <w:tc>
          <w:tcPr>
            <w:tcW w:type="dxa" w:w="3744"/>
            <w:vAlign w:val="top"/>
          </w:tcPr>
          <w:p>
            <w:pPr>
              <w:spacing w:after="0"/>
            </w:pPr>
            <w:r>
              <w:rPr>
                <w:rFonts w:ascii="Arial" w:hAnsi="Arial"/>
                <w:sz w:val="14"/>
              </w:rPr>
              <w:t>alerta temporal de mudança de cobertura; separado de PRODES anual.</w:t>
            </w:r>
          </w:p>
        </w:tc>
      </w:tr>
    </w:tbl>
    <w:p>
      <w:pPr>
        <w:spacing w:after="20"/>
      </w:pPr>
    </w:p>
    <w:p>
      <w:pPr>
        <w:pStyle w:val="Heading2"/>
      </w:pPr>
      <w:r>
        <w:t>25.16 Mapa rural e ferramentas GIS</w:t>
      </w:r>
    </w:p>
    <w:p>
      <w:pPr>
        <w:spacing w:after="30"/>
        <w:ind w:left="259" w:hanging="173"/>
      </w:pPr>
      <w:r>
        <w:t xml:space="preserve">• </w:t>
      </w:r>
      <w:r>
        <w:t>Mapa interativo com base cartográfica e opção de imagem/satélite licenciada quando necessário.</w:t>
      </w:r>
    </w:p>
    <w:p>
      <w:pPr>
        <w:spacing w:after="30"/>
        <w:ind w:left="259" w:hanging="173"/>
      </w:pPr>
      <w:r>
        <w:t xml:space="preserve">• </w:t>
      </w:r>
      <w:r>
        <w:t>Camadas por fonte com legenda, transparência, filtros, data-base e indicador DEMO/OFICIAL/DERIVADO.</w:t>
      </w:r>
    </w:p>
    <w:p>
      <w:pPr>
        <w:spacing w:after="30"/>
        <w:ind w:left="259" w:hanging="173"/>
      </w:pPr>
      <w:r>
        <w:t xml:space="preserve">• </w:t>
      </w:r>
      <w:r>
        <w:t>Busca por coordenada nos três formatos observados: decimal, GMS e UTM; suporte a “minha localização”.</w:t>
      </w:r>
    </w:p>
    <w:p>
      <w:pPr>
        <w:spacing w:after="30"/>
        <w:ind w:left="259" w:hanging="173"/>
      </w:pPr>
      <w:r>
        <w:t xml:space="preserve">• </w:t>
      </w:r>
      <w:r>
        <w:t>Consulta por clique: identificar feições de todas as fontes, ordenar por interseção/distância e abrir a ficha correspondente.</w:t>
      </w:r>
    </w:p>
    <w:p>
      <w:pPr>
        <w:spacing w:after="30"/>
        <w:ind w:left="259" w:hanging="173"/>
      </w:pPr>
      <w:r>
        <w:t xml:space="preserve">• </w:t>
      </w:r>
      <w:r>
        <w:t>Ferramentas: zoom para imóvel, medir área/distância, desenhar polígono, selecionar por bbox, exportar GeoJSON/KML/KMZ, imprimir mapa e copiar coordenadas.</w:t>
      </w:r>
    </w:p>
    <w:p>
      <w:pPr>
        <w:spacing w:after="30"/>
        <w:ind w:left="259" w:hanging="173"/>
      </w:pPr>
      <w:r>
        <w:t xml:space="preserve">• </w:t>
      </w:r>
      <w:r>
        <w:t>Vizinhança: listar imóveis/embargos/camadas em raio configurável; raio não pode substituir análise de interseção quando houver geometria.</w:t>
      </w:r>
    </w:p>
    <w:p>
      <w:pPr>
        <w:pStyle w:val="Heading2"/>
      </w:pPr>
      <w:r>
        <w:t>25.17 Motor de sobreposição e classificação</w:t>
      </w:r>
    </w:p>
    <w:p>
      <w:pPr>
        <w:spacing w:after="60"/>
      </w:pPr>
      <w:r>
        <w:t>A análise observada classifica sobreposições de CAR em três famílias. Essa taxonomia deve ser mantida e expandida no RE Rural.</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1800"/>
            <w:shd w:fill="EDEDED"/>
            <w:vAlign w:val="center"/>
          </w:tcPr>
          <w:p>
            <w:pPr>
              <w:spacing w:after="0"/>
            </w:pPr>
            <w:r>
              <w:rPr>
                <w:rFonts w:ascii="Arial" w:hAnsi="Arial"/>
                <w:b/>
                <w:sz w:val="14"/>
              </w:rPr>
              <w:t>Classe</w:t>
            </w:r>
          </w:p>
        </w:tc>
        <w:tc>
          <w:tcPr>
            <w:tcW w:type="dxa" w:w="2520"/>
            <w:shd w:fill="EDEDED"/>
            <w:vAlign w:val="center"/>
          </w:tcPr>
          <w:p>
            <w:pPr>
              <w:spacing w:after="0"/>
            </w:pPr>
            <w:r>
              <w:rPr>
                <w:rFonts w:ascii="Arial" w:hAnsi="Arial"/>
                <w:b/>
                <w:sz w:val="14"/>
              </w:rPr>
              <w:t>Cruzamento</w:t>
            </w:r>
          </w:p>
        </w:tc>
        <w:tc>
          <w:tcPr>
            <w:tcW w:type="dxa" w:w="5040"/>
            <w:shd w:fill="EDEDED"/>
            <w:vAlign w:val="center"/>
          </w:tcPr>
          <w:p>
            <w:pPr>
              <w:spacing w:after="0"/>
            </w:pPr>
            <w:r>
              <w:rPr>
                <w:rFonts w:ascii="Arial" w:hAnsi="Arial"/>
                <w:b/>
                <w:sz w:val="14"/>
              </w:rPr>
              <w:t>Interpretação no relatório</w:t>
            </w:r>
          </w:p>
        </w:tc>
      </w:tr>
      <w:tr>
        <w:trPr>
          <w:cantSplit/>
          <w:cantSplit/>
        </w:trPr>
        <w:tc>
          <w:tcPr>
            <w:tcW w:type="dxa" w:w="1800"/>
            <w:vAlign w:val="top"/>
          </w:tcPr>
          <w:p>
            <w:pPr>
              <w:spacing w:after="0"/>
            </w:pPr>
            <w:r>
              <w:rPr>
                <w:rFonts w:ascii="Arial" w:hAnsi="Arial"/>
                <w:sz w:val="14"/>
              </w:rPr>
              <w:t>Restrição</w:t>
            </w:r>
          </w:p>
        </w:tc>
        <w:tc>
          <w:tcPr>
            <w:tcW w:type="dxa" w:w="2520"/>
            <w:vAlign w:val="top"/>
          </w:tcPr>
          <w:p>
            <w:pPr>
              <w:spacing w:after="0"/>
            </w:pPr>
            <w:r>
              <w:rPr>
                <w:rFonts w:ascii="Arial" w:hAnsi="Arial"/>
                <w:sz w:val="14"/>
              </w:rPr>
              <w:t>CAR × Embargo IBAMA</w:t>
            </w:r>
          </w:p>
        </w:tc>
        <w:tc>
          <w:tcPr>
            <w:tcW w:type="dxa" w:w="5040"/>
            <w:vAlign w:val="top"/>
          </w:tcPr>
          <w:p>
            <w:pPr>
              <w:spacing w:after="0"/>
            </w:pPr>
            <w:r>
              <w:rPr>
                <w:rFonts w:ascii="Arial" w:hAnsi="Arial"/>
                <w:sz w:val="14"/>
              </w:rPr>
              <w:t>restrição ambiental espacial; sempre destacar e calcular área/percentual.</w:t>
            </w:r>
          </w:p>
        </w:tc>
      </w:tr>
      <w:tr>
        <w:trPr>
          <w:cantSplit/>
          <w:cantSplit/>
        </w:trPr>
        <w:tc>
          <w:tcPr>
            <w:tcW w:type="dxa" w:w="1800"/>
            <w:vAlign w:val="top"/>
          </w:tcPr>
          <w:p>
            <w:pPr>
              <w:spacing w:after="0"/>
            </w:pPr>
            <w:r>
              <w:rPr>
                <w:rFonts w:ascii="Arial" w:hAnsi="Arial"/>
                <w:sz w:val="14"/>
              </w:rPr>
              <w:t>Alerta</w:t>
            </w:r>
          </w:p>
        </w:tc>
        <w:tc>
          <w:tcPr>
            <w:tcW w:type="dxa" w:w="2520"/>
            <w:vAlign w:val="top"/>
          </w:tcPr>
          <w:p>
            <w:pPr>
              <w:spacing w:after="0"/>
            </w:pPr>
            <w:r>
              <w:rPr>
                <w:rFonts w:ascii="Arial" w:hAnsi="Arial"/>
                <w:sz w:val="14"/>
              </w:rPr>
              <w:t>CAR × CAR</w:t>
            </w:r>
          </w:p>
        </w:tc>
        <w:tc>
          <w:tcPr>
            <w:tcW w:type="dxa" w:w="5040"/>
            <w:vAlign w:val="top"/>
          </w:tcPr>
          <w:p>
            <w:pPr>
              <w:spacing w:after="0"/>
            </w:pPr>
            <w:r>
              <w:rPr>
                <w:rFonts w:ascii="Arial" w:hAnsi="Arial"/>
                <w:sz w:val="14"/>
              </w:rPr>
              <w:t>possível duplicidade/conflito/erro de delimitação; não afirmar litígio sem diligência.</w:t>
            </w:r>
          </w:p>
        </w:tc>
      </w:tr>
      <w:tr>
        <w:trPr>
          <w:cantSplit/>
          <w:cantSplit/>
        </w:trPr>
        <w:tc>
          <w:tcPr>
            <w:tcW w:type="dxa" w:w="1800"/>
            <w:vAlign w:val="top"/>
          </w:tcPr>
          <w:p>
            <w:pPr>
              <w:spacing w:after="0"/>
            </w:pPr>
            <w:r>
              <w:rPr>
                <w:rFonts w:ascii="Arial" w:hAnsi="Arial"/>
                <w:sz w:val="14"/>
              </w:rPr>
              <w:t>Relacionamento</w:t>
            </w:r>
          </w:p>
        </w:tc>
        <w:tc>
          <w:tcPr>
            <w:tcW w:type="dxa" w:w="2520"/>
            <w:vAlign w:val="top"/>
          </w:tcPr>
          <w:p>
            <w:pPr>
              <w:spacing w:after="0"/>
            </w:pPr>
            <w:r>
              <w:rPr>
                <w:rFonts w:ascii="Arial" w:hAnsi="Arial"/>
                <w:sz w:val="14"/>
              </w:rPr>
              <w:t>CAR × SIGEF</w:t>
            </w:r>
          </w:p>
        </w:tc>
        <w:tc>
          <w:tcPr>
            <w:tcW w:type="dxa" w:w="5040"/>
            <w:vAlign w:val="top"/>
          </w:tcPr>
          <w:p>
            <w:pPr>
              <w:spacing w:after="0"/>
            </w:pPr>
            <w:r>
              <w:rPr>
                <w:rFonts w:ascii="Arial" w:hAnsi="Arial"/>
                <w:sz w:val="14"/>
              </w:rPr>
              <w:t>consistência ou divergência entre cadastro ambiental e parcela georreferenciada; não é restrição por si só.</w:t>
            </w:r>
          </w:p>
        </w:tc>
      </w:tr>
      <w:tr>
        <w:trPr>
          <w:cantSplit/>
          <w:cantSplit/>
        </w:trPr>
        <w:tc>
          <w:tcPr>
            <w:tcW w:type="dxa" w:w="1800"/>
            <w:vAlign w:val="top"/>
          </w:tcPr>
          <w:p>
            <w:pPr>
              <w:spacing w:after="0"/>
            </w:pPr>
            <w:r>
              <w:rPr>
                <w:rFonts w:ascii="Arial" w:hAnsi="Arial"/>
                <w:sz w:val="14"/>
              </w:rPr>
              <w:t>Expansão RE Rural</w:t>
            </w:r>
          </w:p>
        </w:tc>
        <w:tc>
          <w:tcPr>
            <w:tcW w:type="dxa" w:w="2520"/>
            <w:vAlign w:val="top"/>
          </w:tcPr>
          <w:p>
            <w:pPr>
              <w:spacing w:after="0"/>
            </w:pPr>
            <w:r>
              <w:rPr>
                <w:rFonts w:ascii="Arial" w:hAnsi="Arial"/>
                <w:sz w:val="14"/>
              </w:rPr>
              <w:t>imóvel × TI/UC/quilombola/PRODES/SICOR/assentamento</w:t>
            </w:r>
          </w:p>
        </w:tc>
        <w:tc>
          <w:tcPr>
            <w:tcW w:type="dxa" w:w="5040"/>
            <w:vAlign w:val="top"/>
          </w:tcPr>
          <w:p>
            <w:pPr>
              <w:spacing w:after="0"/>
            </w:pPr>
            <w:r>
              <w:rPr>
                <w:rFonts w:ascii="Arial" w:hAnsi="Arial"/>
                <w:sz w:val="14"/>
              </w:rPr>
              <w:t>classificar por natureza: restrição, contexto, alerta temporal ou relacionamento.</w:t>
            </w:r>
          </w:p>
        </w:tc>
      </w:tr>
    </w:tbl>
    <w:p>
      <w:pPr>
        <w:spacing w:after="20"/>
      </w:pPr>
    </w:p>
    <w:p>
      <w:pPr>
        <w:spacing w:after="30"/>
        <w:ind w:left="259" w:hanging="173"/>
      </w:pPr>
      <w:r>
        <w:t xml:space="preserve">• </w:t>
      </w:r>
      <w:r>
        <w:t>Métricas obrigatórias: área A, área B, união, interseção, % sobre A, % sobre B e % sobre união.</w:t>
      </w:r>
    </w:p>
    <w:p>
      <w:pPr>
        <w:spacing w:after="30"/>
        <w:ind w:left="259" w:hanging="173"/>
      </w:pPr>
      <w:r>
        <w:t xml:space="preserve">• </w:t>
      </w:r>
      <w:r>
        <w:t>Guardar a geometria da interseção e hash das versões das duas geometrias usadas no cálculo.</w:t>
      </w:r>
    </w:p>
    <w:p>
      <w:pPr>
        <w:spacing w:after="30"/>
        <w:ind w:left="259" w:hanging="173"/>
      </w:pPr>
      <w:r>
        <w:t xml:space="preserve">• </w:t>
      </w:r>
      <w:r>
        <w:t>Sobreposições marginais podem ser recolhidas na interface, mas nunca descartadas do banco; limiares de 1% devem ser parâmetro de UI, não regra jurídica.</w:t>
      </w:r>
    </w:p>
    <w:p>
      <w:pPr>
        <w:spacing w:after="30"/>
        <w:ind w:left="259" w:hanging="173"/>
      </w:pPr>
      <w:r>
        <w:t xml:space="preserve">• </w:t>
      </w:r>
      <w:r>
        <w:t>Comparar nosso cálculo geométrico com demonstrativos oficiais quando estes existirem; divergências devem ser explicitadas.</w:t>
      </w:r>
    </w:p>
    <w:p>
      <w:pPr>
        <w:pStyle w:val="Heading2"/>
      </w:pPr>
      <w:r>
        <w:t>25.18 Downloads, GIS e interoperabilidade</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232"/>
            <w:shd w:fill="EDEDED"/>
            <w:vAlign w:val="center"/>
          </w:tcPr>
          <w:p>
            <w:pPr>
              <w:spacing w:after="0"/>
            </w:pPr>
            <w:r>
              <w:rPr>
                <w:rFonts w:ascii="Arial" w:hAnsi="Arial"/>
                <w:b/>
                <w:sz w:val="15"/>
              </w:rPr>
              <w:t>Saída</w:t>
            </w:r>
          </w:p>
        </w:tc>
        <w:tc>
          <w:tcPr>
            <w:tcW w:type="dxa" w:w="7128"/>
            <w:shd w:fill="EDEDED"/>
            <w:vAlign w:val="center"/>
          </w:tcPr>
          <w:p>
            <w:pPr>
              <w:spacing w:after="0"/>
            </w:pPr>
            <w:r>
              <w:rPr>
                <w:rFonts w:ascii="Arial" w:hAnsi="Arial"/>
                <w:b/>
                <w:sz w:val="15"/>
              </w:rPr>
              <w:t>Uso</w:t>
            </w:r>
          </w:p>
        </w:tc>
      </w:tr>
      <w:tr>
        <w:trPr>
          <w:cantSplit/>
          <w:cantSplit/>
        </w:trPr>
        <w:tc>
          <w:tcPr>
            <w:tcW w:type="dxa" w:w="2232"/>
            <w:vAlign w:val="top"/>
          </w:tcPr>
          <w:p>
            <w:pPr>
              <w:spacing w:after="0"/>
            </w:pPr>
            <w:r>
              <w:rPr>
                <w:rFonts w:ascii="Arial" w:hAnsi="Arial"/>
                <w:sz w:val="15"/>
              </w:rPr>
              <w:t>KMZ</w:t>
            </w:r>
          </w:p>
        </w:tc>
        <w:tc>
          <w:tcPr>
            <w:tcW w:type="dxa" w:w="7128"/>
            <w:vAlign w:val="top"/>
          </w:tcPr>
          <w:p>
            <w:pPr>
              <w:spacing w:after="0"/>
            </w:pPr>
            <w:r>
              <w:rPr>
                <w:rFonts w:ascii="Arial" w:hAnsi="Arial"/>
                <w:sz w:val="15"/>
              </w:rPr>
              <w:t>Google Earth e compartilhamento compacto; recomendado para usuário geral.</w:t>
            </w:r>
          </w:p>
        </w:tc>
      </w:tr>
      <w:tr>
        <w:trPr>
          <w:cantSplit/>
          <w:cantSplit/>
        </w:trPr>
        <w:tc>
          <w:tcPr>
            <w:tcW w:type="dxa" w:w="2232"/>
            <w:vAlign w:val="top"/>
          </w:tcPr>
          <w:p>
            <w:pPr>
              <w:spacing w:after="0"/>
            </w:pPr>
            <w:r>
              <w:rPr>
                <w:rFonts w:ascii="Arial" w:hAnsi="Arial"/>
                <w:sz w:val="15"/>
              </w:rPr>
              <w:t>KML</w:t>
            </w:r>
          </w:p>
        </w:tc>
        <w:tc>
          <w:tcPr>
            <w:tcW w:type="dxa" w:w="7128"/>
            <w:vAlign w:val="top"/>
          </w:tcPr>
          <w:p>
            <w:pPr>
              <w:spacing w:after="0"/>
            </w:pPr>
            <w:r>
              <w:rPr>
                <w:rFonts w:ascii="Arial" w:hAnsi="Arial"/>
                <w:sz w:val="15"/>
              </w:rPr>
              <w:t>XML aberto, validação/edição e interoperabilidade ampla.</w:t>
            </w:r>
          </w:p>
        </w:tc>
      </w:tr>
      <w:tr>
        <w:trPr>
          <w:cantSplit/>
          <w:cantSplit/>
        </w:trPr>
        <w:tc>
          <w:tcPr>
            <w:tcW w:type="dxa" w:w="2232"/>
            <w:vAlign w:val="top"/>
          </w:tcPr>
          <w:p>
            <w:pPr>
              <w:spacing w:after="0"/>
            </w:pPr>
            <w:r>
              <w:rPr>
                <w:rFonts w:ascii="Arial" w:hAnsi="Arial"/>
                <w:sz w:val="15"/>
              </w:rPr>
              <w:t>KML/KMZ da Reserva Legal</w:t>
            </w:r>
          </w:p>
        </w:tc>
        <w:tc>
          <w:tcPr>
            <w:tcW w:type="dxa" w:w="7128"/>
            <w:vAlign w:val="top"/>
          </w:tcPr>
          <w:p>
            <w:pPr>
              <w:spacing w:after="0"/>
            </w:pPr>
            <w:r>
              <w:rPr>
                <w:rFonts w:ascii="Arial" w:hAnsi="Arial"/>
                <w:sz w:val="15"/>
              </w:rPr>
              <w:t>exportação separada da RL do CAR quando a geometria estiver disponível.</w:t>
            </w:r>
          </w:p>
        </w:tc>
      </w:tr>
      <w:tr>
        <w:trPr>
          <w:cantSplit/>
          <w:cantSplit/>
        </w:trPr>
        <w:tc>
          <w:tcPr>
            <w:tcW w:type="dxa" w:w="2232"/>
            <w:vAlign w:val="top"/>
          </w:tcPr>
          <w:p>
            <w:pPr>
              <w:spacing w:after="0"/>
            </w:pPr>
            <w:r>
              <w:rPr>
                <w:rFonts w:ascii="Arial" w:hAnsi="Arial"/>
                <w:sz w:val="15"/>
              </w:rPr>
              <w:t>GeoJSON</w:t>
            </w:r>
          </w:p>
        </w:tc>
        <w:tc>
          <w:tcPr>
            <w:tcW w:type="dxa" w:w="7128"/>
            <w:vAlign w:val="top"/>
          </w:tcPr>
          <w:p>
            <w:pPr>
              <w:spacing w:after="0"/>
            </w:pPr>
            <w:r>
              <w:rPr>
                <w:rFonts w:ascii="Arial" w:hAnsi="Arial"/>
                <w:sz w:val="15"/>
              </w:rPr>
              <w:t>APIs web, depuração e integrações leves.</w:t>
            </w:r>
          </w:p>
        </w:tc>
      </w:tr>
      <w:tr>
        <w:trPr>
          <w:cantSplit/>
          <w:cantSplit/>
        </w:trPr>
        <w:tc>
          <w:tcPr>
            <w:tcW w:type="dxa" w:w="2232"/>
            <w:vAlign w:val="top"/>
          </w:tcPr>
          <w:p>
            <w:pPr>
              <w:spacing w:after="0"/>
            </w:pPr>
            <w:r>
              <w:rPr>
                <w:rFonts w:ascii="Arial" w:hAnsi="Arial"/>
                <w:sz w:val="15"/>
              </w:rPr>
              <w:t>GeoPackage</w:t>
            </w:r>
          </w:p>
        </w:tc>
        <w:tc>
          <w:tcPr>
            <w:tcW w:type="dxa" w:w="7128"/>
            <w:vAlign w:val="top"/>
          </w:tcPr>
          <w:p>
            <w:pPr>
              <w:spacing w:after="0"/>
            </w:pPr>
            <w:r>
              <w:rPr>
                <w:rFonts w:ascii="Arial" w:hAnsi="Arial"/>
                <w:sz w:val="15"/>
              </w:rPr>
              <w:t>pacotes técnicos, múltiplas camadas e grandes volumes.</w:t>
            </w:r>
          </w:p>
        </w:tc>
      </w:tr>
      <w:tr>
        <w:trPr>
          <w:cantSplit/>
          <w:cantSplit/>
        </w:trPr>
        <w:tc>
          <w:tcPr>
            <w:tcW w:type="dxa" w:w="2232"/>
            <w:vAlign w:val="top"/>
          </w:tcPr>
          <w:p>
            <w:pPr>
              <w:spacing w:after="0"/>
            </w:pPr>
            <w:r>
              <w:rPr>
                <w:rFonts w:ascii="Arial" w:hAnsi="Arial"/>
                <w:sz w:val="15"/>
              </w:rPr>
              <w:t>CSV/XLSX</w:t>
            </w:r>
          </w:p>
        </w:tc>
        <w:tc>
          <w:tcPr>
            <w:tcW w:type="dxa" w:w="7128"/>
            <w:vAlign w:val="top"/>
          </w:tcPr>
          <w:p>
            <w:pPr>
              <w:spacing w:after="0"/>
            </w:pPr>
            <w:r>
              <w:rPr>
                <w:rFonts w:ascii="Arial" w:hAnsi="Arial"/>
                <w:sz w:val="15"/>
              </w:rPr>
              <w:t>resultados alfanuméricos e listas de entidades.</w:t>
            </w:r>
          </w:p>
        </w:tc>
      </w:tr>
      <w:tr>
        <w:trPr>
          <w:cantSplit/>
          <w:cantSplit/>
        </w:trPr>
        <w:tc>
          <w:tcPr>
            <w:tcW w:type="dxa" w:w="2232"/>
            <w:vAlign w:val="top"/>
          </w:tcPr>
          <w:p>
            <w:pPr>
              <w:spacing w:after="0"/>
            </w:pPr>
            <w:r>
              <w:rPr>
                <w:rFonts w:ascii="Arial" w:hAnsi="Arial"/>
                <w:sz w:val="15"/>
              </w:rPr>
              <w:t>PDF</w:t>
            </w:r>
          </w:p>
        </w:tc>
        <w:tc>
          <w:tcPr>
            <w:tcW w:type="dxa" w:w="7128"/>
            <w:vAlign w:val="top"/>
          </w:tcPr>
          <w:p>
            <w:pPr>
              <w:spacing w:after="0"/>
            </w:pPr>
            <w:r>
              <w:rPr>
                <w:rFonts w:ascii="Arial" w:hAnsi="Arial"/>
                <w:sz w:val="15"/>
              </w:rPr>
              <w:t>dossiê técnico/auditável, mapas e evidências.</w:t>
            </w:r>
          </w:p>
        </w:tc>
      </w:tr>
    </w:tbl>
    <w:p>
      <w:pPr>
        <w:spacing w:after="20"/>
      </w:pPr>
    </w:p>
    <w:p>
      <w:pPr>
        <w:spacing w:after="30"/>
        <w:ind w:left="259" w:hanging="173"/>
      </w:pPr>
      <w:r>
        <w:t xml:space="preserve">• </w:t>
      </w:r>
      <w:r>
        <w:t>Toda exportação deve carregar metadados: fonte, data-base, data de download, identificador da consulta, CRS/SRID e aviso de natureza do dado.</w:t>
      </w:r>
    </w:p>
    <w:p>
      <w:pPr>
        <w:pStyle w:val="Heading2"/>
      </w:pPr>
      <w:r>
        <w:t>25.19 Relatórios e dossiês</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520"/>
            <w:shd w:fill="EDEDED"/>
            <w:vAlign w:val="center"/>
          </w:tcPr>
          <w:p>
            <w:pPr>
              <w:spacing w:after="0"/>
            </w:pPr>
            <w:r>
              <w:rPr>
                <w:rFonts w:ascii="Arial" w:hAnsi="Arial"/>
                <w:b/>
                <w:sz w:val="14"/>
              </w:rPr>
              <w:t>Relatório observado</w:t>
            </w:r>
          </w:p>
        </w:tc>
        <w:tc>
          <w:tcPr>
            <w:tcW w:type="dxa" w:w="6840"/>
            <w:shd w:fill="EDEDED"/>
            <w:vAlign w:val="center"/>
          </w:tcPr>
          <w:p>
            <w:pPr>
              <w:spacing w:after="0"/>
            </w:pPr>
            <w:r>
              <w:rPr>
                <w:rFonts w:ascii="Arial" w:hAnsi="Arial"/>
                <w:b/>
                <w:sz w:val="14"/>
              </w:rPr>
              <w:t>Conteúdo que o RE Rural deve entregar</w:t>
            </w:r>
          </w:p>
        </w:tc>
      </w:tr>
      <w:tr>
        <w:trPr>
          <w:cantSplit/>
          <w:cantSplit/>
        </w:trPr>
        <w:tc>
          <w:tcPr>
            <w:tcW w:type="dxa" w:w="2520"/>
            <w:vAlign w:val="top"/>
          </w:tcPr>
          <w:p>
            <w:pPr>
              <w:spacing w:after="0"/>
            </w:pPr>
            <w:r>
              <w:rPr>
                <w:rFonts w:ascii="Arial" w:hAnsi="Arial"/>
                <w:sz w:val="14"/>
              </w:rPr>
              <w:t>CAR Completo</w:t>
            </w:r>
          </w:p>
        </w:tc>
        <w:tc>
          <w:tcPr>
            <w:tcW w:type="dxa" w:w="6840"/>
            <w:vAlign w:val="top"/>
          </w:tcPr>
          <w:p>
            <w:pPr>
              <w:spacing w:after="0"/>
            </w:pPr>
            <w:r>
              <w:rPr>
                <w:rFonts w:ascii="Arial" w:hAnsi="Arial"/>
                <w:sz w:val="14"/>
              </w:rPr>
              <w:t>dados do imóvel; proprietários/possuidores quando autorizados; RL, APP, uso consolidado; documentação/cartório quando disponível; mapa satélite; cadastrante; situação e histórico SICAR.</w:t>
            </w:r>
          </w:p>
        </w:tc>
      </w:tr>
      <w:tr>
        <w:trPr>
          <w:cantSplit/>
          <w:cantSplit/>
        </w:trPr>
        <w:tc>
          <w:tcPr>
            <w:tcW w:type="dxa" w:w="2520"/>
            <w:vAlign w:val="top"/>
          </w:tcPr>
          <w:p>
            <w:pPr>
              <w:spacing w:after="0"/>
            </w:pPr>
            <w:r>
              <w:rPr>
                <w:rFonts w:ascii="Arial" w:hAnsi="Arial"/>
                <w:sz w:val="14"/>
              </w:rPr>
              <w:t>Busca CAR por CPF/CNPJ</w:t>
            </w:r>
          </w:p>
        </w:tc>
        <w:tc>
          <w:tcPr>
            <w:tcW w:type="dxa" w:w="6840"/>
            <w:vAlign w:val="top"/>
          </w:tcPr>
          <w:p>
            <w:pPr>
              <w:spacing w:after="0"/>
            </w:pPr>
            <w:r>
              <w:rPr>
                <w:rFonts w:ascii="Arial" w:hAnsi="Arial"/>
                <w:sz w:val="14"/>
              </w:rPr>
              <w:t>CARs vinculados; área total; separação cadastrante × proprietário; distribuição por município/UF; resumo executivo e alertas.</w:t>
            </w:r>
          </w:p>
        </w:tc>
      </w:tr>
      <w:tr>
        <w:trPr>
          <w:cantSplit/>
          <w:cantSplit/>
        </w:trPr>
        <w:tc>
          <w:tcPr>
            <w:tcW w:type="dxa" w:w="2520"/>
            <w:vAlign w:val="top"/>
          </w:tcPr>
          <w:p>
            <w:pPr>
              <w:spacing w:after="0"/>
            </w:pPr>
            <w:r>
              <w:rPr>
                <w:rFonts w:ascii="Arial" w:hAnsi="Arial"/>
                <w:sz w:val="14"/>
              </w:rPr>
              <w:t>INCRA Completo</w:t>
            </w:r>
          </w:p>
        </w:tc>
        <w:tc>
          <w:tcPr>
            <w:tcW w:type="dxa" w:w="6840"/>
            <w:vAlign w:val="top"/>
          </w:tcPr>
          <w:p>
            <w:pPr>
              <w:spacing w:after="0"/>
            </w:pPr>
            <w:r>
              <w:rPr>
                <w:rFonts w:ascii="Arial" w:hAnsi="Arial"/>
                <w:sz w:val="14"/>
              </w:rPr>
              <w:t>denominação/localização; tipos de área; titulares e %; áreas registradas; CCIR; módulos fiscais/rurais; classificação; matrícula/cartório quando disponível.</w:t>
            </w:r>
          </w:p>
        </w:tc>
      </w:tr>
      <w:tr>
        <w:trPr>
          <w:cantSplit/>
          <w:cantSplit/>
        </w:trPr>
        <w:tc>
          <w:tcPr>
            <w:tcW w:type="dxa" w:w="2520"/>
            <w:vAlign w:val="top"/>
          </w:tcPr>
          <w:p>
            <w:pPr>
              <w:spacing w:after="0"/>
            </w:pPr>
            <w:r>
              <w:rPr>
                <w:rFonts w:ascii="Arial" w:hAnsi="Arial"/>
                <w:sz w:val="14"/>
              </w:rPr>
              <w:t>Busca INCRA por CPF/CNPJ</w:t>
            </w:r>
          </w:p>
        </w:tc>
        <w:tc>
          <w:tcPr>
            <w:tcW w:type="dxa" w:w="6840"/>
            <w:vAlign w:val="top"/>
          </w:tcPr>
          <w:p>
            <w:pPr>
              <w:spacing w:after="0"/>
            </w:pPr>
            <w:r>
              <w:rPr>
                <w:rFonts w:ascii="Arial" w:hAnsi="Arial"/>
                <w:sz w:val="14"/>
              </w:rPr>
              <w:t>imóveis SNCR vinculados; áreas; titulares; distribuição geográfica; outros titulares; dados do pesquisado quando a integração autorizada permitir.</w:t>
            </w:r>
          </w:p>
        </w:tc>
      </w:tr>
      <w:tr>
        <w:trPr>
          <w:cantSplit/>
          <w:cantSplit/>
        </w:trPr>
        <w:tc>
          <w:tcPr>
            <w:tcW w:type="dxa" w:w="2520"/>
            <w:vAlign w:val="top"/>
          </w:tcPr>
          <w:p>
            <w:pPr>
              <w:spacing w:after="0"/>
            </w:pPr>
            <w:r>
              <w:rPr>
                <w:rFonts w:ascii="Arial" w:hAnsi="Arial"/>
                <w:sz w:val="14"/>
              </w:rPr>
              <w:t>RE Rural 360 — novo</w:t>
            </w:r>
          </w:p>
        </w:tc>
        <w:tc>
          <w:tcPr>
            <w:tcW w:type="dxa" w:w="6840"/>
            <w:vAlign w:val="top"/>
          </w:tcPr>
          <w:p>
            <w:pPr>
              <w:spacing w:after="0"/>
            </w:pPr>
            <w:r>
              <w:rPr>
                <w:rFonts w:ascii="Arial" w:hAnsi="Arial"/>
                <w:sz w:val="14"/>
              </w:rPr>
              <w:t>unifica CAR + SNCR + SIGEF + CAFIR/CIB + registro de matrícula de referência + embargos + PRODES + camadas territoriais + SICOR + divergências + timeline + anexos de evidência.</w:t>
            </w:r>
          </w:p>
        </w:tc>
      </w:tr>
    </w:tbl>
    <w:p>
      <w:pPr>
        <w:spacing w:after="20"/>
      </w:pPr>
    </w:p>
    <w:p>
      <w:pPr>
        <w:spacing w:after="30"/>
        <w:ind w:left="259" w:hanging="173"/>
      </w:pPr>
      <w:r>
        <w:t xml:space="preserve">• </w:t>
      </w:r>
      <w:r>
        <w:t>Dossiê auditável: data/hora carimbada, versões das fontes, hashes, links oficiais, consulta espacial reproduzível e trilha de quem gerou/acessou.</w:t>
      </w:r>
    </w:p>
    <w:p>
      <w:pPr>
        <w:pStyle w:val="Heading2"/>
      </w:pPr>
      <w:r>
        <w:t>25.20 Monitoramento e alertas</w:t>
      </w:r>
    </w:p>
    <w:p>
      <w:pPr>
        <w:spacing w:after="30"/>
        <w:ind w:left="259" w:hanging="173"/>
      </w:pPr>
      <w:r>
        <w:t xml:space="preserve">• </w:t>
      </w:r>
      <w:r>
        <w:t>CAR: detectar nova retificação, mudança de situação/condição, alteração de área, regeneração/alteração do demonstrativo e mudança de geometria; enviar e-mail/notificação.</w:t>
      </w:r>
    </w:p>
    <w:p>
      <w:pPr>
        <w:spacing w:after="30"/>
        <w:ind w:left="259" w:hanging="173"/>
      </w:pPr>
      <w:r>
        <w:t xml:space="preserve">• </w:t>
      </w:r>
      <w:r>
        <w:t>Embargos: novo embargo que intersecta imóvel/portfólio, mudança de status ou atualização de geometria.</w:t>
      </w:r>
    </w:p>
    <w:p>
      <w:pPr>
        <w:spacing w:after="30"/>
        <w:ind w:left="259" w:hanging="173"/>
      </w:pPr>
      <w:r>
        <w:t xml:space="preserve">• </w:t>
      </w:r>
      <w:r>
        <w:t>PRODES/DETER: novo polígono que intersecta área monitorada; alertar como monitoramento, não como infração.</w:t>
      </w:r>
    </w:p>
    <w:p>
      <w:pPr>
        <w:spacing w:after="30"/>
        <w:ind w:left="259" w:hanging="173"/>
      </w:pPr>
      <w:r>
        <w:t xml:space="preserve">• </w:t>
      </w:r>
      <w:r>
        <w:t>SIGEF/SNCR/CIB: sinalizar alteração cadastral quando a fonte e a integração autorizada permitirem.</w:t>
      </w:r>
    </w:p>
    <w:p>
      <w:pPr>
        <w:spacing w:after="30"/>
        <w:ind w:left="259" w:hanging="173"/>
      </w:pPr>
      <w:r>
        <w:t xml:space="preserve">• </w:t>
      </w:r>
      <w:r>
        <w:t>Fontes/ETL: alertar administradores quando o endpoint falhar, schema mudar, volume cair anormalmente ou fonte ficar desatualizada.</w:t>
      </w:r>
    </w:p>
    <w:p>
      <w:pPr>
        <w:spacing w:after="30"/>
        <w:ind w:left="259" w:hanging="173"/>
      </w:pPr>
      <w:r>
        <w:t xml:space="preserve">• </w:t>
      </w:r>
      <w:r>
        <w:t>Portfolio: monitoramento por workspace/equipe, prioridade, tags, responsável, SLA e histórico de alertas resolvidos.</w:t>
      </w:r>
    </w:p>
    <w:p>
      <w:pPr>
        <w:pStyle w:val="Heading2"/>
      </w:pPr>
      <w:r>
        <w:t>25.21 Pessoas, empresas e resolução de entidades</w:t>
      </w:r>
    </w:p>
    <w:p>
      <w:pPr>
        <w:spacing w:after="60"/>
      </w:pPr>
      <w:r>
        <w:t>O material apresenta busca por pessoas físicas e jurídicas e relatórios por CPF/CNPJ. No RE Rural, pessoas não devem ser uma tabela “raspada” sem governança; devem ser entidades resolvidas a partir das fontes autorizadas e com acesso controlado.</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1944"/>
            <w:shd w:fill="EDEDED"/>
            <w:vAlign w:val="center"/>
          </w:tcPr>
          <w:p>
            <w:pPr>
              <w:spacing w:after="0"/>
            </w:pPr>
            <w:r>
              <w:rPr>
                <w:rFonts w:ascii="Arial" w:hAnsi="Arial"/>
                <w:b/>
                <w:sz w:val="15"/>
              </w:rPr>
              <w:t>Componente</w:t>
            </w:r>
          </w:p>
        </w:tc>
        <w:tc>
          <w:tcPr>
            <w:tcW w:type="dxa" w:w="7416"/>
            <w:shd w:fill="EDEDED"/>
            <w:vAlign w:val="center"/>
          </w:tcPr>
          <w:p>
            <w:pPr>
              <w:spacing w:after="0"/>
            </w:pPr>
            <w:r>
              <w:rPr>
                <w:rFonts w:ascii="Arial" w:hAnsi="Arial"/>
                <w:b/>
                <w:sz w:val="15"/>
              </w:rPr>
              <w:t>Regra</w:t>
            </w:r>
          </w:p>
        </w:tc>
      </w:tr>
      <w:tr>
        <w:trPr>
          <w:cantSplit/>
          <w:cantSplit/>
        </w:trPr>
        <w:tc>
          <w:tcPr>
            <w:tcW w:type="dxa" w:w="1944"/>
            <w:vAlign w:val="top"/>
          </w:tcPr>
          <w:p>
            <w:pPr>
              <w:spacing w:after="0"/>
            </w:pPr>
            <w:r>
              <w:rPr>
                <w:rFonts w:ascii="Arial" w:hAnsi="Arial"/>
                <w:sz w:val="15"/>
              </w:rPr>
              <w:t>Entity resolution</w:t>
            </w:r>
          </w:p>
        </w:tc>
        <w:tc>
          <w:tcPr>
            <w:tcW w:type="dxa" w:w="7416"/>
            <w:vAlign w:val="top"/>
          </w:tcPr>
          <w:p>
            <w:pPr>
              <w:spacing w:after="0"/>
            </w:pPr>
            <w:r>
              <w:rPr>
                <w:rFonts w:ascii="Arial" w:hAnsi="Arial"/>
                <w:sz w:val="15"/>
              </w:rPr>
              <w:t>normalizar nome, CPF/CNPJ tokenizado/criptografado, fonte e papel: titular, possuidor, cadastrante, autuado, responsável técnico, sócio/empresa quando permitido.</w:t>
            </w:r>
          </w:p>
        </w:tc>
      </w:tr>
      <w:tr>
        <w:trPr>
          <w:cantSplit/>
          <w:cantSplit/>
        </w:trPr>
        <w:tc>
          <w:tcPr>
            <w:tcW w:type="dxa" w:w="1944"/>
            <w:vAlign w:val="top"/>
          </w:tcPr>
          <w:p>
            <w:pPr>
              <w:spacing w:after="0"/>
            </w:pPr>
            <w:r>
              <w:rPr>
                <w:rFonts w:ascii="Arial" w:hAnsi="Arial"/>
                <w:sz w:val="15"/>
              </w:rPr>
              <w:t>Relacionamentos</w:t>
            </w:r>
          </w:p>
        </w:tc>
        <w:tc>
          <w:tcPr>
            <w:tcW w:type="dxa" w:w="7416"/>
            <w:vAlign w:val="top"/>
          </w:tcPr>
          <w:p>
            <w:pPr>
              <w:spacing w:after="0"/>
            </w:pPr>
            <w:r>
              <w:rPr>
                <w:rFonts w:ascii="Arial" w:hAnsi="Arial"/>
                <w:sz w:val="15"/>
              </w:rPr>
              <w:t>pessoa ↔ CAR; pessoa ↔ SNCR; pessoa ↔ CAFIR; autuado ↔ embargo; empresa ↔ workspace/CRM.</w:t>
            </w:r>
          </w:p>
        </w:tc>
      </w:tr>
      <w:tr>
        <w:trPr>
          <w:cantSplit/>
          <w:cantSplit/>
        </w:trPr>
        <w:tc>
          <w:tcPr>
            <w:tcW w:type="dxa" w:w="1944"/>
            <w:vAlign w:val="top"/>
          </w:tcPr>
          <w:p>
            <w:pPr>
              <w:spacing w:after="0"/>
            </w:pPr>
            <w:r>
              <w:rPr>
                <w:rFonts w:ascii="Arial" w:hAnsi="Arial"/>
                <w:sz w:val="15"/>
              </w:rPr>
              <w:t>Acesso</w:t>
            </w:r>
          </w:p>
        </w:tc>
        <w:tc>
          <w:tcPr>
            <w:tcW w:type="dxa" w:w="7416"/>
            <w:vAlign w:val="top"/>
          </w:tcPr>
          <w:p>
            <w:pPr>
              <w:spacing w:after="0"/>
            </w:pPr>
            <w:r>
              <w:rPr>
                <w:rFonts w:ascii="Arial" w:hAnsi="Arial"/>
                <w:sz w:val="15"/>
              </w:rPr>
              <w:t>campo sensível condicionado a autenticação, perfil, finalidade, plano/contrato e base legal.</w:t>
            </w:r>
          </w:p>
        </w:tc>
      </w:tr>
      <w:tr>
        <w:trPr>
          <w:cantSplit/>
          <w:cantSplit/>
        </w:trPr>
        <w:tc>
          <w:tcPr>
            <w:tcW w:type="dxa" w:w="1944"/>
            <w:vAlign w:val="top"/>
          </w:tcPr>
          <w:p>
            <w:pPr>
              <w:spacing w:after="0"/>
            </w:pPr>
            <w:r>
              <w:rPr>
                <w:rFonts w:ascii="Arial" w:hAnsi="Arial"/>
                <w:sz w:val="15"/>
              </w:rPr>
              <w:t>Auditoria</w:t>
            </w:r>
          </w:p>
        </w:tc>
        <w:tc>
          <w:tcPr>
            <w:tcW w:type="dxa" w:w="7416"/>
            <w:vAlign w:val="top"/>
          </w:tcPr>
          <w:p>
            <w:pPr>
              <w:spacing w:after="0"/>
            </w:pPr>
            <w:r>
              <w:rPr>
                <w:rFonts w:ascii="Arial" w:hAnsi="Arial"/>
                <w:sz w:val="15"/>
              </w:rPr>
              <w:t>registrar usuário, organização, finalidade, consulta, campos exibidos, relatório gerado e data.</w:t>
            </w:r>
          </w:p>
        </w:tc>
      </w:tr>
      <w:tr>
        <w:trPr>
          <w:cantSplit/>
          <w:cantSplit/>
        </w:trPr>
        <w:tc>
          <w:tcPr>
            <w:tcW w:type="dxa" w:w="1944"/>
            <w:vAlign w:val="top"/>
          </w:tcPr>
          <w:p>
            <w:pPr>
              <w:spacing w:after="0"/>
            </w:pPr>
            <w:r>
              <w:rPr>
                <w:rFonts w:ascii="Arial" w:hAnsi="Arial"/>
                <w:sz w:val="15"/>
              </w:rPr>
              <w:t>Minimização</w:t>
            </w:r>
          </w:p>
        </w:tc>
        <w:tc>
          <w:tcPr>
            <w:tcW w:type="dxa" w:w="7416"/>
            <w:vAlign w:val="top"/>
          </w:tcPr>
          <w:p>
            <w:pPr>
              <w:spacing w:after="0"/>
            </w:pPr>
            <w:r>
              <w:rPr>
                <w:rFonts w:ascii="Arial" w:hAnsi="Arial"/>
                <w:sz w:val="15"/>
              </w:rPr>
              <w:t>quando não necessário, exibir nome mascarado/identificador parcial e resultados agregados.</w:t>
            </w:r>
          </w:p>
        </w:tc>
      </w:tr>
    </w:tbl>
    <w:p>
      <w:pPr>
        <w:spacing w:after="20"/>
      </w:pPr>
    </w:p>
    <w:p>
      <w:pPr>
        <w:pStyle w:val="Heading2"/>
      </w:pPr>
      <w:r>
        <w:t>25.22 CRM, favoritos, documentos e workspace</w:t>
      </w:r>
    </w:p>
    <w:p>
      <w:pPr>
        <w:spacing w:after="30"/>
        <w:ind w:left="259" w:hanging="173"/>
      </w:pPr>
      <w:r>
        <w:t xml:space="preserve">• </w:t>
      </w:r>
      <w:r>
        <w:t>Favoritos: salvar imóveis/embargos/camadas com tags, pastas, notas, responsável e prioridade.</w:t>
      </w:r>
    </w:p>
    <w:p>
      <w:pPr>
        <w:spacing w:after="30"/>
        <w:ind w:left="259" w:hanging="173"/>
      </w:pPr>
      <w:r>
        <w:t xml:space="preserve">• </w:t>
      </w:r>
      <w:r>
        <w:t>Documentos: anexar matrícula, CCIR, recibo/demonstrativo CAR, certidões, laudos, KML/KMZ, contratos e comprovantes; OCR/extração somente como camada auxiliar com revisão.</w:t>
      </w:r>
    </w:p>
    <w:p>
      <w:pPr>
        <w:spacing w:after="30"/>
        <w:ind w:left="259" w:hanging="173"/>
      </w:pPr>
      <w:r>
        <w:t xml:space="preserve">• </w:t>
      </w:r>
      <w:r>
        <w:t>CRM Contatos: pessoa/empresa, documento, telefone/e-mail, papel na negociação/diligência e vínculo com imóveis.</w:t>
      </w:r>
    </w:p>
    <w:p>
      <w:pPr>
        <w:spacing w:after="30"/>
        <w:ind w:left="259" w:hanging="173"/>
      </w:pPr>
      <w:r>
        <w:t xml:space="preserve">• </w:t>
      </w:r>
      <w:r>
        <w:t>CRM Imóveis: imóvel interno do cliente, status da negociação, dados próprios, documentos e relacionamento com registros oficiais.</w:t>
      </w:r>
    </w:p>
    <w:p>
      <w:pPr>
        <w:spacing w:after="30"/>
        <w:ind w:left="259" w:hanging="173"/>
      </w:pPr>
      <w:r>
        <w:t xml:space="preserve">• </w:t>
      </w:r>
      <w:r>
        <w:t>Workspace: espaço individual, equipe ou corporativo; créditos/permissões compartilhadas; troca de workspace; convite e perfil.</w:t>
      </w:r>
    </w:p>
    <w:p>
      <w:pPr>
        <w:spacing w:after="30"/>
        <w:ind w:left="259" w:hanging="173"/>
      </w:pPr>
      <w:r>
        <w:t xml:space="preserve">• </w:t>
      </w:r>
      <w:r>
        <w:t>Atividade: histórico de buscas, páginas consultadas, relatórios, downloads, monitoramentos e ações de CRM.</w:t>
      </w:r>
    </w:p>
    <w:p>
      <w:pPr>
        <w:spacing w:after="30"/>
        <w:ind w:left="259" w:hanging="173"/>
      </w:pPr>
      <w:r>
        <w:t xml:space="preserve">• </w:t>
      </w:r>
      <w:r>
        <w:t>Notificações: alertas do sistema, monitoramento, recompensa/crédito, faturamento e tarefas de onboarding.</w:t>
      </w:r>
    </w:p>
    <w:p>
      <w:pPr>
        <w:pStyle w:val="Heading2"/>
      </w:pPr>
      <w:r>
        <w:t>25.23 Dashboard e operação diária</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232"/>
            <w:shd w:fill="EDEDED"/>
            <w:vAlign w:val="center"/>
          </w:tcPr>
          <w:p>
            <w:pPr>
              <w:spacing w:after="0"/>
            </w:pPr>
            <w:r>
              <w:rPr>
                <w:rFonts w:ascii="Arial" w:hAnsi="Arial"/>
                <w:b/>
                <w:sz w:val="15"/>
              </w:rPr>
              <w:t>Bloco observado</w:t>
            </w:r>
          </w:p>
        </w:tc>
        <w:tc>
          <w:tcPr>
            <w:tcW w:type="dxa" w:w="7128"/>
            <w:shd w:fill="EDEDED"/>
            <w:vAlign w:val="center"/>
          </w:tcPr>
          <w:p>
            <w:pPr>
              <w:spacing w:after="0"/>
            </w:pPr>
            <w:r>
              <w:rPr>
                <w:rFonts w:ascii="Arial" w:hAnsi="Arial"/>
                <w:b/>
                <w:sz w:val="15"/>
              </w:rPr>
              <w:t>Evolução recomendada</w:t>
            </w:r>
          </w:p>
        </w:tc>
      </w:tr>
      <w:tr>
        <w:trPr>
          <w:cantSplit/>
          <w:cantSplit/>
        </w:trPr>
        <w:tc>
          <w:tcPr>
            <w:tcW w:type="dxa" w:w="2232"/>
            <w:vAlign w:val="top"/>
          </w:tcPr>
          <w:p>
            <w:pPr>
              <w:spacing w:after="0"/>
            </w:pPr>
            <w:r>
              <w:rPr>
                <w:rFonts w:ascii="Arial" w:hAnsi="Arial"/>
                <w:sz w:val="15"/>
              </w:rPr>
              <w:t>Buscas do período</w:t>
            </w:r>
          </w:p>
        </w:tc>
        <w:tc>
          <w:tcPr>
            <w:tcW w:type="dxa" w:w="7128"/>
            <w:vAlign w:val="top"/>
          </w:tcPr>
          <w:p>
            <w:pPr>
              <w:spacing w:after="0"/>
            </w:pPr>
            <w:r>
              <w:rPr>
                <w:rFonts w:ascii="Arial" w:hAnsi="Arial"/>
                <w:sz w:val="15"/>
              </w:rPr>
              <w:t>volume por fonte, usuários e workspace; comparar semana/mês/trimestre.</w:t>
            </w:r>
          </w:p>
        </w:tc>
      </w:tr>
      <w:tr>
        <w:trPr>
          <w:cantSplit/>
          <w:cantSplit/>
        </w:trPr>
        <w:tc>
          <w:tcPr>
            <w:tcW w:type="dxa" w:w="2232"/>
            <w:vAlign w:val="top"/>
          </w:tcPr>
          <w:p>
            <w:pPr>
              <w:spacing w:after="0"/>
            </w:pPr>
            <w:r>
              <w:rPr>
                <w:rFonts w:ascii="Arial" w:hAnsi="Arial"/>
                <w:sz w:val="15"/>
              </w:rPr>
              <w:t>Relatórios emitidos</w:t>
            </w:r>
          </w:p>
        </w:tc>
        <w:tc>
          <w:tcPr>
            <w:tcW w:type="dxa" w:w="7128"/>
            <w:vAlign w:val="top"/>
          </w:tcPr>
          <w:p>
            <w:pPr>
              <w:spacing w:after="0"/>
            </w:pPr>
            <w:r>
              <w:rPr>
                <w:rFonts w:ascii="Arial" w:hAnsi="Arial"/>
                <w:sz w:val="15"/>
              </w:rPr>
              <w:t>quantidade, tipo, custo/crédito e status.</w:t>
            </w:r>
          </w:p>
        </w:tc>
      </w:tr>
      <w:tr>
        <w:trPr>
          <w:cantSplit/>
          <w:cantSplit/>
        </w:trPr>
        <w:tc>
          <w:tcPr>
            <w:tcW w:type="dxa" w:w="2232"/>
            <w:vAlign w:val="top"/>
          </w:tcPr>
          <w:p>
            <w:pPr>
              <w:spacing w:after="0"/>
            </w:pPr>
            <w:r>
              <w:rPr>
                <w:rFonts w:ascii="Arial" w:hAnsi="Arial"/>
                <w:sz w:val="15"/>
              </w:rPr>
              <w:t>Monitoramentos</w:t>
            </w:r>
          </w:p>
        </w:tc>
        <w:tc>
          <w:tcPr>
            <w:tcW w:type="dxa" w:w="7128"/>
            <w:vAlign w:val="top"/>
          </w:tcPr>
          <w:p>
            <w:pPr>
              <w:spacing w:after="0"/>
            </w:pPr>
            <w:r>
              <w:rPr>
                <w:rFonts w:ascii="Arial" w:hAnsi="Arial"/>
                <w:sz w:val="15"/>
              </w:rPr>
              <w:t>CARs/ativos monitorados, alertas novos e incidentes críticos.</w:t>
            </w:r>
          </w:p>
        </w:tc>
      </w:tr>
      <w:tr>
        <w:trPr>
          <w:cantSplit/>
          <w:cantSplit/>
        </w:trPr>
        <w:tc>
          <w:tcPr>
            <w:tcW w:type="dxa" w:w="2232"/>
            <w:vAlign w:val="top"/>
          </w:tcPr>
          <w:p>
            <w:pPr>
              <w:spacing w:after="0"/>
            </w:pPr>
            <w:r>
              <w:rPr>
                <w:rFonts w:ascii="Arial" w:hAnsi="Arial"/>
                <w:sz w:val="15"/>
              </w:rPr>
              <w:t>Atividade recente</w:t>
            </w:r>
          </w:p>
        </w:tc>
        <w:tc>
          <w:tcPr>
            <w:tcW w:type="dxa" w:w="7128"/>
            <w:vAlign w:val="top"/>
          </w:tcPr>
          <w:p>
            <w:pPr>
              <w:spacing w:after="0"/>
            </w:pPr>
            <w:r>
              <w:rPr>
                <w:rFonts w:ascii="Arial" w:hAnsi="Arial"/>
                <w:sz w:val="15"/>
              </w:rPr>
              <w:t>buscas, visualizações, relatórios e downloads.</w:t>
            </w:r>
          </w:p>
        </w:tc>
      </w:tr>
      <w:tr>
        <w:trPr>
          <w:cantSplit/>
          <w:cantSplit/>
        </w:trPr>
        <w:tc>
          <w:tcPr>
            <w:tcW w:type="dxa" w:w="2232"/>
            <w:vAlign w:val="top"/>
          </w:tcPr>
          <w:p>
            <w:pPr>
              <w:spacing w:after="0"/>
            </w:pPr>
            <w:r>
              <w:rPr>
                <w:rFonts w:ascii="Arial" w:hAnsi="Arial"/>
                <w:sz w:val="15"/>
              </w:rPr>
              <w:t>Favoritos recentes</w:t>
            </w:r>
          </w:p>
        </w:tc>
        <w:tc>
          <w:tcPr>
            <w:tcW w:type="dxa" w:w="7128"/>
            <w:vAlign w:val="top"/>
          </w:tcPr>
          <w:p>
            <w:pPr>
              <w:spacing w:after="0"/>
            </w:pPr>
            <w:r>
              <w:rPr>
                <w:rFonts w:ascii="Arial" w:hAnsi="Arial"/>
                <w:sz w:val="15"/>
              </w:rPr>
              <w:t>imóveis salvos e mudanças desde a última consulta.</w:t>
            </w:r>
          </w:p>
        </w:tc>
      </w:tr>
      <w:tr>
        <w:trPr>
          <w:cantSplit/>
          <w:cantSplit/>
        </w:trPr>
        <w:tc>
          <w:tcPr>
            <w:tcW w:type="dxa" w:w="2232"/>
            <w:vAlign w:val="top"/>
          </w:tcPr>
          <w:p>
            <w:pPr>
              <w:spacing w:after="0"/>
            </w:pPr>
            <w:r>
              <w:rPr>
                <w:rFonts w:ascii="Arial" w:hAnsi="Arial"/>
                <w:sz w:val="15"/>
              </w:rPr>
              <w:t>Créditos/uso</w:t>
            </w:r>
          </w:p>
        </w:tc>
        <w:tc>
          <w:tcPr>
            <w:tcW w:type="dxa" w:w="7128"/>
            <w:vAlign w:val="top"/>
          </w:tcPr>
          <w:p>
            <w:pPr>
              <w:spacing w:after="0"/>
            </w:pPr>
            <w:r>
              <w:rPr>
                <w:rFonts w:ascii="Arial" w:hAnsi="Arial"/>
                <w:sz w:val="15"/>
              </w:rPr>
              <w:t>cota, consumo, saldo e previsão; no B2B substituir por métricas contratuais/SLA.</w:t>
            </w:r>
          </w:p>
        </w:tc>
      </w:tr>
      <w:tr>
        <w:trPr>
          <w:cantSplit/>
          <w:cantSplit/>
        </w:trPr>
        <w:tc>
          <w:tcPr>
            <w:tcW w:type="dxa" w:w="2232"/>
            <w:vAlign w:val="top"/>
          </w:tcPr>
          <w:p>
            <w:pPr>
              <w:spacing w:after="0"/>
            </w:pPr>
            <w:r>
              <w:rPr>
                <w:rFonts w:ascii="Arial" w:hAnsi="Arial"/>
                <w:sz w:val="15"/>
              </w:rPr>
              <w:t>Primeiros passos</w:t>
            </w:r>
          </w:p>
        </w:tc>
        <w:tc>
          <w:tcPr>
            <w:tcW w:type="dxa" w:w="7128"/>
            <w:vAlign w:val="top"/>
          </w:tcPr>
          <w:p>
            <w:pPr>
              <w:spacing w:after="0"/>
            </w:pPr>
            <w:r>
              <w:rPr>
                <w:rFonts w:ascii="Arial" w:hAnsi="Arial"/>
                <w:sz w:val="15"/>
              </w:rPr>
              <w:t>verificação de identidade, mapa, ficha, relatório e configuração de workspace.</w:t>
            </w:r>
          </w:p>
        </w:tc>
      </w:tr>
    </w:tbl>
    <w:p>
      <w:pPr>
        <w:spacing w:after="20"/>
      </w:pPr>
    </w:p>
    <w:p>
      <w:pPr>
        <w:pStyle w:val="Heading2"/>
      </w:pPr>
      <w:r>
        <w:t>25.24 API para empresas e integrações</w:t>
      </w:r>
    </w:p>
    <w:p>
      <w:pPr>
        <w:spacing w:after="30"/>
        <w:ind w:left="259" w:hanging="173"/>
      </w:pPr>
      <w:r>
        <w:t xml:space="preserve">• </w:t>
      </w:r>
      <w:r>
        <w:t>Busca unificada por cadastro/código/documento e filtros geográficos.</w:t>
      </w:r>
    </w:p>
    <w:p>
      <w:pPr>
        <w:spacing w:after="30"/>
        <w:ind w:left="259" w:hanging="173"/>
      </w:pPr>
      <w:r>
        <w:t xml:space="preserve">• </w:t>
      </w:r>
      <w:r>
        <w:t>Resolve imóvel: receber CAR/SNCR/SIGEF/CIB/coordenada/geometria e retornar candidatos com confiança e razões do vínculo.</w:t>
      </w:r>
    </w:p>
    <w:p>
      <w:pPr>
        <w:spacing w:after="30"/>
        <w:ind w:left="259" w:hanging="173"/>
      </w:pPr>
      <w:r>
        <w:t xml:space="preserve">• </w:t>
      </w:r>
      <w:r>
        <w:t>Ficha cadastral normalizada por fonte, sempre com payload original preservado no data lake.</w:t>
      </w:r>
    </w:p>
    <w:p>
      <w:pPr>
        <w:spacing w:after="30"/>
        <w:ind w:left="259" w:hanging="173"/>
      </w:pPr>
      <w:r>
        <w:t xml:space="preserve">• </w:t>
      </w:r>
      <w:r>
        <w:t>Overlap API: geometry A × source B; retornar interseção, métricas e evidência.</w:t>
      </w:r>
    </w:p>
    <w:p>
      <w:pPr>
        <w:spacing w:after="30"/>
        <w:ind w:left="259" w:hanging="173"/>
      </w:pPr>
      <w:r>
        <w:t xml:space="preserve">• </w:t>
      </w:r>
      <w:r>
        <w:t>Monitoring API/webhook: alterações de CAR/embargo/PRODES e eventos do portfólio.</w:t>
      </w:r>
    </w:p>
    <w:p>
      <w:pPr>
        <w:spacing w:after="30"/>
        <w:ind w:left="259" w:hanging="173"/>
      </w:pPr>
      <w:r>
        <w:t xml:space="preserve">• </w:t>
      </w:r>
      <w:r>
        <w:t>Reports API: gerar dossiê assinado/identificado e consultar status.</w:t>
      </w:r>
    </w:p>
    <w:p>
      <w:pPr>
        <w:spacing w:after="30"/>
        <w:ind w:left="259" w:hanging="173"/>
      </w:pPr>
      <w:r>
        <w:t xml:space="preserve">• </w:t>
      </w:r>
      <w:r>
        <w:t>Bulk/portfolio: processar listas de CPFs/CNPJs/códigos/imóveis sob contrato e finalidade explícita.</w:t>
      </w:r>
    </w:p>
    <w:p>
      <w:pPr>
        <w:spacing w:after="30"/>
        <w:ind w:left="259" w:hanging="173"/>
      </w:pPr>
      <w:r>
        <w:t xml:space="preserve">• </w:t>
      </w:r>
      <w:r>
        <w:t>SLA, rate limit, idempotency keys, request_id, audit_id e versionamento de schema são obrigatórios em B2B.</w:t>
      </w:r>
    </w:p>
    <w:p>
      <w:pPr>
        <w:pStyle w:val="Heading2"/>
      </w:pPr>
      <w:r>
        <w:t>25.25 Arquitetura técnica do RE Rural</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F6F6F6"/>
          </w:tcPr>
          <w:p>
            <w:pPr>
              <w:spacing w:after="0"/>
            </w:pPr>
            <w:r>
              <w:rPr>
                <w:rFonts w:ascii="Arial" w:hAnsi="Arial"/>
                <w:sz w:val="17"/>
              </w:rPr>
            </w:r>
            <w:r>
              <w:rPr>
                <w:rFonts w:ascii="Courier New" w:hAnsi="Courier New"/>
                <w:sz w:val="14"/>
              </w:rPr>
              <w:t>FONTES OFICIAIS</w:t>
              <w:br/>
              <w:t>CAR | SNCR/CCIR | SIGEF | CAFIR/CIB | IBAMA | INPE | BCB | FUNAI | CNUC | INCRA</w:t>
              <w:br/>
              <w:t xml:space="preserve">        │</w:t>
              <w:br/>
              <w:t xml:space="preserve">        ▼</w:t>
              <w:br/>
              <w:t>SOURCE REGISTRY + CRAWLERS/APIs/WFS/DOWNLOADS</w:t>
              <w:br/>
              <w:t xml:space="preserve">        │</w:t>
              <w:br/>
              <w:t xml:space="preserve">        ▼</w:t>
              <w:br/>
              <w:t>RAW DATA LAKE IMUTÁVEL + HASH + DATA-BASE</w:t>
              <w:br/>
              <w:t xml:space="preserve">        │</w:t>
              <w:br/>
              <w:t xml:space="preserve">        ├── normalização cadastral</w:t>
              <w:br/>
              <w:t xml:space="preserve">        ├── normalização geográfica / CRS / validação topológica</w:t>
              <w:br/>
              <w:t xml:space="preserve">        ├── entity resolution pessoa↔imóvel</w:t>
              <w:br/>
              <w:t xml:space="preserve">        └── versionamento temporal</w:t>
              <w:br/>
              <w:t xml:space="preserve">        │</w:t>
              <w:br/>
              <w:t xml:space="preserve">        ▼</w:t>
              <w:br/>
              <w:t>POSTGRESQL + POSTGIS + SEARCH INDEX</w:t>
              <w:br/>
              <w:t xml:space="preserve">        │</w:t>
              <w:br/>
              <w:t xml:space="preserve">        ├── identity graph</w:t>
              <w:br/>
              <w:t xml:space="preserve">        ├── spatial overlap engine</w:t>
              <w:br/>
              <w:t xml:space="preserve">        ├── monitoring/diff engine</w:t>
              <w:br/>
              <w:t xml:space="preserve">        ├── report/evidence engine</w:t>
              <w:br/>
              <w:t xml:space="preserve">        └── policy/LGPD access layer</w:t>
              <w:br/>
              <w:t xml:space="preserve">        │</w:t>
              <w:br/>
              <w:t xml:space="preserve">        ▼</w:t>
              <w:br/>
              <w:t>BUSCA | MAPA | FICHA | SOBREPOSIÇÃO | PDF | KML/KMZ | CRM | API</w:t>
            </w:r>
          </w:p>
        </w:tc>
      </w:tr>
    </w:tbl>
    <w:p>
      <w:pPr>
        <w:spacing w:after="20"/>
      </w:pPr>
    </w:p>
    <w:p>
      <w:pPr>
        <w:pStyle w:val="Heading2"/>
      </w:pPr>
      <w:r>
        <w:t>25.26 Modelo de dados recomendado</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3024"/>
            <w:shd w:fill="EDEDED"/>
            <w:vAlign w:val="center"/>
          </w:tcPr>
          <w:p>
            <w:pPr>
              <w:spacing w:after="0"/>
            </w:pPr>
            <w:r>
              <w:rPr>
                <w:rFonts w:ascii="Arial" w:hAnsi="Arial"/>
                <w:b/>
                <w:sz w:val="13"/>
              </w:rPr>
              <w:t>Domínio/tabela</w:t>
            </w:r>
          </w:p>
        </w:tc>
        <w:tc>
          <w:tcPr>
            <w:tcW w:type="dxa" w:w="6336"/>
            <w:shd w:fill="EDEDED"/>
            <w:vAlign w:val="center"/>
          </w:tcPr>
          <w:p>
            <w:pPr>
              <w:spacing w:after="0"/>
            </w:pPr>
            <w:r>
              <w:rPr>
                <w:rFonts w:ascii="Arial" w:hAnsi="Arial"/>
                <w:b/>
                <w:sz w:val="13"/>
              </w:rPr>
              <w:t>Função</w:t>
            </w:r>
          </w:p>
        </w:tc>
      </w:tr>
      <w:tr>
        <w:trPr>
          <w:cantSplit/>
          <w:cantSplit/>
        </w:trPr>
        <w:tc>
          <w:tcPr>
            <w:tcW w:type="dxa" w:w="3024"/>
            <w:vAlign w:val="top"/>
          </w:tcPr>
          <w:p>
            <w:pPr>
              <w:spacing w:after="0"/>
            </w:pPr>
            <w:r>
              <w:rPr>
                <w:rFonts w:ascii="Arial" w:hAnsi="Arial"/>
                <w:sz w:val="13"/>
              </w:rPr>
              <w:t>rural.source_registry</w:t>
            </w:r>
          </w:p>
        </w:tc>
        <w:tc>
          <w:tcPr>
            <w:tcW w:type="dxa" w:w="6336"/>
            <w:vAlign w:val="top"/>
          </w:tcPr>
          <w:p>
            <w:pPr>
              <w:spacing w:after="0"/>
            </w:pPr>
            <w:r>
              <w:rPr>
                <w:rFonts w:ascii="Arial" w:hAnsi="Arial"/>
                <w:sz w:val="13"/>
              </w:rPr>
              <w:t>fonte, órgão, URL/canal, formato, licença, cadence, autenticação, qualidade e status.</w:t>
            </w:r>
          </w:p>
        </w:tc>
      </w:tr>
      <w:tr>
        <w:trPr>
          <w:cantSplit/>
          <w:cantSplit/>
        </w:trPr>
        <w:tc>
          <w:tcPr>
            <w:tcW w:type="dxa" w:w="3024"/>
            <w:vAlign w:val="top"/>
          </w:tcPr>
          <w:p>
            <w:pPr>
              <w:spacing w:after="0"/>
            </w:pPr>
            <w:r>
              <w:rPr>
                <w:rFonts w:ascii="Arial" w:hAnsi="Arial"/>
                <w:sz w:val="13"/>
              </w:rPr>
              <w:t>rural.source_snapshot</w:t>
            </w:r>
          </w:p>
        </w:tc>
        <w:tc>
          <w:tcPr>
            <w:tcW w:type="dxa" w:w="6336"/>
            <w:vAlign w:val="top"/>
          </w:tcPr>
          <w:p>
            <w:pPr>
              <w:spacing w:after="0"/>
            </w:pPr>
            <w:r>
              <w:rPr>
                <w:rFonts w:ascii="Arial" w:hAnsi="Arial"/>
                <w:sz w:val="13"/>
              </w:rPr>
              <w:t>versão da carga, hash, data da fonte, data da ingestão e artefato bruto.</w:t>
            </w:r>
          </w:p>
        </w:tc>
      </w:tr>
      <w:tr>
        <w:trPr>
          <w:cantSplit/>
          <w:cantSplit/>
        </w:trPr>
        <w:tc>
          <w:tcPr>
            <w:tcW w:type="dxa" w:w="3024"/>
            <w:vAlign w:val="top"/>
          </w:tcPr>
          <w:p>
            <w:pPr>
              <w:spacing w:after="0"/>
            </w:pPr>
            <w:r>
              <w:rPr>
                <w:rFonts w:ascii="Arial" w:hAnsi="Arial"/>
                <w:sz w:val="13"/>
              </w:rPr>
              <w:t>rural.asset</w:t>
            </w:r>
          </w:p>
        </w:tc>
        <w:tc>
          <w:tcPr>
            <w:tcW w:type="dxa" w:w="6336"/>
            <w:vAlign w:val="top"/>
          </w:tcPr>
          <w:p>
            <w:pPr>
              <w:spacing w:after="0"/>
            </w:pPr>
            <w:r>
              <w:rPr>
                <w:rFonts w:ascii="Arial" w:hAnsi="Arial"/>
                <w:sz w:val="13"/>
              </w:rPr>
              <w:t>entidade física/canônica “imóvel/área” interna; nunca substitui os registros oficiais.</w:t>
            </w:r>
          </w:p>
        </w:tc>
      </w:tr>
      <w:tr>
        <w:trPr>
          <w:cantSplit/>
          <w:cantSplit/>
        </w:trPr>
        <w:tc>
          <w:tcPr>
            <w:tcW w:type="dxa" w:w="3024"/>
            <w:vAlign w:val="top"/>
          </w:tcPr>
          <w:p>
            <w:pPr>
              <w:spacing w:after="0"/>
            </w:pPr>
            <w:r>
              <w:rPr>
                <w:rFonts w:ascii="Arial" w:hAnsi="Arial"/>
                <w:sz w:val="13"/>
              </w:rPr>
              <w:t>rural.registry_record</w:t>
            </w:r>
          </w:p>
        </w:tc>
        <w:tc>
          <w:tcPr>
            <w:tcW w:type="dxa" w:w="6336"/>
            <w:vAlign w:val="top"/>
          </w:tcPr>
          <w:p>
            <w:pPr>
              <w:spacing w:after="0"/>
            </w:pPr>
            <w:r>
              <w:rPr>
                <w:rFonts w:ascii="Arial" w:hAnsi="Arial"/>
                <w:sz w:val="13"/>
              </w:rPr>
              <w:t>um registro CAR/SNCR/SIGEF/CAFIR/embargo/PRODES/SICOR ligado ou candidato a asset.</w:t>
            </w:r>
          </w:p>
        </w:tc>
      </w:tr>
      <w:tr>
        <w:trPr>
          <w:cantSplit/>
          <w:cantSplit/>
        </w:trPr>
        <w:tc>
          <w:tcPr>
            <w:tcW w:type="dxa" w:w="3024"/>
            <w:vAlign w:val="top"/>
          </w:tcPr>
          <w:p>
            <w:pPr>
              <w:spacing w:after="0"/>
            </w:pPr>
            <w:r>
              <w:rPr>
                <w:rFonts w:ascii="Arial" w:hAnsi="Arial"/>
                <w:sz w:val="13"/>
              </w:rPr>
              <w:t>rural.registry_identifier</w:t>
            </w:r>
          </w:p>
        </w:tc>
        <w:tc>
          <w:tcPr>
            <w:tcW w:type="dxa" w:w="6336"/>
            <w:vAlign w:val="top"/>
          </w:tcPr>
          <w:p>
            <w:pPr>
              <w:spacing w:after="0"/>
            </w:pPr>
            <w:r>
              <w:rPr>
                <w:rFonts w:ascii="Arial" w:hAnsi="Arial"/>
                <w:sz w:val="13"/>
              </w:rPr>
              <w:t>números/códigos: CAR, SNCR, CIB, NIRF, SIGEF, CCIR, matrícula de referência, auto/termo.</w:t>
            </w:r>
          </w:p>
        </w:tc>
      </w:tr>
      <w:tr>
        <w:trPr>
          <w:cantSplit/>
          <w:cantSplit/>
        </w:trPr>
        <w:tc>
          <w:tcPr>
            <w:tcW w:type="dxa" w:w="3024"/>
            <w:vAlign w:val="top"/>
          </w:tcPr>
          <w:p>
            <w:pPr>
              <w:spacing w:after="0"/>
            </w:pPr>
            <w:r>
              <w:rPr>
                <w:rFonts w:ascii="Arial" w:hAnsi="Arial"/>
                <w:sz w:val="13"/>
              </w:rPr>
              <w:t>rural.geometry_version</w:t>
            </w:r>
          </w:p>
        </w:tc>
        <w:tc>
          <w:tcPr>
            <w:tcW w:type="dxa" w:w="6336"/>
            <w:vAlign w:val="top"/>
          </w:tcPr>
          <w:p>
            <w:pPr>
              <w:spacing w:after="0"/>
            </w:pPr>
            <w:r>
              <w:rPr>
                <w:rFonts w:ascii="Arial" w:hAnsi="Arial"/>
                <w:sz w:val="13"/>
              </w:rPr>
              <w:t>geometria por fonte, versão, SRID, área calculada, validade, hash e qualidade.</w:t>
            </w:r>
          </w:p>
        </w:tc>
      </w:tr>
      <w:tr>
        <w:trPr>
          <w:cantSplit/>
          <w:cantSplit/>
        </w:trPr>
        <w:tc>
          <w:tcPr>
            <w:tcW w:type="dxa" w:w="3024"/>
            <w:vAlign w:val="top"/>
          </w:tcPr>
          <w:p>
            <w:pPr>
              <w:spacing w:after="0"/>
            </w:pPr>
            <w:r>
              <w:rPr>
                <w:rFonts w:ascii="Arial" w:hAnsi="Arial"/>
                <w:sz w:val="13"/>
              </w:rPr>
              <w:t>rural.person_entity</w:t>
            </w:r>
          </w:p>
        </w:tc>
        <w:tc>
          <w:tcPr>
            <w:tcW w:type="dxa" w:w="6336"/>
            <w:vAlign w:val="top"/>
          </w:tcPr>
          <w:p>
            <w:pPr>
              <w:spacing w:after="0"/>
            </w:pPr>
            <w:r>
              <w:rPr>
                <w:rFonts w:ascii="Arial" w:hAnsi="Arial"/>
                <w:sz w:val="13"/>
              </w:rPr>
              <w:t>pessoa/empresa com proteção de identificadores e proveniência.</w:t>
            </w:r>
          </w:p>
        </w:tc>
      </w:tr>
      <w:tr>
        <w:trPr>
          <w:cantSplit/>
          <w:cantSplit/>
        </w:trPr>
        <w:tc>
          <w:tcPr>
            <w:tcW w:type="dxa" w:w="3024"/>
            <w:vAlign w:val="top"/>
          </w:tcPr>
          <w:p>
            <w:pPr>
              <w:spacing w:after="0"/>
            </w:pPr>
            <w:r>
              <w:rPr>
                <w:rFonts w:ascii="Arial" w:hAnsi="Arial"/>
                <w:sz w:val="13"/>
              </w:rPr>
              <w:t>rural.person_role</w:t>
            </w:r>
          </w:p>
        </w:tc>
        <w:tc>
          <w:tcPr>
            <w:tcW w:type="dxa" w:w="6336"/>
            <w:vAlign w:val="top"/>
          </w:tcPr>
          <w:p>
            <w:pPr>
              <w:spacing w:after="0"/>
            </w:pPr>
            <w:r>
              <w:rPr>
                <w:rFonts w:ascii="Arial" w:hAnsi="Arial"/>
                <w:sz w:val="13"/>
              </w:rPr>
              <w:t>papel da pessoa em cada registro e intervalo temporal.</w:t>
            </w:r>
          </w:p>
        </w:tc>
      </w:tr>
      <w:tr>
        <w:trPr>
          <w:cantSplit/>
          <w:cantSplit/>
        </w:trPr>
        <w:tc>
          <w:tcPr>
            <w:tcW w:type="dxa" w:w="3024"/>
            <w:vAlign w:val="top"/>
          </w:tcPr>
          <w:p>
            <w:pPr>
              <w:spacing w:after="0"/>
            </w:pPr>
            <w:r>
              <w:rPr>
                <w:rFonts w:ascii="Arial" w:hAnsi="Arial"/>
                <w:sz w:val="13"/>
              </w:rPr>
              <w:t>rural.document</w:t>
            </w:r>
          </w:p>
        </w:tc>
        <w:tc>
          <w:tcPr>
            <w:tcW w:type="dxa" w:w="6336"/>
            <w:vAlign w:val="top"/>
          </w:tcPr>
          <w:p>
            <w:pPr>
              <w:spacing w:after="0"/>
            </w:pPr>
            <w:r>
              <w:rPr>
                <w:rFonts w:ascii="Arial" w:hAnsi="Arial"/>
                <w:sz w:val="13"/>
              </w:rPr>
              <w:t>recibo, demonstrativo, CCIR, matrícula/certidão fornecida, PDF, KML/KMZ e hash.</w:t>
            </w:r>
          </w:p>
        </w:tc>
      </w:tr>
      <w:tr>
        <w:trPr>
          <w:cantSplit/>
          <w:cantSplit/>
        </w:trPr>
        <w:tc>
          <w:tcPr>
            <w:tcW w:type="dxa" w:w="3024"/>
            <w:vAlign w:val="top"/>
          </w:tcPr>
          <w:p>
            <w:pPr>
              <w:spacing w:after="0"/>
            </w:pPr>
            <w:r>
              <w:rPr>
                <w:rFonts w:ascii="Arial" w:hAnsi="Arial"/>
                <w:sz w:val="13"/>
              </w:rPr>
              <w:t>rural.overlap</w:t>
            </w:r>
          </w:p>
        </w:tc>
        <w:tc>
          <w:tcPr>
            <w:tcW w:type="dxa" w:w="6336"/>
            <w:vAlign w:val="top"/>
          </w:tcPr>
          <w:p>
            <w:pPr>
              <w:spacing w:after="0"/>
            </w:pPr>
            <w:r>
              <w:rPr>
                <w:rFonts w:ascii="Arial" w:hAnsi="Arial"/>
                <w:sz w:val="13"/>
              </w:rPr>
              <w:t>A/B, versão geométrica, interseção, métricas, classe, severidade, status e evidência.</w:t>
            </w:r>
          </w:p>
        </w:tc>
      </w:tr>
      <w:tr>
        <w:trPr>
          <w:cantSplit/>
          <w:cantSplit/>
        </w:trPr>
        <w:tc>
          <w:tcPr>
            <w:tcW w:type="dxa" w:w="3024"/>
            <w:vAlign w:val="top"/>
          </w:tcPr>
          <w:p>
            <w:pPr>
              <w:spacing w:after="0"/>
            </w:pPr>
            <w:r>
              <w:rPr>
                <w:rFonts w:ascii="Arial" w:hAnsi="Arial"/>
                <w:sz w:val="13"/>
              </w:rPr>
              <w:t>rural.monitor</w:t>
            </w:r>
          </w:p>
        </w:tc>
        <w:tc>
          <w:tcPr>
            <w:tcW w:type="dxa" w:w="6336"/>
            <w:vAlign w:val="top"/>
          </w:tcPr>
          <w:p>
            <w:pPr>
              <w:spacing w:after="0"/>
            </w:pPr>
            <w:r>
              <w:rPr>
                <w:rFonts w:ascii="Arial" w:hAnsi="Arial"/>
                <w:sz w:val="13"/>
              </w:rPr>
              <w:t>objeto monitorado, fonte, regra, canal de notificação e última versão conhecida.</w:t>
            </w:r>
          </w:p>
        </w:tc>
      </w:tr>
      <w:tr>
        <w:trPr>
          <w:cantSplit/>
          <w:cantSplit/>
        </w:trPr>
        <w:tc>
          <w:tcPr>
            <w:tcW w:type="dxa" w:w="3024"/>
            <w:vAlign w:val="top"/>
          </w:tcPr>
          <w:p>
            <w:pPr>
              <w:spacing w:after="0"/>
            </w:pPr>
            <w:r>
              <w:rPr>
                <w:rFonts w:ascii="Arial" w:hAnsi="Arial"/>
                <w:sz w:val="13"/>
              </w:rPr>
              <w:t>rural.event</w:t>
            </w:r>
          </w:p>
        </w:tc>
        <w:tc>
          <w:tcPr>
            <w:tcW w:type="dxa" w:w="6336"/>
            <w:vAlign w:val="top"/>
          </w:tcPr>
          <w:p>
            <w:pPr>
              <w:spacing w:after="0"/>
            </w:pPr>
            <w:r>
              <w:rPr>
                <w:rFonts w:ascii="Arial" w:hAnsi="Arial"/>
                <w:sz w:val="13"/>
              </w:rPr>
              <w:t>diff detectado: mudança cadastral, geométrica, embargo, PRODES, documento ou fonte.</w:t>
            </w:r>
          </w:p>
        </w:tc>
      </w:tr>
      <w:tr>
        <w:trPr>
          <w:cantSplit/>
          <w:cantSplit/>
        </w:trPr>
        <w:tc>
          <w:tcPr>
            <w:tcW w:type="dxa" w:w="3024"/>
            <w:vAlign w:val="top"/>
          </w:tcPr>
          <w:p>
            <w:pPr>
              <w:spacing w:after="0"/>
            </w:pPr>
            <w:r>
              <w:rPr>
                <w:rFonts w:ascii="Arial" w:hAnsi="Arial"/>
                <w:sz w:val="13"/>
              </w:rPr>
              <w:t>rural.credit_operation</w:t>
            </w:r>
          </w:p>
        </w:tc>
        <w:tc>
          <w:tcPr>
            <w:tcW w:type="dxa" w:w="6336"/>
            <w:vAlign w:val="top"/>
          </w:tcPr>
          <w:p>
            <w:pPr>
              <w:spacing w:after="0"/>
            </w:pPr>
            <w:r>
              <w:rPr>
                <w:rFonts w:ascii="Arial" w:hAnsi="Arial"/>
                <w:sz w:val="13"/>
              </w:rPr>
              <w:t>SICOR e outras operações permitidas, com vínculo geográfico/cadastral probabilístico.</w:t>
            </w:r>
          </w:p>
        </w:tc>
      </w:tr>
      <w:tr>
        <w:trPr>
          <w:cantSplit/>
          <w:cantSplit/>
        </w:trPr>
        <w:tc>
          <w:tcPr>
            <w:tcW w:type="dxa" w:w="3024"/>
            <w:vAlign w:val="top"/>
          </w:tcPr>
          <w:p>
            <w:pPr>
              <w:spacing w:after="0"/>
            </w:pPr>
            <w:r>
              <w:rPr>
                <w:rFonts w:ascii="Arial" w:hAnsi="Arial"/>
                <w:sz w:val="13"/>
              </w:rPr>
              <w:t>crm.contact/property</w:t>
            </w:r>
          </w:p>
        </w:tc>
        <w:tc>
          <w:tcPr>
            <w:tcW w:type="dxa" w:w="6336"/>
            <w:vAlign w:val="top"/>
          </w:tcPr>
          <w:p>
            <w:pPr>
              <w:spacing w:after="0"/>
            </w:pPr>
            <w:r>
              <w:rPr>
                <w:rFonts w:ascii="Arial" w:hAnsi="Arial"/>
                <w:sz w:val="13"/>
              </w:rPr>
              <w:t>dado próprio do cliente, separado do registro oficial.</w:t>
            </w:r>
          </w:p>
        </w:tc>
      </w:tr>
      <w:tr>
        <w:trPr>
          <w:cantSplit/>
          <w:cantSplit/>
        </w:trPr>
        <w:tc>
          <w:tcPr>
            <w:tcW w:type="dxa" w:w="3024"/>
            <w:vAlign w:val="top"/>
          </w:tcPr>
          <w:p>
            <w:pPr>
              <w:spacing w:after="0"/>
            </w:pPr>
            <w:r>
              <w:rPr>
                <w:rFonts w:ascii="Arial" w:hAnsi="Arial"/>
                <w:sz w:val="13"/>
              </w:rPr>
              <w:t>audit.access_event</w:t>
            </w:r>
          </w:p>
        </w:tc>
        <w:tc>
          <w:tcPr>
            <w:tcW w:type="dxa" w:w="6336"/>
            <w:vAlign w:val="top"/>
          </w:tcPr>
          <w:p>
            <w:pPr>
              <w:spacing w:after="0"/>
            </w:pPr>
            <w:r>
              <w:rPr>
                <w:rFonts w:ascii="Arial" w:hAnsi="Arial"/>
                <w:sz w:val="13"/>
              </w:rPr>
              <w:t>quem viu/gerou/baixou o quê, finalidade e campos sensíveis envolvidos.</w:t>
            </w:r>
          </w:p>
        </w:tc>
      </w:tr>
    </w:tbl>
    <w:p>
      <w:pPr>
        <w:spacing w:after="20"/>
      </w:pPr>
    </w:p>
    <w:p>
      <w:pPr>
        <w:pStyle w:val="Heading2"/>
      </w:pPr>
      <w:r>
        <w:t>25.27 Motor de reconciliação e score de confiança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2016"/>
            <w:shd w:fill="EDEDED"/>
            <w:vAlign w:val="center"/>
          </w:tcPr>
          <w:p>
            <w:pPr>
              <w:spacing w:after="0"/>
            </w:pPr>
            <w:r>
              <w:rPr>
                <w:rFonts w:ascii="Arial" w:hAnsi="Arial"/>
                <w:b/>
                <w:sz w:val="14"/>
              </w:rPr>
              <w:t>Sinal</w:t>
            </w:r>
          </w:p>
        </w:tc>
        <w:tc>
          <w:tcPr>
            <w:tcW w:type="dxa" w:w="4680"/>
            <w:shd w:fill="EDEDED"/>
            <w:vAlign w:val="center"/>
          </w:tcPr>
          <w:p>
            <w:pPr>
              <w:spacing w:after="0"/>
            </w:pPr>
            <w:r>
              <w:rPr>
                <w:rFonts w:ascii="Arial" w:hAnsi="Arial"/>
                <w:b/>
                <w:sz w:val="14"/>
              </w:rPr>
              <w:t>Exemplo</w:t>
            </w:r>
          </w:p>
        </w:tc>
        <w:tc>
          <w:tcPr>
            <w:tcW w:type="dxa" w:w="2664"/>
            <w:shd w:fill="EDEDED"/>
            <w:vAlign w:val="center"/>
          </w:tcPr>
          <w:p>
            <w:pPr>
              <w:spacing w:after="0"/>
            </w:pPr>
            <w:r>
              <w:rPr>
                <w:rFonts w:ascii="Arial" w:hAnsi="Arial"/>
                <w:b/>
                <w:sz w:val="14"/>
              </w:rPr>
              <w:t>Peso conceitual</w:t>
            </w:r>
          </w:p>
        </w:tc>
      </w:tr>
      <w:tr>
        <w:trPr>
          <w:cantSplit/>
          <w:cantSplit/>
        </w:trPr>
        <w:tc>
          <w:tcPr>
            <w:tcW w:type="dxa" w:w="2016"/>
            <w:vAlign w:val="top"/>
          </w:tcPr>
          <w:p>
            <w:pPr>
              <w:spacing w:after="0"/>
            </w:pPr>
            <w:r>
              <w:rPr>
                <w:rFonts w:ascii="Arial" w:hAnsi="Arial"/>
                <w:sz w:val="14"/>
              </w:rPr>
              <w:t>Identificador explícito</w:t>
            </w:r>
          </w:p>
        </w:tc>
        <w:tc>
          <w:tcPr>
            <w:tcW w:type="dxa" w:w="4680"/>
            <w:vAlign w:val="top"/>
          </w:tcPr>
          <w:p>
            <w:pPr>
              <w:spacing w:after="0"/>
            </w:pPr>
            <w:r>
              <w:rPr>
                <w:rFonts w:ascii="Arial" w:hAnsi="Arial"/>
                <w:sz w:val="14"/>
              </w:rPr>
              <w:t>CIB/SNCR/matrícula citado em mais de uma fonte</w:t>
            </w:r>
          </w:p>
        </w:tc>
        <w:tc>
          <w:tcPr>
            <w:tcW w:type="dxa" w:w="2664"/>
            <w:vAlign w:val="top"/>
          </w:tcPr>
          <w:p>
            <w:pPr>
              <w:spacing w:after="0"/>
            </w:pPr>
            <w:r>
              <w:rPr>
                <w:rFonts w:ascii="Arial" w:hAnsi="Arial"/>
                <w:sz w:val="14"/>
              </w:rPr>
              <w:t>alto quando oficial e consistente</w:t>
            </w:r>
          </w:p>
        </w:tc>
      </w:tr>
      <w:tr>
        <w:trPr>
          <w:cantSplit/>
          <w:cantSplit/>
        </w:trPr>
        <w:tc>
          <w:tcPr>
            <w:tcW w:type="dxa" w:w="2016"/>
            <w:vAlign w:val="top"/>
          </w:tcPr>
          <w:p>
            <w:pPr>
              <w:spacing w:after="0"/>
            </w:pPr>
            <w:r>
              <w:rPr>
                <w:rFonts w:ascii="Arial" w:hAnsi="Arial"/>
                <w:sz w:val="14"/>
              </w:rPr>
              <w:t>Interseção geométrica</w:t>
            </w:r>
          </w:p>
        </w:tc>
        <w:tc>
          <w:tcPr>
            <w:tcW w:type="dxa" w:w="4680"/>
            <w:vAlign w:val="top"/>
          </w:tcPr>
          <w:p>
            <w:pPr>
              <w:spacing w:after="0"/>
            </w:pPr>
            <w:r>
              <w:rPr>
                <w:rFonts w:ascii="Arial" w:hAnsi="Arial"/>
                <w:sz w:val="14"/>
              </w:rPr>
              <w:t>CAR e SIGEF com 95% de área sobreposta</w:t>
            </w:r>
          </w:p>
        </w:tc>
        <w:tc>
          <w:tcPr>
            <w:tcW w:type="dxa" w:w="2664"/>
            <w:vAlign w:val="top"/>
          </w:tcPr>
          <w:p>
            <w:pPr>
              <w:spacing w:after="0"/>
            </w:pPr>
            <w:r>
              <w:rPr>
                <w:rFonts w:ascii="Arial" w:hAnsi="Arial"/>
                <w:sz w:val="14"/>
              </w:rPr>
              <w:t>alto, mas não prova identidade jurídica</w:t>
            </w:r>
          </w:p>
        </w:tc>
      </w:tr>
      <w:tr>
        <w:trPr>
          <w:cantSplit/>
          <w:cantSplit/>
        </w:trPr>
        <w:tc>
          <w:tcPr>
            <w:tcW w:type="dxa" w:w="2016"/>
            <w:vAlign w:val="top"/>
          </w:tcPr>
          <w:p>
            <w:pPr>
              <w:spacing w:after="0"/>
            </w:pPr>
            <w:r>
              <w:rPr>
                <w:rFonts w:ascii="Arial" w:hAnsi="Arial"/>
                <w:sz w:val="14"/>
              </w:rPr>
              <w:t>Município/localização</w:t>
            </w:r>
          </w:p>
        </w:tc>
        <w:tc>
          <w:tcPr>
            <w:tcW w:type="dxa" w:w="4680"/>
            <w:vAlign w:val="top"/>
          </w:tcPr>
          <w:p>
            <w:pPr>
              <w:spacing w:after="0"/>
            </w:pPr>
            <w:r>
              <w:rPr>
                <w:rFonts w:ascii="Arial" w:hAnsi="Arial"/>
                <w:sz w:val="14"/>
              </w:rPr>
              <w:t>mesma UF/município/localidade</w:t>
            </w:r>
          </w:p>
        </w:tc>
        <w:tc>
          <w:tcPr>
            <w:tcW w:type="dxa" w:w="2664"/>
            <w:vAlign w:val="top"/>
          </w:tcPr>
          <w:p>
            <w:pPr>
              <w:spacing w:after="0"/>
            </w:pPr>
            <w:r>
              <w:rPr>
                <w:rFonts w:ascii="Arial" w:hAnsi="Arial"/>
                <w:sz w:val="14"/>
              </w:rPr>
              <w:t>médio</w:t>
            </w:r>
          </w:p>
        </w:tc>
      </w:tr>
      <w:tr>
        <w:trPr>
          <w:cantSplit/>
          <w:cantSplit/>
        </w:trPr>
        <w:tc>
          <w:tcPr>
            <w:tcW w:type="dxa" w:w="2016"/>
            <w:vAlign w:val="top"/>
          </w:tcPr>
          <w:p>
            <w:pPr>
              <w:spacing w:after="0"/>
            </w:pPr>
            <w:r>
              <w:rPr>
                <w:rFonts w:ascii="Arial" w:hAnsi="Arial"/>
                <w:sz w:val="14"/>
              </w:rPr>
              <w:t>Área</w:t>
            </w:r>
          </w:p>
        </w:tc>
        <w:tc>
          <w:tcPr>
            <w:tcW w:type="dxa" w:w="4680"/>
            <w:vAlign w:val="top"/>
          </w:tcPr>
          <w:p>
            <w:pPr>
              <w:spacing w:after="0"/>
            </w:pPr>
            <w:r>
              <w:rPr>
                <w:rFonts w:ascii="Arial" w:hAnsi="Arial"/>
                <w:sz w:val="14"/>
              </w:rPr>
              <w:t>áreas próximas dentro de tolerância</w:t>
            </w:r>
          </w:p>
        </w:tc>
        <w:tc>
          <w:tcPr>
            <w:tcW w:type="dxa" w:w="2664"/>
            <w:vAlign w:val="top"/>
          </w:tcPr>
          <w:p>
            <w:pPr>
              <w:spacing w:after="0"/>
            </w:pPr>
            <w:r>
              <w:rPr>
                <w:rFonts w:ascii="Arial" w:hAnsi="Arial"/>
                <w:sz w:val="14"/>
              </w:rPr>
              <w:t>médio</w:t>
            </w:r>
          </w:p>
        </w:tc>
      </w:tr>
      <w:tr>
        <w:trPr>
          <w:cantSplit/>
          <w:cantSplit/>
        </w:trPr>
        <w:tc>
          <w:tcPr>
            <w:tcW w:type="dxa" w:w="2016"/>
            <w:vAlign w:val="top"/>
          </w:tcPr>
          <w:p>
            <w:pPr>
              <w:spacing w:after="0"/>
            </w:pPr>
            <w:r>
              <w:rPr>
                <w:rFonts w:ascii="Arial" w:hAnsi="Arial"/>
                <w:sz w:val="14"/>
              </w:rPr>
              <w:t>Titular/entidade</w:t>
            </w:r>
          </w:p>
        </w:tc>
        <w:tc>
          <w:tcPr>
            <w:tcW w:type="dxa" w:w="4680"/>
            <w:vAlign w:val="top"/>
          </w:tcPr>
          <w:p>
            <w:pPr>
              <w:spacing w:after="0"/>
            </w:pPr>
            <w:r>
              <w:rPr>
                <w:rFonts w:ascii="Arial" w:hAnsi="Arial"/>
                <w:sz w:val="14"/>
              </w:rPr>
              <w:t>mesmo CPF/CNPJ autorizado em duas fontes</w:t>
            </w:r>
          </w:p>
        </w:tc>
        <w:tc>
          <w:tcPr>
            <w:tcW w:type="dxa" w:w="2664"/>
            <w:vAlign w:val="top"/>
          </w:tcPr>
          <w:p>
            <w:pPr>
              <w:spacing w:after="0"/>
            </w:pPr>
            <w:r>
              <w:rPr>
                <w:rFonts w:ascii="Arial" w:hAnsi="Arial"/>
                <w:sz w:val="14"/>
              </w:rPr>
              <w:t>alto sob governança LGPD</w:t>
            </w:r>
          </w:p>
        </w:tc>
      </w:tr>
      <w:tr>
        <w:trPr>
          <w:cantSplit/>
          <w:cantSplit/>
        </w:trPr>
        <w:tc>
          <w:tcPr>
            <w:tcW w:type="dxa" w:w="2016"/>
            <w:vAlign w:val="top"/>
          </w:tcPr>
          <w:p>
            <w:pPr>
              <w:spacing w:after="0"/>
            </w:pPr>
            <w:r>
              <w:rPr>
                <w:rFonts w:ascii="Arial" w:hAnsi="Arial"/>
                <w:sz w:val="14"/>
              </w:rPr>
              <w:t>Nome/denominação</w:t>
            </w:r>
          </w:p>
        </w:tc>
        <w:tc>
          <w:tcPr>
            <w:tcW w:type="dxa" w:w="4680"/>
            <w:vAlign w:val="top"/>
          </w:tcPr>
          <w:p>
            <w:pPr>
              <w:spacing w:after="0"/>
            </w:pPr>
            <w:r>
              <w:rPr>
                <w:rFonts w:ascii="Arial" w:hAnsi="Arial"/>
                <w:sz w:val="14"/>
              </w:rPr>
              <w:t>mesma fazenda/gleba</w:t>
            </w:r>
          </w:p>
        </w:tc>
        <w:tc>
          <w:tcPr>
            <w:tcW w:type="dxa" w:w="2664"/>
            <w:vAlign w:val="top"/>
          </w:tcPr>
          <w:p>
            <w:pPr>
              <w:spacing w:after="0"/>
            </w:pPr>
            <w:r>
              <w:rPr>
                <w:rFonts w:ascii="Arial" w:hAnsi="Arial"/>
                <w:sz w:val="14"/>
              </w:rPr>
              <w:t>baixo-médio; nomes são ambíguos</w:t>
            </w:r>
          </w:p>
        </w:tc>
      </w:tr>
      <w:tr>
        <w:trPr>
          <w:cantSplit/>
          <w:cantSplit/>
        </w:trPr>
        <w:tc>
          <w:tcPr>
            <w:tcW w:type="dxa" w:w="2016"/>
            <w:vAlign w:val="top"/>
          </w:tcPr>
          <w:p>
            <w:pPr>
              <w:spacing w:after="0"/>
            </w:pPr>
            <w:r>
              <w:rPr>
                <w:rFonts w:ascii="Arial" w:hAnsi="Arial"/>
                <w:sz w:val="14"/>
              </w:rPr>
              <w:t>Temporalidade</w:t>
            </w:r>
          </w:p>
        </w:tc>
        <w:tc>
          <w:tcPr>
            <w:tcW w:type="dxa" w:w="4680"/>
            <w:vAlign w:val="top"/>
          </w:tcPr>
          <w:p>
            <w:pPr>
              <w:spacing w:after="0"/>
            </w:pPr>
            <w:r>
              <w:rPr>
                <w:rFonts w:ascii="Arial" w:hAnsi="Arial"/>
                <w:sz w:val="14"/>
              </w:rPr>
              <w:t>registros coexistem no mesmo período</w:t>
            </w:r>
          </w:p>
        </w:tc>
        <w:tc>
          <w:tcPr>
            <w:tcW w:type="dxa" w:w="2664"/>
            <w:vAlign w:val="top"/>
          </w:tcPr>
          <w:p>
            <w:pPr>
              <w:spacing w:after="0"/>
            </w:pPr>
            <w:r>
              <w:rPr>
                <w:rFonts w:ascii="Arial" w:hAnsi="Arial"/>
                <w:sz w:val="14"/>
              </w:rPr>
              <w:t>médio</w:t>
            </w:r>
          </w:p>
        </w:tc>
      </w:tr>
      <w:tr>
        <w:trPr>
          <w:cantSplit/>
          <w:cantSplit/>
        </w:trPr>
        <w:tc>
          <w:tcPr>
            <w:tcW w:type="dxa" w:w="2016"/>
            <w:vAlign w:val="top"/>
          </w:tcPr>
          <w:p>
            <w:pPr>
              <w:spacing w:after="0"/>
            </w:pPr>
            <w:r>
              <w:rPr>
                <w:rFonts w:ascii="Arial" w:hAnsi="Arial"/>
                <w:sz w:val="14"/>
              </w:rPr>
              <w:t>Conflito</w:t>
            </w:r>
          </w:p>
        </w:tc>
        <w:tc>
          <w:tcPr>
            <w:tcW w:type="dxa" w:w="4680"/>
            <w:vAlign w:val="top"/>
          </w:tcPr>
          <w:p>
            <w:pPr>
              <w:spacing w:after="0"/>
            </w:pPr>
            <w:r>
              <w:rPr>
                <w:rFonts w:ascii="Arial" w:hAnsi="Arial"/>
                <w:sz w:val="14"/>
              </w:rPr>
              <w:t>geometrias muito diferentes, pessoas incompatíveis, município divergente</w:t>
            </w:r>
          </w:p>
        </w:tc>
        <w:tc>
          <w:tcPr>
            <w:tcW w:type="dxa" w:w="2664"/>
            <w:vAlign w:val="top"/>
          </w:tcPr>
          <w:p>
            <w:pPr>
              <w:spacing w:after="0"/>
            </w:pPr>
            <w:r>
              <w:rPr>
                <w:rFonts w:ascii="Arial" w:hAnsi="Arial"/>
                <w:sz w:val="14"/>
              </w:rPr>
              <w:t>reduz score e abre diligência</w:t>
            </w:r>
          </w:p>
        </w:tc>
      </w:tr>
    </w:tbl>
    <w:p>
      <w:pPr>
        <w:spacing w:after="20"/>
      </w:pPr>
    </w:p>
    <w:p>
      <w:pPr>
        <w:spacing w:after="30"/>
        <w:ind w:left="259" w:hanging="173"/>
      </w:pPr>
      <w:r>
        <w:t xml:space="preserve">• </w:t>
      </w:r>
      <w:r>
        <w:t>O score nunca deve substituir prova documental. A interface deve usar rótulos como “vínculo confirmado por identificador oficial”, “correspondência provável”, “apenas relação espacial” e “conflitante”.</w:t>
      </w:r>
    </w:p>
    <w:p>
      <w:pPr>
        <w:pStyle w:val="Heading2"/>
      </w:pPr>
      <w:r>
        <w:t>25.28 Relatório RE Rural 360 — composição completa</w:t>
      </w:r>
    </w:p>
    <w:p>
      <w:pPr>
        <w:spacing w:after="30"/>
        <w:ind w:left="259" w:hanging="259"/>
      </w:pPr>
      <w:r>
        <w:rPr>
          <w:b/>
        </w:rPr>
        <w:t xml:space="preserve">1. </w:t>
      </w:r>
      <w:r>
        <w:t>Capa, imóvel pesquisado, identificadores de entrada, data-base e ID da análise.</w:t>
      </w:r>
    </w:p>
    <w:p>
      <w:pPr>
        <w:spacing w:after="30"/>
        <w:ind w:left="259" w:hanging="259"/>
      </w:pPr>
      <w:r>
        <w:rPr>
          <w:b/>
        </w:rPr>
        <w:t xml:space="preserve">2. </w:t>
      </w:r>
      <w:r>
        <w:t>Resumo executivo com alertas críticos, divergências e pendências documentais.</w:t>
      </w:r>
    </w:p>
    <w:p>
      <w:pPr>
        <w:spacing w:after="30"/>
        <w:ind w:left="259" w:hanging="259"/>
      </w:pPr>
      <w:r>
        <w:rPr>
          <w:b/>
        </w:rPr>
        <w:t xml:space="preserve">3. </w:t>
      </w:r>
      <w:r>
        <w:t>Quadro de identidades: CAR, SNCR/CCIR, SIGEF, CAFIR/CIB/NIRF, matrícula(s) de referência e score de correspondência.</w:t>
      </w:r>
    </w:p>
    <w:p>
      <w:pPr>
        <w:spacing w:after="30"/>
        <w:ind w:left="259" w:hanging="259"/>
      </w:pPr>
      <w:r>
        <w:rPr>
          <w:b/>
        </w:rPr>
        <w:t xml:space="preserve">4. </w:t>
      </w:r>
      <w:r>
        <w:t>Mapa síntese com todos os perímetros e legenda por fonte.</w:t>
      </w:r>
    </w:p>
    <w:p>
      <w:pPr>
        <w:spacing w:after="30"/>
        <w:ind w:left="259" w:hanging="259"/>
      </w:pPr>
      <w:r>
        <w:rPr>
          <w:b/>
        </w:rPr>
        <w:t xml:space="preserve">5. </w:t>
      </w:r>
      <w:r>
        <w:t>CAR: situação, áreas ambientais, RL/APP, geometrias e histórico disponível.</w:t>
      </w:r>
    </w:p>
    <w:p>
      <w:pPr>
        <w:spacing w:after="30"/>
        <w:ind w:left="259" w:hanging="259"/>
      </w:pPr>
      <w:r>
        <w:rPr>
          <w:b/>
        </w:rPr>
        <w:t xml:space="preserve">6. </w:t>
      </w:r>
      <w:r>
        <w:t>SNCR/INCRA/CCIR: dados cadastrais, áreas, módulos e classificação.</w:t>
      </w:r>
    </w:p>
    <w:p>
      <w:pPr>
        <w:spacing w:after="30"/>
        <w:ind w:left="259" w:hanging="259"/>
      </w:pPr>
      <w:r>
        <w:rPr>
          <w:b/>
        </w:rPr>
        <w:t xml:space="preserve">7. </w:t>
      </w:r>
      <w:r>
        <w:t>SIGEF: parcela certificada, situação, geometria, data e atributos oficiais.</w:t>
      </w:r>
    </w:p>
    <w:p>
      <w:pPr>
        <w:spacing w:after="30"/>
        <w:ind w:left="259" w:hanging="259"/>
      </w:pPr>
      <w:r>
        <w:rPr>
          <w:b/>
        </w:rPr>
        <w:t xml:space="preserve">8. </w:t>
      </w:r>
      <w:r>
        <w:t>CAFIR/CIB/CNIR: situação fiscal/cadastral e vínculos permitidos.</w:t>
      </w:r>
    </w:p>
    <w:p>
      <w:pPr>
        <w:spacing w:after="30"/>
        <w:ind w:left="259" w:hanging="259"/>
      </w:pPr>
      <w:r>
        <w:rPr>
          <w:b/>
        </w:rPr>
        <w:t xml:space="preserve">9. </w:t>
      </w:r>
      <w:r>
        <w:t>Registro imobiliário: matrícula/certidões fornecidas ou integradas, cartório e avisos de validação registral.</w:t>
      </w:r>
    </w:p>
    <w:p>
      <w:pPr>
        <w:spacing w:after="30"/>
        <w:ind w:left="259" w:hanging="259"/>
      </w:pPr>
      <w:r>
        <w:rPr>
          <w:b/>
        </w:rPr>
        <w:t xml:space="preserve">10. </w:t>
      </w:r>
      <w:r>
        <w:t>Embargos IBAMA: lista, situação, área, interseção e evidência.</w:t>
      </w:r>
    </w:p>
    <w:p>
      <w:pPr>
        <w:spacing w:after="30"/>
        <w:ind w:left="259" w:hanging="259"/>
      </w:pPr>
      <w:r>
        <w:rPr>
          <w:b/>
        </w:rPr>
        <w:t xml:space="preserve">11. </w:t>
      </w:r>
      <w:r>
        <w:t>PRODES/DETER: eventos por ano/classe e área incidente.</w:t>
      </w:r>
    </w:p>
    <w:p>
      <w:pPr>
        <w:spacing w:after="30"/>
        <w:ind w:left="259" w:hanging="259"/>
      </w:pPr>
      <w:r>
        <w:rPr>
          <w:b/>
        </w:rPr>
        <w:t xml:space="preserve">12. </w:t>
      </w:r>
      <w:r>
        <w:t>Terras Indígenas, UCs, Quilombolas, assentamentos, biomas e demais camadas habilitadas.</w:t>
      </w:r>
    </w:p>
    <w:p>
      <w:pPr>
        <w:spacing w:after="30"/>
        <w:ind w:left="259" w:hanging="259"/>
      </w:pPr>
      <w:r>
        <w:rPr>
          <w:b/>
        </w:rPr>
        <w:t xml:space="preserve">13. </w:t>
      </w:r>
      <w:r>
        <w:t>Crédito rural/SICOR: indicadores e operações públicas relacionadas espacialmente, quando aplicável.</w:t>
      </w:r>
    </w:p>
    <w:p>
      <w:pPr>
        <w:spacing w:after="30"/>
        <w:ind w:left="259" w:hanging="259"/>
      </w:pPr>
      <w:r>
        <w:rPr>
          <w:b/>
        </w:rPr>
        <w:t xml:space="preserve">14. </w:t>
      </w:r>
      <w:r>
        <w:t>Tabela de sobreposições: classe, A/B, ha, %A, %B, severidade e link para análise.</w:t>
      </w:r>
    </w:p>
    <w:p>
      <w:pPr>
        <w:spacing w:after="30"/>
        <w:ind w:left="259" w:hanging="259"/>
      </w:pPr>
      <w:r>
        <w:rPr>
          <w:b/>
        </w:rPr>
        <w:t xml:space="preserve">15. </w:t>
      </w:r>
      <w:r>
        <w:t>Vizinhança: cadastros e restrições no entorno configurado.</w:t>
      </w:r>
    </w:p>
    <w:p>
      <w:pPr>
        <w:spacing w:after="30"/>
        <w:ind w:left="259" w:hanging="259"/>
      </w:pPr>
      <w:r>
        <w:rPr>
          <w:b/>
        </w:rPr>
        <w:t xml:space="preserve">16. </w:t>
      </w:r>
      <w:r>
        <w:t>Timeline de alterações observadas nas fontes.</w:t>
      </w:r>
    </w:p>
    <w:p>
      <w:pPr>
        <w:spacing w:after="30"/>
        <w:ind w:left="259" w:hanging="259"/>
      </w:pPr>
      <w:r>
        <w:rPr>
          <w:b/>
        </w:rPr>
        <w:t xml:space="preserve">17. </w:t>
      </w:r>
      <w:r>
        <w:t>Documentos disponíveis: Recibo/Demonstrativo CAR, CCIR, KML/KMZ, PDFs e anexos do cliente.</w:t>
      </w:r>
    </w:p>
    <w:p>
      <w:pPr>
        <w:spacing w:after="30"/>
        <w:ind w:left="259" w:hanging="259"/>
      </w:pPr>
      <w:r>
        <w:rPr>
          <w:b/>
        </w:rPr>
        <w:t xml:space="preserve">18. </w:t>
      </w:r>
      <w:r>
        <w:t>Checklist de diligência: cartório, órgão ambiental, INCRA, Receita, responsável técnico e demais confirmações.</w:t>
      </w:r>
    </w:p>
    <w:p>
      <w:pPr>
        <w:spacing w:after="30"/>
        <w:ind w:left="259" w:hanging="259"/>
      </w:pPr>
      <w:r>
        <w:rPr>
          <w:b/>
        </w:rPr>
        <w:t xml:space="preserve">19. </w:t>
      </w:r>
      <w:r>
        <w:t>Anexo de evidências: fonte, URL/canal, data, hash, versão e qualidade.</w:t>
      </w:r>
    </w:p>
    <w:p>
      <w:pPr>
        <w:pStyle w:val="Heading2"/>
      </w:pPr>
      <w:r>
        <w:t>25.29 Casos de uso e decisões</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448"/>
            <w:shd w:fill="EDEDED"/>
            <w:vAlign w:val="center"/>
          </w:tcPr>
          <w:p>
            <w:pPr>
              <w:spacing w:after="0"/>
            </w:pPr>
            <w:r>
              <w:rPr>
                <w:rFonts w:ascii="Arial" w:hAnsi="Arial"/>
                <w:b/>
                <w:sz w:val="14"/>
              </w:rPr>
              <w:t>Perfil</w:t>
            </w:r>
          </w:p>
        </w:tc>
        <w:tc>
          <w:tcPr>
            <w:tcW w:type="dxa" w:w="6912"/>
            <w:shd w:fill="EDEDED"/>
            <w:vAlign w:val="center"/>
          </w:tcPr>
          <w:p>
            <w:pPr>
              <w:spacing w:after="0"/>
            </w:pPr>
            <w:r>
              <w:rPr>
                <w:rFonts w:ascii="Arial" w:hAnsi="Arial"/>
                <w:b/>
                <w:sz w:val="14"/>
              </w:rPr>
              <w:t>Decisões suportadas</w:t>
            </w:r>
          </w:p>
        </w:tc>
      </w:tr>
      <w:tr>
        <w:trPr>
          <w:cantSplit/>
          <w:cantSplit/>
        </w:trPr>
        <w:tc>
          <w:tcPr>
            <w:tcW w:type="dxa" w:w="2448"/>
            <w:vAlign w:val="top"/>
          </w:tcPr>
          <w:p>
            <w:pPr>
              <w:spacing w:after="0"/>
            </w:pPr>
            <w:r>
              <w:rPr>
                <w:rFonts w:ascii="Arial" w:hAnsi="Arial"/>
                <w:sz w:val="14"/>
              </w:rPr>
              <w:t>Banco/cooperativa/fintech</w:t>
            </w:r>
          </w:p>
        </w:tc>
        <w:tc>
          <w:tcPr>
            <w:tcW w:type="dxa" w:w="6912"/>
            <w:vAlign w:val="top"/>
          </w:tcPr>
          <w:p>
            <w:pPr>
              <w:spacing w:after="0"/>
            </w:pPr>
            <w:r>
              <w:rPr>
                <w:rFonts w:ascii="Arial" w:hAnsi="Arial"/>
                <w:sz w:val="14"/>
              </w:rPr>
              <w:t>garantia rural, KYC/KYB, crédito, restrições socioambientais, monitoramento pós-contratação.</w:t>
            </w:r>
          </w:p>
        </w:tc>
      </w:tr>
      <w:tr>
        <w:trPr>
          <w:cantSplit/>
          <w:cantSplit/>
        </w:trPr>
        <w:tc>
          <w:tcPr>
            <w:tcW w:type="dxa" w:w="2448"/>
            <w:vAlign w:val="top"/>
          </w:tcPr>
          <w:p>
            <w:pPr>
              <w:spacing w:after="0"/>
            </w:pPr>
            <w:r>
              <w:rPr>
                <w:rFonts w:ascii="Arial" w:hAnsi="Arial"/>
                <w:sz w:val="14"/>
              </w:rPr>
              <w:t>Tradings/agroindústria</w:t>
            </w:r>
          </w:p>
        </w:tc>
        <w:tc>
          <w:tcPr>
            <w:tcW w:type="dxa" w:w="6912"/>
            <w:vAlign w:val="top"/>
          </w:tcPr>
          <w:p>
            <w:pPr>
              <w:spacing w:after="0"/>
            </w:pPr>
            <w:r>
              <w:rPr>
                <w:rFonts w:ascii="Arial" w:hAnsi="Arial"/>
                <w:sz w:val="14"/>
              </w:rPr>
              <w:t>compliance de fornecedor, originação, due diligence, risco territorial e portfólio.</w:t>
            </w:r>
          </w:p>
        </w:tc>
      </w:tr>
      <w:tr>
        <w:trPr>
          <w:cantSplit/>
          <w:cantSplit/>
        </w:trPr>
        <w:tc>
          <w:tcPr>
            <w:tcW w:type="dxa" w:w="2448"/>
            <w:vAlign w:val="top"/>
          </w:tcPr>
          <w:p>
            <w:pPr>
              <w:spacing w:after="0"/>
            </w:pPr>
            <w:r>
              <w:rPr>
                <w:rFonts w:ascii="Arial" w:hAnsi="Arial"/>
                <w:sz w:val="14"/>
              </w:rPr>
              <w:t>Produtor rural</w:t>
            </w:r>
          </w:p>
        </w:tc>
        <w:tc>
          <w:tcPr>
            <w:tcW w:type="dxa" w:w="6912"/>
            <w:vAlign w:val="top"/>
          </w:tcPr>
          <w:p>
            <w:pPr>
              <w:spacing w:after="0"/>
            </w:pPr>
            <w:r>
              <w:rPr>
                <w:rFonts w:ascii="Arial" w:hAnsi="Arial"/>
                <w:sz w:val="14"/>
              </w:rPr>
              <w:t>centralização de cadastros, pendências, monitoramento de CAR, pré-análise de crédito e documentos.</w:t>
            </w:r>
          </w:p>
        </w:tc>
      </w:tr>
      <w:tr>
        <w:trPr>
          <w:cantSplit/>
          <w:cantSplit/>
        </w:trPr>
        <w:tc>
          <w:tcPr>
            <w:tcW w:type="dxa" w:w="2448"/>
            <w:vAlign w:val="top"/>
          </w:tcPr>
          <w:p>
            <w:pPr>
              <w:spacing w:after="0"/>
            </w:pPr>
            <w:r>
              <w:rPr>
                <w:rFonts w:ascii="Arial" w:hAnsi="Arial"/>
                <w:sz w:val="14"/>
              </w:rPr>
              <w:t>Engenheiro agrônomo/agrimensor</w:t>
            </w:r>
          </w:p>
        </w:tc>
        <w:tc>
          <w:tcPr>
            <w:tcW w:type="dxa" w:w="6912"/>
            <w:vAlign w:val="top"/>
          </w:tcPr>
          <w:p>
            <w:pPr>
              <w:spacing w:after="0"/>
            </w:pPr>
            <w:r>
              <w:rPr>
                <w:rFonts w:ascii="Arial" w:hAnsi="Arial"/>
                <w:sz w:val="14"/>
              </w:rPr>
              <w:t>geometrias, divergências CAR×SIGEF, vizinhos, exportações GIS e evidências.</w:t>
            </w:r>
          </w:p>
        </w:tc>
      </w:tr>
      <w:tr>
        <w:trPr>
          <w:cantSplit/>
          <w:cantSplit/>
        </w:trPr>
        <w:tc>
          <w:tcPr>
            <w:tcW w:type="dxa" w:w="2448"/>
            <w:vAlign w:val="top"/>
          </w:tcPr>
          <w:p>
            <w:pPr>
              <w:spacing w:after="0"/>
            </w:pPr>
            <w:r>
              <w:rPr>
                <w:rFonts w:ascii="Arial" w:hAnsi="Arial"/>
                <w:sz w:val="14"/>
              </w:rPr>
              <w:t>Corretor/imobiliário rural</w:t>
            </w:r>
          </w:p>
        </w:tc>
        <w:tc>
          <w:tcPr>
            <w:tcW w:type="dxa" w:w="6912"/>
            <w:vAlign w:val="top"/>
          </w:tcPr>
          <w:p>
            <w:pPr>
              <w:spacing w:after="0"/>
            </w:pPr>
            <w:r>
              <w:rPr>
                <w:rFonts w:ascii="Arial" w:hAnsi="Arial"/>
                <w:sz w:val="14"/>
              </w:rPr>
              <w:t>pesquisa, identificação do ativo, due diligence preliminar, comparações e organização de documentos.</w:t>
            </w:r>
          </w:p>
        </w:tc>
      </w:tr>
      <w:tr>
        <w:trPr>
          <w:cantSplit/>
          <w:cantSplit/>
        </w:trPr>
        <w:tc>
          <w:tcPr>
            <w:tcW w:type="dxa" w:w="2448"/>
            <w:vAlign w:val="top"/>
          </w:tcPr>
          <w:p>
            <w:pPr>
              <w:spacing w:after="0"/>
            </w:pPr>
            <w:r>
              <w:rPr>
                <w:rFonts w:ascii="Arial" w:hAnsi="Arial"/>
                <w:sz w:val="14"/>
              </w:rPr>
              <w:t>Advogado/perito</w:t>
            </w:r>
          </w:p>
        </w:tc>
        <w:tc>
          <w:tcPr>
            <w:tcW w:type="dxa" w:w="6912"/>
            <w:vAlign w:val="top"/>
          </w:tcPr>
          <w:p>
            <w:pPr>
              <w:spacing w:after="0"/>
            </w:pPr>
            <w:r>
              <w:rPr>
                <w:rFonts w:ascii="Arial" w:hAnsi="Arial"/>
                <w:sz w:val="14"/>
              </w:rPr>
              <w:t>linha do tempo, fontes, documentos, conflitos cadastrais, mapas e evidência reproduzível.</w:t>
            </w:r>
          </w:p>
        </w:tc>
      </w:tr>
      <w:tr>
        <w:trPr>
          <w:cantSplit/>
          <w:cantSplit/>
        </w:trPr>
        <w:tc>
          <w:tcPr>
            <w:tcW w:type="dxa" w:w="2448"/>
            <w:vAlign w:val="top"/>
          </w:tcPr>
          <w:p>
            <w:pPr>
              <w:spacing w:after="0"/>
            </w:pPr>
            <w:r>
              <w:rPr>
                <w:rFonts w:ascii="Arial" w:hAnsi="Arial"/>
                <w:sz w:val="14"/>
              </w:rPr>
              <w:t>Prefeitura/estado/órgão público</w:t>
            </w:r>
          </w:p>
        </w:tc>
        <w:tc>
          <w:tcPr>
            <w:tcW w:type="dxa" w:w="6912"/>
            <w:vAlign w:val="top"/>
          </w:tcPr>
          <w:p>
            <w:pPr>
              <w:spacing w:after="0"/>
            </w:pPr>
            <w:r>
              <w:rPr>
                <w:rFonts w:ascii="Arial" w:hAnsi="Arial"/>
                <w:sz w:val="14"/>
              </w:rPr>
              <w:t>contexto fundiário/ambiental, fiscalização, planejamento, atendimento e integração territorial.</w:t>
            </w:r>
          </w:p>
        </w:tc>
      </w:tr>
    </w:tbl>
    <w:p>
      <w:pPr>
        <w:spacing w:after="20"/>
      </w:pPr>
    </w:p>
    <w:p>
      <w:pPr>
        <w:pStyle w:val="Heading2"/>
      </w:pPr>
      <w:r>
        <w:t>25.30 Segurança, LGPD e rastreabilidade específica do RE Rural</w:t>
      </w:r>
    </w:p>
    <w:p>
      <w:pPr>
        <w:spacing w:after="30"/>
        <w:ind w:left="259" w:hanging="173"/>
      </w:pPr>
      <w:r>
        <w:t xml:space="preserve">• </w:t>
      </w:r>
      <w:r>
        <w:t>Dados pessoais de titulares, cadastrantes, autuados e responsáveis técnicos devem ter política de finalidade, base legal, minimização, perfil de acesso e logging.</w:t>
      </w:r>
    </w:p>
    <w:p>
      <w:pPr>
        <w:spacing w:after="30"/>
        <w:ind w:left="259" w:hanging="173"/>
      </w:pPr>
      <w:r>
        <w:t xml:space="preserve">• </w:t>
      </w:r>
      <w:r>
        <w:t>Relatórios por CPF/CNPJ e buscas patrimoniais devem exigir autenticação forte, verificação do usuário/organização e trilha de consulta; contratos B2B devem definir finalidade e responsabilidades.</w:t>
      </w:r>
    </w:p>
    <w:p>
      <w:pPr>
        <w:spacing w:after="30"/>
        <w:ind w:left="259" w:hanging="173"/>
      </w:pPr>
      <w:r>
        <w:t xml:space="preserve">• </w:t>
      </w:r>
      <w:r>
        <w:t>Não indexar ou expor indiscriminadamente dados que a fonte oficial disponibiliza apenas sob autenticação. Integrações autenticadas devem respeitar o escopo do consentimento/autoridade do usuário.</w:t>
      </w:r>
    </w:p>
    <w:p>
      <w:pPr>
        <w:spacing w:after="30"/>
        <w:ind w:left="259" w:hanging="173"/>
      </w:pPr>
      <w:r>
        <w:t xml:space="preserve">• </w:t>
      </w:r>
      <w:r>
        <w:t>Segredos de API e credenciais GOV.BR/serviços oficiais nunca entram no frontend; usar vault/secret manager e conectores server-side.</w:t>
      </w:r>
    </w:p>
    <w:p>
      <w:pPr>
        <w:spacing w:after="30"/>
        <w:ind w:left="259" w:hanging="173"/>
      </w:pPr>
      <w:r>
        <w:t xml:space="preserve">• </w:t>
      </w:r>
      <w:r>
        <w:t>Cada campo exibido deve carregar provenance: source_id, snapshot_id, collected_at, valid_at, legal_access_class e confidence.</w:t>
      </w:r>
    </w:p>
    <w:p>
      <w:pPr>
        <w:spacing w:after="30"/>
        <w:ind w:left="259" w:hanging="173"/>
      </w:pPr>
      <w:r>
        <w:t xml:space="preserve">• </w:t>
      </w:r>
      <w:r>
        <w:t>Permitir redaction/mascaramento de CPF/CNPJ e nomes em exportações conforme perfil e finalidade.</w:t>
      </w:r>
    </w:p>
    <w:p>
      <w:pPr>
        <w:pStyle w:val="Heading2"/>
      </w:pPr>
      <w:r>
        <w:t>25.31 Inventário de rotas e contratos observados</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088"/>
            <w:shd w:fill="EDEDED"/>
            <w:vAlign w:val="center"/>
          </w:tcPr>
          <w:p>
            <w:pPr>
              <w:spacing w:after="0"/>
            </w:pPr>
            <w:r>
              <w:rPr>
                <w:rFonts w:ascii="Arial" w:hAnsi="Arial"/>
                <w:b/>
                <w:sz w:val="13"/>
              </w:rPr>
              <w:t>Família</w:t>
            </w:r>
          </w:p>
        </w:tc>
        <w:tc>
          <w:tcPr>
            <w:tcW w:type="dxa" w:w="7272"/>
            <w:shd w:fill="EDEDED"/>
            <w:vAlign w:val="center"/>
          </w:tcPr>
          <w:p>
            <w:pPr>
              <w:spacing w:after="0"/>
            </w:pPr>
            <w:r>
              <w:rPr>
                <w:rFonts w:ascii="Arial" w:hAnsi="Arial"/>
                <w:b/>
                <w:sz w:val="13"/>
              </w:rPr>
              <w:t>Rotas/contratos observados</w:t>
            </w:r>
          </w:p>
        </w:tc>
      </w:tr>
      <w:tr>
        <w:trPr>
          <w:cantSplit/>
          <w:cantSplit/>
        </w:trPr>
        <w:tc>
          <w:tcPr>
            <w:tcW w:type="dxa" w:w="2088"/>
            <w:vAlign w:val="top"/>
          </w:tcPr>
          <w:p>
            <w:pPr>
              <w:spacing w:after="0"/>
            </w:pPr>
            <w:r>
              <w:rPr>
                <w:rFonts w:ascii="Arial" w:hAnsi="Arial"/>
                <w:sz w:val="13"/>
              </w:rPr>
              <w:t>Busca/dados</w:t>
            </w:r>
          </w:p>
        </w:tc>
        <w:tc>
          <w:tcPr>
            <w:tcW w:type="dxa" w:w="7272"/>
            <w:vAlign w:val="top"/>
          </w:tcPr>
          <w:p>
            <w:pPr>
              <w:spacing w:after="0"/>
            </w:pPr>
            <w:r>
              <w:rPr>
                <w:rFonts w:ascii="Arial" w:hAnsi="Arial"/>
                <w:sz w:val="13"/>
              </w:rPr>
              <w:t>/imoveis/, /imoveis/car/, /imoveis/incra/, /imoveis/sigef/, /imoveis/cib/, /car/search, /incra/search, /sigef/search, /nirf/search, /embargos/, /embargos/search, /prodes/, /pessoas/</w:t>
            </w:r>
          </w:p>
        </w:tc>
      </w:tr>
      <w:tr>
        <w:trPr>
          <w:cantSplit/>
          <w:cantSplit/>
        </w:trPr>
        <w:tc>
          <w:tcPr>
            <w:tcW w:type="dxa" w:w="2088"/>
            <w:vAlign w:val="top"/>
          </w:tcPr>
          <w:p>
            <w:pPr>
              <w:spacing w:after="0"/>
            </w:pPr>
            <w:r>
              <w:rPr>
                <w:rFonts w:ascii="Arial" w:hAnsi="Arial"/>
                <w:sz w:val="13"/>
              </w:rPr>
              <w:t>Mapa/espacial</w:t>
            </w:r>
          </w:p>
        </w:tc>
        <w:tc>
          <w:tcPr>
            <w:tcW w:type="dxa" w:w="7272"/>
            <w:vAlign w:val="top"/>
          </w:tcPr>
          <w:p>
            <w:pPr>
              <w:spacing w:after="0"/>
            </w:pPr>
            <w:r>
              <w:rPr>
                <w:rFonts w:ascii="Arial" w:hAnsi="Arial"/>
                <w:sz w:val="13"/>
              </w:rPr>
              <w:t>/mapa/, /painel/mapa/, /docs/analise-de-sobreposicao/, /docs/download-kml-kmz/</w:t>
            </w:r>
          </w:p>
        </w:tc>
      </w:tr>
      <w:tr>
        <w:trPr>
          <w:cantSplit/>
          <w:cantSplit/>
        </w:trPr>
        <w:tc>
          <w:tcPr>
            <w:tcW w:type="dxa" w:w="2088"/>
            <w:vAlign w:val="top"/>
          </w:tcPr>
          <w:p>
            <w:pPr>
              <w:spacing w:after="0"/>
            </w:pPr>
            <w:r>
              <w:rPr>
                <w:rFonts w:ascii="Arial" w:hAnsi="Arial"/>
                <w:sz w:val="13"/>
              </w:rPr>
              <w:t>Painel</w:t>
            </w:r>
          </w:p>
        </w:tc>
        <w:tc>
          <w:tcPr>
            <w:tcW w:type="dxa" w:w="7272"/>
            <w:vAlign w:val="top"/>
          </w:tcPr>
          <w:p>
            <w:pPr>
              <w:spacing w:after="0"/>
            </w:pPr>
            <w:r>
              <w:rPr>
                <w:rFonts w:ascii="Arial" w:hAnsi="Arial"/>
                <w:sz w:val="13"/>
              </w:rPr>
              <w:t>/painel/, /painel/atividade/, /painel/favoritos/, /painel/documentos/, /painel/minha-conta/, /painel/monitoramento/, /painel/relatorios/</w:t>
            </w:r>
          </w:p>
        </w:tc>
      </w:tr>
      <w:tr>
        <w:trPr>
          <w:cantSplit/>
          <w:cantSplit/>
        </w:trPr>
        <w:tc>
          <w:tcPr>
            <w:tcW w:type="dxa" w:w="2088"/>
            <w:vAlign w:val="top"/>
          </w:tcPr>
          <w:p>
            <w:pPr>
              <w:spacing w:after="0"/>
            </w:pPr>
            <w:r>
              <w:rPr>
                <w:rFonts w:ascii="Arial" w:hAnsi="Arial"/>
                <w:sz w:val="13"/>
              </w:rPr>
              <w:t>CRM</w:t>
            </w:r>
          </w:p>
        </w:tc>
        <w:tc>
          <w:tcPr>
            <w:tcW w:type="dxa" w:w="7272"/>
            <w:vAlign w:val="top"/>
          </w:tcPr>
          <w:p>
            <w:pPr>
              <w:spacing w:after="0"/>
            </w:pPr>
            <w:r>
              <w:rPr>
                <w:rFonts w:ascii="Arial" w:hAnsi="Arial"/>
                <w:sz w:val="13"/>
              </w:rPr>
              <w:t>/painel/crm/, /painel/crm/contatos/, /painel/crm/contatos/novo/, /painel/crm/contatos/importar/, /painel/crm/properties/</w:t>
            </w:r>
          </w:p>
        </w:tc>
      </w:tr>
      <w:tr>
        <w:trPr>
          <w:cantSplit/>
          <w:cantSplit/>
        </w:trPr>
        <w:tc>
          <w:tcPr>
            <w:tcW w:type="dxa" w:w="2088"/>
            <w:vAlign w:val="top"/>
          </w:tcPr>
          <w:p>
            <w:pPr>
              <w:spacing w:after="0"/>
            </w:pPr>
            <w:r>
              <w:rPr>
                <w:rFonts w:ascii="Arial" w:hAnsi="Arial"/>
                <w:sz w:val="13"/>
              </w:rPr>
              <w:t>Relatórios</w:t>
            </w:r>
          </w:p>
        </w:tc>
        <w:tc>
          <w:tcPr>
            <w:tcW w:type="dxa" w:w="7272"/>
            <w:vAlign w:val="top"/>
          </w:tcPr>
          <w:p>
            <w:pPr>
              <w:spacing w:after="0"/>
            </w:pPr>
            <w:r>
              <w:rPr>
                <w:rFonts w:ascii="Arial" w:hAnsi="Arial"/>
                <w:sz w:val="13"/>
              </w:rPr>
              <w:t>/relatorios/ + geradores CAR Completo, CAR CPF/CNPJ, INCRA Completo e INCRA CPF/CNPJ.</w:t>
            </w:r>
          </w:p>
        </w:tc>
      </w:tr>
      <w:tr>
        <w:trPr>
          <w:cantSplit/>
          <w:cantSplit/>
        </w:trPr>
        <w:tc>
          <w:tcPr>
            <w:tcW w:type="dxa" w:w="2088"/>
            <w:vAlign w:val="top"/>
          </w:tcPr>
          <w:p>
            <w:pPr>
              <w:spacing w:after="0"/>
            </w:pPr>
            <w:r>
              <w:rPr>
                <w:rFonts w:ascii="Arial" w:hAnsi="Arial"/>
                <w:sz w:val="13"/>
              </w:rPr>
              <w:t>Workspace</w:t>
            </w:r>
          </w:p>
        </w:tc>
        <w:tc>
          <w:tcPr>
            <w:tcW w:type="dxa" w:w="7272"/>
            <w:vAlign w:val="top"/>
          </w:tcPr>
          <w:p>
            <w:pPr>
              <w:spacing w:after="0"/>
            </w:pPr>
            <w:r>
              <w:rPr>
                <w:rFonts w:ascii="Arial" w:hAnsi="Arial"/>
                <w:sz w:val="13"/>
              </w:rPr>
              <w:t>/workspace/switch/, /workspace/cnpj/preview/</w:t>
            </w:r>
          </w:p>
        </w:tc>
      </w:tr>
      <w:tr>
        <w:trPr>
          <w:cantSplit/>
          <w:cantSplit/>
        </w:trPr>
        <w:tc>
          <w:tcPr>
            <w:tcW w:type="dxa" w:w="2088"/>
            <w:vAlign w:val="top"/>
          </w:tcPr>
          <w:p>
            <w:pPr>
              <w:spacing w:after="0"/>
            </w:pPr>
            <w:r>
              <w:rPr>
                <w:rFonts w:ascii="Arial" w:hAnsi="Arial"/>
                <w:sz w:val="13"/>
              </w:rPr>
              <w:t>Busca API</w:t>
            </w:r>
          </w:p>
        </w:tc>
        <w:tc>
          <w:tcPr>
            <w:tcW w:type="dxa" w:w="7272"/>
            <w:vAlign w:val="top"/>
          </w:tcPr>
          <w:p>
            <w:pPr>
              <w:spacing w:after="0"/>
            </w:pPr>
            <w:r>
              <w:rPr>
                <w:rFonts w:ascii="Arial" w:hAnsi="Arial"/>
                <w:sz w:val="13"/>
              </w:rPr>
              <w:t>/buscar/api/autocomplete, /buscar/api/municipios, /buscar/session-filters/, /buscar/api/feature-interest, /buscar/api/map-activity/</w:t>
            </w:r>
          </w:p>
        </w:tc>
      </w:tr>
      <w:tr>
        <w:trPr>
          <w:cantSplit/>
          <w:cantSplit/>
        </w:trPr>
        <w:tc>
          <w:tcPr>
            <w:tcW w:type="dxa" w:w="2088"/>
            <w:vAlign w:val="top"/>
          </w:tcPr>
          <w:p>
            <w:pPr>
              <w:spacing w:after="0"/>
            </w:pPr>
            <w:r>
              <w:rPr>
                <w:rFonts w:ascii="Arial" w:hAnsi="Arial"/>
                <w:sz w:val="13"/>
              </w:rPr>
              <w:t>Atividade/onboarding</w:t>
            </w:r>
          </w:p>
        </w:tc>
        <w:tc>
          <w:tcPr>
            <w:tcW w:type="dxa" w:w="7272"/>
            <w:vAlign w:val="top"/>
          </w:tcPr>
          <w:p>
            <w:pPr>
              <w:spacing w:after="0"/>
            </w:pPr>
            <w:r>
              <w:rPr>
                <w:rFonts w:ascii="Arial" w:hAnsi="Arial"/>
                <w:sz w:val="13"/>
              </w:rPr>
              <w:t>/painel/api/atividade/, /painel/onboarding/tour-seen/, /painel/onboarding/task-mark/, /painel/bem-vindo/identidade/</w:t>
            </w:r>
          </w:p>
        </w:tc>
      </w:tr>
      <w:tr>
        <w:trPr>
          <w:cantSplit/>
          <w:cantSplit/>
        </w:trPr>
        <w:tc>
          <w:tcPr>
            <w:tcW w:type="dxa" w:w="2088"/>
            <w:vAlign w:val="top"/>
          </w:tcPr>
          <w:p>
            <w:pPr>
              <w:spacing w:after="0"/>
            </w:pPr>
            <w:r>
              <w:rPr>
                <w:rFonts w:ascii="Arial" w:hAnsi="Arial"/>
                <w:sz w:val="13"/>
              </w:rPr>
              <w:t>Notificações</w:t>
            </w:r>
          </w:p>
        </w:tc>
        <w:tc>
          <w:tcPr>
            <w:tcW w:type="dxa" w:w="7272"/>
            <w:vAlign w:val="top"/>
          </w:tcPr>
          <w:p>
            <w:pPr>
              <w:spacing w:after="0"/>
            </w:pPr>
            <w:r>
              <w:rPr>
                <w:rFonts w:ascii="Arial" w:hAnsi="Arial"/>
                <w:sz w:val="13"/>
              </w:rPr>
              <w:t>/painel/notificacoes/mark-read/, /painel/notificacoes/dismiss/</w:t>
            </w:r>
          </w:p>
        </w:tc>
      </w:tr>
      <w:tr>
        <w:trPr>
          <w:cantSplit/>
          <w:cantSplit/>
        </w:trPr>
        <w:tc>
          <w:tcPr>
            <w:tcW w:type="dxa" w:w="2088"/>
            <w:vAlign w:val="top"/>
          </w:tcPr>
          <w:p>
            <w:pPr>
              <w:spacing w:after="0"/>
            </w:pPr>
            <w:r>
              <w:rPr>
                <w:rFonts w:ascii="Arial" w:hAnsi="Arial"/>
                <w:sz w:val="13"/>
              </w:rPr>
              <w:t>Perfil/foto</w:t>
            </w:r>
          </w:p>
        </w:tc>
        <w:tc>
          <w:tcPr>
            <w:tcW w:type="dxa" w:w="7272"/>
            <w:vAlign w:val="top"/>
          </w:tcPr>
          <w:p>
            <w:pPr>
              <w:spacing w:after="0"/>
            </w:pPr>
            <w:r>
              <w:rPr>
                <w:rFonts w:ascii="Arial" w:hAnsi="Arial"/>
                <w:sz w:val="13"/>
              </w:rPr>
              <w:t>/painel/user/photo/upload/, /painel/user/photo/remove/, /painel/user/photo/source/</w:t>
            </w:r>
          </w:p>
        </w:tc>
      </w:tr>
      <w:tr>
        <w:trPr>
          <w:cantSplit/>
          <w:cantSplit/>
        </w:trPr>
        <w:tc>
          <w:tcPr>
            <w:tcW w:type="dxa" w:w="2088"/>
            <w:vAlign w:val="top"/>
          </w:tcPr>
          <w:p>
            <w:pPr>
              <w:spacing w:after="0"/>
            </w:pPr>
            <w:r>
              <w:rPr>
                <w:rFonts w:ascii="Arial" w:hAnsi="Arial"/>
                <w:sz w:val="13"/>
              </w:rPr>
              <w:t>Billing/créditos</w:t>
            </w:r>
          </w:p>
        </w:tc>
        <w:tc>
          <w:tcPr>
            <w:tcW w:type="dxa" w:w="7272"/>
            <w:vAlign w:val="top"/>
          </w:tcPr>
          <w:p>
            <w:pPr>
              <w:spacing w:after="0"/>
            </w:pPr>
            <w:r>
              <w:rPr>
                <w:rFonts w:ascii="Arial" w:hAnsi="Arial"/>
                <w:sz w:val="13"/>
              </w:rPr>
              <w:t>/api/billing/painel-credits/, /api/billing/subscription-summary/, /api/billing/setup-intent/, /api/billing/change-plan/, /api/billing/set-default-payment-method/, /painel/faturamento/, /painel/faturamento/extrato/</w:t>
            </w:r>
          </w:p>
        </w:tc>
      </w:tr>
      <w:tr>
        <w:trPr>
          <w:cantSplit/>
          <w:cantSplit/>
        </w:trPr>
        <w:tc>
          <w:tcPr>
            <w:tcW w:type="dxa" w:w="2088"/>
            <w:vAlign w:val="top"/>
          </w:tcPr>
          <w:p>
            <w:pPr>
              <w:spacing w:after="0"/>
            </w:pPr>
            <w:r>
              <w:rPr>
                <w:rFonts w:ascii="Arial" w:hAnsi="Arial"/>
                <w:sz w:val="13"/>
              </w:rPr>
              <w:t>Conta/auth</w:t>
            </w:r>
          </w:p>
        </w:tc>
        <w:tc>
          <w:tcPr>
            <w:tcW w:type="dxa" w:w="7272"/>
            <w:vAlign w:val="top"/>
          </w:tcPr>
          <w:p>
            <w:pPr>
              <w:spacing w:after="0"/>
            </w:pPr>
            <w:r>
              <w:rPr>
                <w:rFonts w:ascii="Arial" w:hAnsi="Arial"/>
                <w:sz w:val="13"/>
              </w:rPr>
              <w:t>/accounts/login/, /accounts/signup/, /accounts/password/reset/, /accounts/google/login/, /accounts/google-one-tap/verify/, /logout</w:t>
            </w:r>
          </w:p>
        </w:tc>
      </w:tr>
      <w:tr>
        <w:trPr>
          <w:cantSplit/>
          <w:cantSplit/>
        </w:trPr>
        <w:tc>
          <w:tcPr>
            <w:tcW w:type="dxa" w:w="2088"/>
            <w:vAlign w:val="top"/>
          </w:tcPr>
          <w:p>
            <w:pPr>
              <w:spacing w:after="0"/>
            </w:pPr>
            <w:r>
              <w:rPr>
                <w:rFonts w:ascii="Arial" w:hAnsi="Arial"/>
                <w:sz w:val="13"/>
              </w:rPr>
              <w:t>Produto/docs</w:t>
            </w:r>
          </w:p>
        </w:tc>
        <w:tc>
          <w:tcPr>
            <w:tcW w:type="dxa" w:w="7272"/>
            <w:vAlign w:val="top"/>
          </w:tcPr>
          <w:p>
            <w:pPr>
              <w:spacing w:after="0"/>
            </w:pPr>
            <w:r>
              <w:rPr>
                <w:rFonts w:ascii="Arial" w:hAnsi="Arial"/>
                <w:sz w:val="13"/>
              </w:rPr>
              <w:t>/planos-e-precos/, /docs/monitoramento-de-car/, /termos-de-uso, /politica-de-privacidade</w:t>
            </w:r>
          </w:p>
        </w:tc>
      </w:tr>
    </w:tbl>
    <w:p>
      <w:pPr>
        <w:spacing w:after="20"/>
      </w:pPr>
    </w:p>
    <w:p>
      <w:pPr>
        <w:pStyle w:val="Heading2"/>
      </w:pPr>
      <w:r>
        <w:t>25.32 Integração do RE Rural com Imóvel 360 e LoteDiretor</w:t>
      </w:r>
    </w:p>
    <w:tbl>
      <w:tblPr>
        <w:tblStyle w:val="TableGrid"/>
        <w:tblW w:type="auto" w:w="0"/>
        <w:jc w:val="center"/>
        <w:tblLook w:firstColumn="1" w:firstRow="1" w:lastColumn="0" w:lastRow="0" w:noHBand="0" w:noVBand="1" w:val="04A0"/>
      </w:tblPr>
      <w:tblGrid>
        <w:gridCol w:w="10166"/>
      </w:tblGrid>
      <w:tr>
        <w:trPr>
          <w:tblHeader w:val="true"/>
          <w:cantSplit/>
        </w:trPr>
        <w:tc>
          <w:tcPr>
            <w:tcW w:type="dxa" w:w="10166"/>
            <w:shd w:fill="F6F6F6"/>
          </w:tcPr>
          <w:p>
            <w:pPr>
              <w:spacing w:after="0"/>
            </w:pPr>
            <w:r>
              <w:rPr>
                <w:rFonts w:ascii="Arial" w:hAnsi="Arial"/>
                <w:sz w:val="17"/>
              </w:rPr>
            </w:r>
            <w:r>
              <w:rPr>
                <w:rFonts w:ascii="Courier New" w:hAnsi="Courier New"/>
                <w:sz w:val="14"/>
              </w:rPr>
              <w:t>LOTE DIRETOR CORE</w:t>
              <w:br/>
              <w:t>├── identidade do terreno / Parcel Resolver</w:t>
              <w:br/>
              <w:t>├── evidence + source registry</w:t>
              <w:br/>
              <w:t>├── PostGIS + temporal versioning</w:t>
              <w:br/>
              <w:t>├── legal/policy engine</w:t>
              <w:br/>
              <w:t>└── audit + access control</w:t>
              <w:br/>
              <w:t xml:space="preserve">       │</w:t>
              <w:br/>
              <w:t xml:space="preserve">       ├────────── IMÓVEL 360 (urbano / desenvolvimento / mercado)</w:t>
              <w:br/>
              <w:t xml:space="preserve">       │</w:t>
              <w:br/>
              <w:t xml:space="preserve">       └────────── RE RURAL (rural / fundiário / ambiental / crédito)</w:t>
              <w:br/>
              <w:br/>
              <w:t>UM ÚNICO MAPA + UMA ÚNICA CONTA + DOIS CONJUNTOS DE REGRAS E FONTES</w:t>
              <w:br/>
              <w:t>Urban/rural pode coexistir em áreas de expansão, borda municipal e mudança de perímetro.</w:t>
            </w:r>
          </w:p>
        </w:tc>
      </w:tr>
    </w:tbl>
    <w:p>
      <w:pPr>
        <w:spacing w:after="20"/>
      </w:pPr>
    </w:p>
    <w:p>
      <w:pPr>
        <w:spacing w:after="30"/>
        <w:ind w:left="259" w:hanging="173"/>
      </w:pPr>
      <w:r>
        <w:t xml:space="preserve">• </w:t>
      </w:r>
      <w:r>
        <w:t>O mesmo source_registry, data lake, PostGIS, search, evidence engine, user/workspace, CRM e reports devem servir aos dois módulos.</w:t>
      </w:r>
    </w:p>
    <w:p>
      <w:pPr>
        <w:spacing w:after="30"/>
        <w:ind w:left="259" w:hanging="173"/>
      </w:pPr>
      <w:r>
        <w:t xml:space="preserve">• </w:t>
      </w:r>
      <w:r>
        <w:t>O Parcel Resolver deve detectar se a consulta é urbana, rural ou híbrida e habilitar automaticamente as camadas relevantes.</w:t>
      </w:r>
    </w:p>
    <w:p>
      <w:pPr>
        <w:spacing w:after="30"/>
        <w:ind w:left="259" w:hanging="173"/>
      </w:pPr>
      <w:r>
        <w:t xml:space="preserve">• </w:t>
      </w:r>
      <w:r>
        <w:t>Imóvel 360 pode reutilizar RE Rural para glebas rurais em expansão urbana, áreas de loteamento, servidões, CAR/APP e origem fundiária.</w:t>
      </w:r>
    </w:p>
    <w:p>
      <w:pPr>
        <w:spacing w:after="30"/>
        <w:ind w:left="259" w:hanging="173"/>
      </w:pPr>
      <w:r>
        <w:t xml:space="preserve">• </w:t>
      </w:r>
      <w:r>
        <w:t>RE Rural pode reutilizar Imóvel 360 para valor/mercado, infraestrutura, acesso viário, energia, telecom e desenvolvimento imobiliário quando pertinente.</w:t>
      </w:r>
    </w:p>
    <w:p>
      <w:pPr>
        <w:pStyle w:val="Heading2"/>
      </w:pPr>
      <w:r>
        <w:t>25.33 Roadmap de implementação do RE Rural</w:t>
      </w:r>
    </w:p>
    <w:p>
      <w:pPr>
        <w:spacing w:after="30"/>
        <w:ind w:left="259" w:hanging="259"/>
      </w:pPr>
      <w:r>
        <w:rPr>
          <w:b/>
        </w:rPr>
        <w:t xml:space="preserve">1. </w:t>
      </w:r>
      <w:r>
        <w:t>Consolidar source_registry oficial e conectores de IBAMA + PRODES + FUNAI/CNUC (abertos e tecnicamente previsíveis).</w:t>
      </w:r>
    </w:p>
    <w:p>
      <w:pPr>
        <w:spacing w:after="30"/>
        <w:ind w:left="259" w:hanging="259"/>
      </w:pPr>
      <w:r>
        <w:rPr>
          <w:b/>
        </w:rPr>
        <w:t xml:space="preserve">2. </w:t>
      </w:r>
      <w:r>
        <w:t>Implementar SIGEF/Acervo Fundiário e geometria certificada com cache/versionamento.</w:t>
      </w:r>
    </w:p>
    <w:p>
      <w:pPr>
        <w:spacing w:after="30"/>
        <w:ind w:left="259" w:hanging="259"/>
      </w:pPr>
      <w:r>
        <w:rPr>
          <w:b/>
        </w:rPr>
        <w:t xml:space="preserve">3. </w:t>
      </w:r>
      <w:r>
        <w:t>Implementar CAR por estratégia federal + conectores estaduais; separar geometrias públicas de documentos/dados autenticados.</w:t>
      </w:r>
    </w:p>
    <w:p>
      <w:pPr>
        <w:spacing w:after="30"/>
        <w:ind w:left="259" w:hanging="259"/>
      </w:pPr>
      <w:r>
        <w:rPr>
          <w:b/>
        </w:rPr>
        <w:t xml:space="preserve">4. </w:t>
      </w:r>
      <w:r>
        <w:t>Implementar SNCR/CCIR/CAFIR/CIB com fluxo autorizado e documentos do usuário; não prometer titularidade aberta onde não existe.</w:t>
      </w:r>
    </w:p>
    <w:p>
      <w:pPr>
        <w:spacing w:after="30"/>
        <w:ind w:left="259" w:hanging="259"/>
      </w:pPr>
      <w:r>
        <w:rPr>
          <w:b/>
        </w:rPr>
        <w:t xml:space="preserve">5. </w:t>
      </w:r>
      <w:r>
        <w:t>Construir identity graph e motor de correspondência CAR↔SIGEF↔SNCR↔CIB↔matrícula.</w:t>
      </w:r>
    </w:p>
    <w:p>
      <w:pPr>
        <w:spacing w:after="30"/>
        <w:ind w:left="259" w:hanging="259"/>
      </w:pPr>
      <w:r>
        <w:rPr>
          <w:b/>
        </w:rPr>
        <w:t xml:space="preserve">6. </w:t>
      </w:r>
      <w:r>
        <w:t>Construir overlap engine e categorias restrição/alerta/relacionamento.</w:t>
      </w:r>
    </w:p>
    <w:p>
      <w:pPr>
        <w:spacing w:after="30"/>
        <w:ind w:left="259" w:hanging="259"/>
      </w:pPr>
      <w:r>
        <w:rPr>
          <w:b/>
        </w:rPr>
        <w:t xml:space="preserve">7. </w:t>
      </w:r>
      <w:r>
        <w:t>Entregar mapa, KML/KMZ/GeoJSON, ficha e RE Rural 360 PDF.</w:t>
      </w:r>
    </w:p>
    <w:p>
      <w:pPr>
        <w:spacing w:after="30"/>
        <w:ind w:left="259" w:hanging="259"/>
      </w:pPr>
      <w:r>
        <w:rPr>
          <w:b/>
        </w:rPr>
        <w:t xml:space="preserve">8. </w:t>
      </w:r>
      <w:r>
        <w:t>Adicionar monitoramento por diffs e alertas.</w:t>
      </w:r>
    </w:p>
    <w:p>
      <w:pPr>
        <w:spacing w:after="30"/>
        <w:ind w:left="259" w:hanging="259"/>
      </w:pPr>
      <w:r>
        <w:rPr>
          <w:b/>
        </w:rPr>
        <w:t xml:space="preserve">9. </w:t>
      </w:r>
      <w:r>
        <w:t>Adicionar pessoas/empresas e relatórios por documento com controles LGPD e auditoria.</w:t>
      </w:r>
    </w:p>
    <w:p>
      <w:pPr>
        <w:spacing w:after="30"/>
        <w:ind w:left="259" w:hanging="259"/>
      </w:pPr>
      <w:r>
        <w:rPr>
          <w:b/>
        </w:rPr>
        <w:t xml:space="preserve">10. </w:t>
      </w:r>
      <w:r>
        <w:t>Adicionar SICOR/Bacen e inteligência de crédito/portfolio.</w:t>
      </w:r>
    </w:p>
    <w:p>
      <w:pPr>
        <w:spacing w:after="30"/>
        <w:ind w:left="259" w:hanging="259"/>
      </w:pPr>
      <w:r>
        <w:rPr>
          <w:b/>
        </w:rPr>
        <w:t xml:space="preserve">11. </w:t>
      </w:r>
      <w:r>
        <w:t>Adicionar UCs, TIs, quilombolas, assentamentos e DETER como camadas nacionais.</w:t>
      </w:r>
    </w:p>
    <w:p>
      <w:pPr>
        <w:spacing w:after="30"/>
        <w:ind w:left="259" w:hanging="259"/>
      </w:pPr>
      <w:r>
        <w:rPr>
          <w:b/>
        </w:rPr>
        <w:t xml:space="preserve">12. </w:t>
      </w:r>
      <w:r>
        <w:t>Abrir API empresarial, bulk processing, webhook, SLA e dossiês auditáveis.</w:t>
      </w:r>
    </w:p>
    <w:p>
      <w:pPr>
        <w:pStyle w:val="Heading1"/>
        <w:pageBreakBefore/>
      </w:pPr>
      <w:r>
        <w:t>26. Condomínio — inteligência normativa, documental e operacional</w:t>
      </w:r>
    </w:p>
    <w:p>
      <w:r>
        <w:t>Objetivo. Criar uma área própria para condomínios verticais, horizontais, mistos e condomínios de lotes, na qual documentos internos e legislação aplicável sejam transformados em regras consultáveis, versionadas e auditáveis. O centro da experiência é um chat de IA que responde o que é permitido, proibido, condicionado ou não determinado no condomínio, sempre citando a cláusula, ata, regra externa ou evidência usada na conclusão.</w:t>
      </w:r>
    </w:p>
    <w:p>
      <w:r>
        <w:t>Princípio de segurança. A IA não substitui síndico, assembleia, advogado, arquiteto, engenheiro ou autoridade pública. Ela organiza evidências, identifica regras e conflitos, calcula quóruns, gera checklists e aponta quando uma decisão depende de validação técnica, jurídica ou administrativa.</w:t>
      </w:r>
    </w:p>
    <w:p>
      <w:pPr>
        <w:pStyle w:val="Heading2"/>
      </w:pPr>
      <w:r>
        <w:t>26.1 Tipos de empreendimento e regime que o módulo deve reconhecer</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Tipo</w:t>
            </w:r>
          </w:p>
        </w:tc>
        <w:tc>
          <w:tcPr>
            <w:tcW w:type="dxa" w:w="5083"/>
          </w:tcPr>
          <w:p>
            <w:r>
              <w:rPr>
                <w:rFonts w:ascii="Arial" w:hAnsi="Arial"/>
                <w:b/>
                <w:sz w:val="17"/>
              </w:rPr>
              <w:t>Tratamento no módulo</w:t>
            </w:r>
          </w:p>
        </w:tc>
      </w:tr>
      <w:tr>
        <w:trPr>
          <w:cantSplit/>
          <w:cantSplit/>
        </w:trPr>
        <w:tc>
          <w:tcPr>
            <w:tcW w:type="dxa" w:w="5083"/>
          </w:tcPr>
          <w:p>
            <w:r>
              <w:rPr>
                <w:rFonts w:ascii="Arial" w:hAnsi="Arial"/>
                <w:sz w:val="17"/>
              </w:rPr>
              <w:t>Condomínio edilício vertical</w:t>
            </w:r>
          </w:p>
        </w:tc>
        <w:tc>
          <w:tcPr>
            <w:tcW w:type="dxa" w:w="5083"/>
          </w:tcPr>
          <w:p>
            <w:r>
              <w:rPr>
                <w:rFonts w:ascii="Arial" w:hAnsi="Arial"/>
                <w:sz w:val="17"/>
              </w:rPr>
              <w:t>Apartamentos, salas, lojas ou uso misto; unidades autônomas + partes comuns; regras de fachada, estrutura, instalações, áreas comuns, garagem e reformas.</w:t>
            </w:r>
          </w:p>
        </w:tc>
      </w:tr>
      <w:tr>
        <w:trPr>
          <w:cantSplit/>
          <w:cantSplit/>
        </w:trPr>
        <w:tc>
          <w:tcPr>
            <w:tcW w:type="dxa" w:w="5083"/>
          </w:tcPr>
          <w:p>
            <w:r>
              <w:rPr>
                <w:rFonts w:ascii="Arial" w:hAnsi="Arial"/>
                <w:sz w:val="17"/>
              </w:rPr>
              <w:t>Condomínio edilício horizontal</w:t>
            </w:r>
          </w:p>
        </w:tc>
        <w:tc>
          <w:tcPr>
            <w:tcW w:type="dxa" w:w="5083"/>
          </w:tcPr>
          <w:p>
            <w:r>
              <w:rPr>
                <w:rFonts w:ascii="Arial" w:hAnsi="Arial"/>
                <w:sz w:val="17"/>
              </w:rPr>
              <w:t>Conjuntos de casas/unidades autônomas em terreno comum; regras de implantação, fachadas, jardins, vias internas, obras e áreas comuns.</w:t>
            </w:r>
          </w:p>
        </w:tc>
      </w:tr>
      <w:tr>
        <w:trPr>
          <w:cantSplit/>
          <w:cantSplit/>
        </w:trPr>
        <w:tc>
          <w:tcPr>
            <w:tcW w:type="dxa" w:w="5083"/>
          </w:tcPr>
          <w:p>
            <w:r>
              <w:rPr>
                <w:rFonts w:ascii="Arial" w:hAnsi="Arial"/>
                <w:sz w:val="17"/>
              </w:rPr>
              <w:t>Condomínio de lotes</w:t>
            </w:r>
          </w:p>
        </w:tc>
        <w:tc>
          <w:tcPr>
            <w:tcW w:type="dxa" w:w="5083"/>
          </w:tcPr>
          <w:p>
            <w:r>
              <w:rPr>
                <w:rFonts w:ascii="Arial" w:hAnsi="Arial"/>
                <w:sz w:val="17"/>
              </w:rPr>
              <w:t>Lotes exclusivos e áreas comuns; controlar diretrizes construtivas, recuos internos, cercas/muros, acesso de obra, paisagismo e aprovações do condomínio, sem confundir com o zoneamento municipal [R45].</w:t>
            </w:r>
          </w:p>
        </w:tc>
      </w:tr>
      <w:tr>
        <w:trPr>
          <w:cantSplit/>
          <w:cantSplit/>
        </w:trPr>
        <w:tc>
          <w:tcPr>
            <w:tcW w:type="dxa" w:w="5083"/>
          </w:tcPr>
          <w:p>
            <w:r>
              <w:rPr>
                <w:rFonts w:ascii="Arial" w:hAnsi="Arial"/>
                <w:sz w:val="17"/>
              </w:rPr>
              <w:t>Condomínio comercial/misto</w:t>
            </w:r>
          </w:p>
        </w:tc>
        <w:tc>
          <w:tcPr>
            <w:tcW w:type="dxa" w:w="5083"/>
          </w:tcPr>
          <w:p>
            <w:r>
              <w:rPr>
                <w:rFonts w:ascii="Arial" w:hAnsi="Arial"/>
                <w:sz w:val="17"/>
              </w:rPr>
              <w:t>Regras por atividade, horário, carga/descarga, publicidade, acesso público, segurança e convivência entre usos.</w:t>
            </w:r>
          </w:p>
        </w:tc>
      </w:tr>
      <w:tr>
        <w:trPr>
          <w:cantSplit/>
          <w:cantSplit/>
        </w:trPr>
        <w:tc>
          <w:tcPr>
            <w:tcW w:type="dxa" w:w="5083"/>
          </w:tcPr>
          <w:p>
            <w:r>
              <w:rPr>
                <w:rFonts w:ascii="Arial" w:hAnsi="Arial"/>
                <w:sz w:val="17"/>
              </w:rPr>
              <w:t>Multipropriedade</w:t>
            </w:r>
          </w:p>
        </w:tc>
        <w:tc>
          <w:tcPr>
            <w:tcW w:type="dxa" w:w="5083"/>
          </w:tcPr>
          <w:p>
            <w:r>
              <w:rPr>
                <w:rFonts w:ascii="Arial" w:hAnsi="Arial"/>
                <w:sz w:val="17"/>
              </w:rPr>
              <w:t>Ativar regras específicas de fração de tempo, ocupação, gestão, uso de áreas comuns e calendário quando o empreendimento estiver nesse regime.</w:t>
            </w:r>
          </w:p>
        </w:tc>
      </w:tr>
      <w:tr>
        <w:trPr>
          <w:cantSplit/>
          <w:cantSplit/>
        </w:trPr>
        <w:tc>
          <w:tcPr>
            <w:tcW w:type="dxa" w:w="5083"/>
          </w:tcPr>
          <w:p>
            <w:r>
              <w:rPr>
                <w:rFonts w:ascii="Arial" w:hAnsi="Arial"/>
                <w:sz w:val="17"/>
              </w:rPr>
              <w:t>Loteamento de acesso controlado / associação</w:t>
            </w:r>
          </w:p>
        </w:tc>
        <w:tc>
          <w:tcPr>
            <w:tcW w:type="dxa" w:w="5083"/>
          </w:tcPr>
          <w:p>
            <w:r>
              <w:rPr>
                <w:rFonts w:ascii="Arial" w:hAnsi="Arial"/>
                <w:sz w:val="17"/>
              </w:rPr>
              <w:t>Detectar que não é automaticamente condomínio. Exigir identificação correta do regime registral/associativo antes de aplicar regras de condomínio.</w:t>
            </w:r>
          </w:p>
        </w:tc>
      </w:tr>
    </w:tbl>
    <w:p>
      <w:pPr>
        <w:pStyle w:val="Heading2"/>
      </w:pPr>
      <w:r>
        <w:t>26.2 Quem usa e qual decisão precisa tomar</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Perfil</w:t>
            </w:r>
          </w:p>
        </w:tc>
        <w:tc>
          <w:tcPr>
            <w:tcW w:type="dxa" w:w="5083"/>
          </w:tcPr>
          <w:p>
            <w:r>
              <w:rPr>
                <w:rFonts w:ascii="Arial" w:hAnsi="Arial"/>
                <w:b/>
                <w:sz w:val="17"/>
              </w:rPr>
              <w:t>Decisões/consultas suportadas</w:t>
            </w:r>
          </w:p>
        </w:tc>
      </w:tr>
      <w:tr>
        <w:trPr>
          <w:cantSplit/>
          <w:cantSplit/>
        </w:trPr>
        <w:tc>
          <w:tcPr>
            <w:tcW w:type="dxa" w:w="5083"/>
          </w:tcPr>
          <w:p>
            <w:r>
              <w:rPr>
                <w:rFonts w:ascii="Arial" w:hAnsi="Arial"/>
                <w:sz w:val="17"/>
              </w:rPr>
              <w:t>Condômino/proprietário</w:t>
            </w:r>
          </w:p>
        </w:tc>
        <w:tc>
          <w:tcPr>
            <w:tcW w:type="dxa" w:w="5083"/>
          </w:tcPr>
          <w:p>
            <w:r>
              <w:rPr>
                <w:rFonts w:ascii="Arial" w:hAnsi="Arial"/>
                <w:sz w:val="17"/>
              </w:rPr>
              <w:t>“Posso fazer esta obra?”, “posso fechar a varanda?”, “posso instalar ar-condicionado?”, “posso alugar por temporada?”, “qual regra vale para meu caso?”</w:t>
            </w:r>
          </w:p>
        </w:tc>
      </w:tr>
      <w:tr>
        <w:trPr>
          <w:cantSplit/>
          <w:cantSplit/>
        </w:trPr>
        <w:tc>
          <w:tcPr>
            <w:tcW w:type="dxa" w:w="5083"/>
          </w:tcPr>
          <w:p>
            <w:r>
              <w:rPr>
                <w:rFonts w:ascii="Arial" w:hAnsi="Arial"/>
                <w:sz w:val="17"/>
              </w:rPr>
              <w:t>Inquilino/ocupante</w:t>
            </w:r>
          </w:p>
        </w:tc>
        <w:tc>
          <w:tcPr>
            <w:tcW w:type="dxa" w:w="5083"/>
          </w:tcPr>
          <w:p>
            <w:r>
              <w:rPr>
                <w:rFonts w:ascii="Arial" w:hAnsi="Arial"/>
                <w:sz w:val="17"/>
              </w:rPr>
              <w:t>Uso de áreas comuns, visitantes, animais, mudanças, eventos, reservas, horários, regras de convivência e responsabilidades.</w:t>
            </w:r>
          </w:p>
        </w:tc>
      </w:tr>
      <w:tr>
        <w:trPr>
          <w:cantSplit/>
          <w:cantSplit/>
        </w:trPr>
        <w:tc>
          <w:tcPr>
            <w:tcW w:type="dxa" w:w="5083"/>
          </w:tcPr>
          <w:p>
            <w:r>
              <w:rPr>
                <w:rFonts w:ascii="Arial" w:hAnsi="Arial"/>
                <w:sz w:val="17"/>
              </w:rPr>
              <w:t>Síndico/administradora</w:t>
            </w:r>
          </w:p>
        </w:tc>
        <w:tc>
          <w:tcPr>
            <w:tcW w:type="dxa" w:w="5083"/>
          </w:tcPr>
          <w:p>
            <w:r>
              <w:rPr>
                <w:rFonts w:ascii="Arial" w:hAnsi="Arial"/>
                <w:sz w:val="17"/>
              </w:rPr>
              <w:t>Interpretar regras, responder moradores, preparar assembleias, controlar documentos, aprovar solicitações, registrar ocorrências, aplicar procedimentos e acompanhar compliance.</w:t>
            </w:r>
          </w:p>
        </w:tc>
      </w:tr>
      <w:tr>
        <w:trPr>
          <w:cantSplit/>
          <w:cantSplit/>
        </w:trPr>
        <w:tc>
          <w:tcPr>
            <w:tcW w:type="dxa" w:w="5083"/>
          </w:tcPr>
          <w:p>
            <w:r>
              <w:rPr>
                <w:rFonts w:ascii="Arial" w:hAnsi="Arial"/>
                <w:sz w:val="17"/>
              </w:rPr>
              <w:t>Conselho</w:t>
            </w:r>
          </w:p>
        </w:tc>
        <w:tc>
          <w:tcPr>
            <w:tcW w:type="dxa" w:w="5083"/>
          </w:tcPr>
          <w:p>
            <w:r>
              <w:rPr>
                <w:rFonts w:ascii="Arial" w:hAnsi="Arial"/>
                <w:sz w:val="17"/>
              </w:rPr>
              <w:t>Auditar decisões, quóruns, contratos, contas, riscos e aderência à convenção/atas.</w:t>
            </w:r>
          </w:p>
        </w:tc>
      </w:tr>
      <w:tr>
        <w:trPr>
          <w:cantSplit/>
          <w:cantSplit/>
        </w:trPr>
        <w:tc>
          <w:tcPr>
            <w:tcW w:type="dxa" w:w="5083"/>
          </w:tcPr>
          <w:p>
            <w:r>
              <w:rPr>
                <w:rFonts w:ascii="Arial" w:hAnsi="Arial"/>
                <w:sz w:val="17"/>
              </w:rPr>
              <w:t>Arquiteto/engenheiro</w:t>
            </w:r>
          </w:p>
        </w:tc>
        <w:tc>
          <w:tcPr>
            <w:tcW w:type="dxa" w:w="5083"/>
          </w:tcPr>
          <w:p>
            <w:r>
              <w:rPr>
                <w:rFonts w:ascii="Arial" w:hAnsi="Arial"/>
                <w:sz w:val="17"/>
              </w:rPr>
              <w:t>Requisitos de reforma/obra, ART/RRT, elementos estruturais e comuns, padrões de fachada, rotas de aprovação e documentação técnica.</w:t>
            </w:r>
          </w:p>
        </w:tc>
      </w:tr>
      <w:tr>
        <w:trPr>
          <w:cantSplit/>
          <w:cantSplit/>
        </w:trPr>
        <w:tc>
          <w:tcPr>
            <w:tcW w:type="dxa" w:w="5083"/>
          </w:tcPr>
          <w:p>
            <w:r>
              <w:rPr>
                <w:rFonts w:ascii="Arial" w:hAnsi="Arial"/>
                <w:sz w:val="17"/>
              </w:rPr>
              <w:t>Jurídico</w:t>
            </w:r>
          </w:p>
        </w:tc>
        <w:tc>
          <w:tcPr>
            <w:tcW w:type="dxa" w:w="5083"/>
          </w:tcPr>
          <w:p>
            <w:r>
              <w:rPr>
                <w:rFonts w:ascii="Arial" w:hAnsi="Arial"/>
                <w:sz w:val="17"/>
              </w:rPr>
              <w:t>Conflitos normativos, histórico de deliberações, evidências, quóruns, notificações, penalidades e preparação de dossiê.</w:t>
            </w:r>
          </w:p>
        </w:tc>
      </w:tr>
      <w:tr>
        <w:trPr>
          <w:cantSplit/>
          <w:cantSplit/>
        </w:trPr>
        <w:tc>
          <w:tcPr>
            <w:tcW w:type="dxa" w:w="5083"/>
          </w:tcPr>
          <w:p>
            <w:r>
              <w:rPr>
                <w:rFonts w:ascii="Arial" w:hAnsi="Arial"/>
                <w:sz w:val="17"/>
              </w:rPr>
              <w:t>Portaria/segurança/facilities</w:t>
            </w:r>
          </w:p>
        </w:tc>
        <w:tc>
          <w:tcPr>
            <w:tcW w:type="dxa" w:w="5083"/>
          </w:tcPr>
          <w:p>
            <w:r>
              <w:rPr>
                <w:rFonts w:ascii="Arial" w:hAnsi="Arial"/>
                <w:sz w:val="17"/>
              </w:rPr>
              <w:t>Procedimentos de acesso, mudanças, prestadores, obras, entregas, estacionamento, eventos e emergências.</w:t>
            </w:r>
          </w:p>
        </w:tc>
      </w:tr>
      <w:tr>
        <w:trPr>
          <w:cantSplit/>
          <w:cantSplit/>
        </w:trPr>
        <w:tc>
          <w:tcPr>
            <w:tcW w:type="dxa" w:w="5083"/>
          </w:tcPr>
          <w:p>
            <w:r>
              <w:rPr>
                <w:rFonts w:ascii="Arial" w:hAnsi="Arial"/>
                <w:sz w:val="17"/>
              </w:rPr>
              <w:t>Corretor/comprador</w:t>
            </w:r>
          </w:p>
        </w:tc>
        <w:tc>
          <w:tcPr>
            <w:tcW w:type="dxa" w:w="5083"/>
          </w:tcPr>
          <w:p>
            <w:r>
              <w:rPr>
                <w:rFonts w:ascii="Arial" w:hAnsi="Arial"/>
                <w:sz w:val="17"/>
              </w:rPr>
              <w:t>Diligência pré-compra: regras relevantes, restrições de uso, obras, locação, vagas, animais, dívidas/documentos fornecidos e governança.</w:t>
            </w:r>
          </w:p>
        </w:tc>
      </w:tr>
    </w:tbl>
    <w:p>
      <w:pPr>
        <w:pStyle w:val="Heading2"/>
      </w:pPr>
      <w:r>
        <w:t>26.3 A página Condomínio — experiência principal</w:t>
      </w:r>
    </w:p>
    <w:p>
      <w:r>
        <w:t>A opção “Condomínio” deve abrir uma página própria do empreendimento, com contexto por condomínio, bloco/torre, unidade ou lote. O usuário nunca deve misturar documentos de condomínios diferentes.</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Área da página</w:t>
            </w:r>
          </w:p>
        </w:tc>
        <w:tc>
          <w:tcPr>
            <w:tcW w:type="dxa" w:w="5083"/>
          </w:tcPr>
          <w:p>
            <w:r>
              <w:rPr>
                <w:rFonts w:ascii="Arial" w:hAnsi="Arial"/>
                <w:b/>
                <w:sz w:val="17"/>
              </w:rPr>
              <w:t>Função</w:t>
            </w:r>
          </w:p>
        </w:tc>
      </w:tr>
      <w:tr>
        <w:trPr>
          <w:cantSplit/>
          <w:cantSplit/>
        </w:trPr>
        <w:tc>
          <w:tcPr>
            <w:tcW w:type="dxa" w:w="5083"/>
          </w:tcPr>
          <w:p>
            <w:r>
              <w:rPr>
                <w:rFonts w:ascii="Arial" w:hAnsi="Arial"/>
                <w:sz w:val="17"/>
              </w:rPr>
              <w:t>Cabeçalho do condomínio</w:t>
            </w:r>
          </w:p>
        </w:tc>
        <w:tc>
          <w:tcPr>
            <w:tcW w:type="dxa" w:w="5083"/>
          </w:tcPr>
          <w:p>
            <w:r>
              <w:rPr>
                <w:rFonts w:ascii="Arial" w:hAnsi="Arial"/>
                <w:sz w:val="17"/>
              </w:rPr>
              <w:t>Nome, CNPJ quando aplicável, endereço, tipo/regime, blocos/torres, unidades/lotes, síndico/administradora, data-base e status documental.</w:t>
            </w:r>
          </w:p>
        </w:tc>
      </w:tr>
      <w:tr>
        <w:trPr>
          <w:cantSplit/>
          <w:cantSplit/>
        </w:trPr>
        <w:tc>
          <w:tcPr>
            <w:tcW w:type="dxa" w:w="5083"/>
          </w:tcPr>
          <w:p>
            <w:r>
              <w:rPr>
                <w:rFonts w:ascii="Arial" w:hAnsi="Arial"/>
                <w:sz w:val="17"/>
              </w:rPr>
              <w:t>Chat IA</w:t>
            </w:r>
          </w:p>
        </w:tc>
        <w:tc>
          <w:tcPr>
            <w:tcW w:type="dxa" w:w="5083"/>
          </w:tcPr>
          <w:p>
            <w:r>
              <w:rPr>
                <w:rFonts w:ascii="Arial" w:hAnsi="Arial"/>
                <w:sz w:val="17"/>
              </w:rPr>
              <w:t>Campo principal de perguntas; permite selecionar “meu condomínio”, unidade/lote, data de referência e tema.</w:t>
            </w:r>
          </w:p>
        </w:tc>
      </w:tr>
      <w:tr>
        <w:trPr>
          <w:cantSplit/>
          <w:cantSplit/>
        </w:trPr>
        <w:tc>
          <w:tcPr>
            <w:tcW w:type="dxa" w:w="5083"/>
          </w:tcPr>
          <w:p>
            <w:r>
              <w:rPr>
                <w:rFonts w:ascii="Arial" w:hAnsi="Arial"/>
                <w:sz w:val="17"/>
              </w:rPr>
              <w:t>Documentos</w:t>
            </w:r>
          </w:p>
        </w:tc>
        <w:tc>
          <w:tcPr>
            <w:tcW w:type="dxa" w:w="5083"/>
          </w:tcPr>
          <w:p>
            <w:r>
              <w:rPr>
                <w:rFonts w:ascii="Arial" w:hAnsi="Arial"/>
                <w:sz w:val="17"/>
              </w:rPr>
              <w:t>Upload, organização, versões, status, validade, assinatura/registro informado, OCR, pesquisa e download conforme permissão.</w:t>
            </w:r>
          </w:p>
        </w:tc>
      </w:tr>
      <w:tr>
        <w:trPr>
          <w:cantSplit/>
          <w:cantSplit/>
        </w:trPr>
        <w:tc>
          <w:tcPr>
            <w:tcW w:type="dxa" w:w="5083"/>
          </w:tcPr>
          <w:p>
            <w:r>
              <w:rPr>
                <w:rFonts w:ascii="Arial" w:hAnsi="Arial"/>
                <w:sz w:val="17"/>
              </w:rPr>
              <w:t>Regras</w:t>
            </w:r>
          </w:p>
        </w:tc>
        <w:tc>
          <w:tcPr>
            <w:tcW w:type="dxa" w:w="5083"/>
          </w:tcPr>
          <w:p>
            <w:r>
              <w:rPr>
                <w:rFonts w:ascii="Arial" w:hAnsi="Arial"/>
                <w:sz w:val="17"/>
              </w:rPr>
              <w:t>Biblioteca estruturada de regras extraídas: tema, decisão, condição, fonte, vigência e conflito.</w:t>
            </w:r>
          </w:p>
        </w:tc>
      </w:tr>
      <w:tr>
        <w:trPr>
          <w:cantSplit/>
          <w:cantSplit/>
        </w:trPr>
        <w:tc>
          <w:tcPr>
            <w:tcW w:type="dxa" w:w="5083"/>
          </w:tcPr>
          <w:p>
            <w:r>
              <w:rPr>
                <w:rFonts w:ascii="Arial" w:hAnsi="Arial"/>
                <w:sz w:val="17"/>
              </w:rPr>
              <w:t>Assembleias e atas</w:t>
            </w:r>
          </w:p>
        </w:tc>
        <w:tc>
          <w:tcPr>
            <w:tcW w:type="dxa" w:w="5083"/>
          </w:tcPr>
          <w:p>
            <w:r>
              <w:rPr>
                <w:rFonts w:ascii="Arial" w:hAnsi="Arial"/>
                <w:sz w:val="17"/>
              </w:rPr>
              <w:t>Calendário, convocações, pautas, presença, votos, quóruns, deliberações e regras criadas/alteradas.</w:t>
            </w:r>
          </w:p>
        </w:tc>
      </w:tr>
      <w:tr>
        <w:trPr>
          <w:cantSplit/>
          <w:cantSplit/>
        </w:trPr>
        <w:tc>
          <w:tcPr>
            <w:tcW w:type="dxa" w:w="5083"/>
          </w:tcPr>
          <w:p>
            <w:r>
              <w:rPr>
                <w:rFonts w:ascii="Arial" w:hAnsi="Arial"/>
                <w:sz w:val="17"/>
              </w:rPr>
              <w:t>Obras e solicitações</w:t>
            </w:r>
          </w:p>
        </w:tc>
        <w:tc>
          <w:tcPr>
            <w:tcW w:type="dxa" w:w="5083"/>
          </w:tcPr>
          <w:p>
            <w:r>
              <w:rPr>
                <w:rFonts w:ascii="Arial" w:hAnsi="Arial"/>
                <w:sz w:val="17"/>
              </w:rPr>
              <w:t>Pedidos de reforma/obra, documentos técnicos, aprovação, condicionantes, inspeções e encerramento.</w:t>
            </w:r>
          </w:p>
        </w:tc>
      </w:tr>
      <w:tr>
        <w:trPr>
          <w:cantSplit/>
          <w:cantSplit/>
        </w:trPr>
        <w:tc>
          <w:tcPr>
            <w:tcW w:type="dxa" w:w="5083"/>
          </w:tcPr>
          <w:p>
            <w:r>
              <w:rPr>
                <w:rFonts w:ascii="Arial" w:hAnsi="Arial"/>
                <w:sz w:val="17"/>
              </w:rPr>
              <w:t>Compliance/manutenção</w:t>
            </w:r>
          </w:p>
        </w:tc>
        <w:tc>
          <w:tcPr>
            <w:tcW w:type="dxa" w:w="5083"/>
          </w:tcPr>
          <w:p>
            <w:r>
              <w:rPr>
                <w:rFonts w:ascii="Arial" w:hAnsi="Arial"/>
                <w:sz w:val="17"/>
              </w:rPr>
              <w:t>Certificados, seguros, inspeções, contratos críticos, vencimentos e alertas.</w:t>
            </w:r>
          </w:p>
        </w:tc>
      </w:tr>
      <w:tr>
        <w:trPr>
          <w:cantSplit/>
          <w:cantSplit/>
        </w:trPr>
        <w:tc>
          <w:tcPr>
            <w:tcW w:type="dxa" w:w="5083"/>
          </w:tcPr>
          <w:p>
            <w:r>
              <w:rPr>
                <w:rFonts w:ascii="Arial" w:hAnsi="Arial"/>
                <w:sz w:val="17"/>
              </w:rPr>
              <w:t>Ocorrências e sanções</w:t>
            </w:r>
          </w:p>
        </w:tc>
        <w:tc>
          <w:tcPr>
            <w:tcW w:type="dxa" w:w="5083"/>
          </w:tcPr>
          <w:p>
            <w:r>
              <w:rPr>
                <w:rFonts w:ascii="Arial" w:hAnsi="Arial"/>
                <w:sz w:val="17"/>
              </w:rPr>
              <w:t>Registro de incidentes, evidências, notificações, defesa, decisão e multa quando autorizado.</w:t>
            </w:r>
          </w:p>
        </w:tc>
      </w:tr>
      <w:tr>
        <w:trPr>
          <w:cantSplit/>
          <w:cantSplit/>
        </w:trPr>
        <w:tc>
          <w:tcPr>
            <w:tcW w:type="dxa" w:w="5083"/>
          </w:tcPr>
          <w:p>
            <w:r>
              <w:rPr>
                <w:rFonts w:ascii="Arial" w:hAnsi="Arial"/>
                <w:sz w:val="17"/>
              </w:rPr>
              <w:t>Relatório Condomínio 360</w:t>
            </w:r>
          </w:p>
        </w:tc>
        <w:tc>
          <w:tcPr>
            <w:tcW w:type="dxa" w:w="5083"/>
          </w:tcPr>
          <w:p>
            <w:r>
              <w:rPr>
                <w:rFonts w:ascii="Arial" w:hAnsi="Arial"/>
                <w:sz w:val="17"/>
              </w:rPr>
              <w:t>Dossiê consolidado para unidade, lote, obra, compra, assembleia, disputa ou auditoria.</w:t>
            </w:r>
          </w:p>
        </w:tc>
      </w:tr>
    </w:tbl>
    <w:p>
      <w:pPr>
        <w:pStyle w:val="Heading2"/>
      </w:pPr>
      <w:r>
        <w:t>26.4 Upload e biblioteca documental</w:t>
      </w:r>
    </w:p>
    <w:p>
      <w:r>
        <w:t>O módulo deve aceitar PDF nativo, PDF escaneado, imagens, DOCX e arquivos assinados; e poderá receber e-mails/comunicados por integração futura. O documento original deve ser preservado de forma imutável no data lake/object storage, com hash e metadados.</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Documento</w:t>
            </w:r>
          </w:p>
        </w:tc>
        <w:tc>
          <w:tcPr>
            <w:tcW w:type="dxa" w:w="5083"/>
          </w:tcPr>
          <w:p>
            <w:r>
              <w:rPr>
                <w:rFonts w:ascii="Arial" w:hAnsi="Arial"/>
                <w:b/>
                <w:sz w:val="17"/>
              </w:rPr>
              <w:t>O que extrair/interpretar</w:t>
            </w:r>
          </w:p>
        </w:tc>
      </w:tr>
      <w:tr>
        <w:trPr>
          <w:cantSplit/>
          <w:cantSplit/>
        </w:trPr>
        <w:tc>
          <w:tcPr>
            <w:tcW w:type="dxa" w:w="5083"/>
          </w:tcPr>
          <w:p>
            <w:r>
              <w:rPr>
                <w:rFonts w:ascii="Arial" w:hAnsi="Arial"/>
                <w:sz w:val="17"/>
              </w:rPr>
              <w:t>Instituição/especificação do condomínio</w:t>
            </w:r>
          </w:p>
        </w:tc>
        <w:tc>
          <w:tcPr>
            <w:tcW w:type="dxa" w:w="5083"/>
          </w:tcPr>
          <w:p>
            <w:r>
              <w:rPr>
                <w:rFonts w:ascii="Arial" w:hAnsi="Arial"/>
                <w:sz w:val="17"/>
              </w:rPr>
              <w:t>Unidades, frações ideais, partes comuns/exclusivas, destinação, blocos, garagens e estrutura jurídica.</w:t>
            </w:r>
          </w:p>
        </w:tc>
      </w:tr>
      <w:tr>
        <w:trPr>
          <w:cantSplit/>
          <w:cantSplit/>
        </w:trPr>
        <w:tc>
          <w:tcPr>
            <w:tcW w:type="dxa" w:w="5083"/>
          </w:tcPr>
          <w:p>
            <w:r>
              <w:rPr>
                <w:rFonts w:ascii="Arial" w:hAnsi="Arial"/>
                <w:sz w:val="17"/>
              </w:rPr>
              <w:t>Convenção registrada e alterações</w:t>
            </w:r>
          </w:p>
        </w:tc>
        <w:tc>
          <w:tcPr>
            <w:tcW w:type="dxa" w:w="5083"/>
          </w:tcPr>
          <w:p>
            <w:r>
              <w:rPr>
                <w:rFonts w:ascii="Arial" w:hAnsi="Arial"/>
                <w:sz w:val="17"/>
              </w:rPr>
              <w:t>Direitos/deveres, rateio, administração, quóruns, multas, uso, fundos, assembleias e regras estruturais [R43][R44].</w:t>
            </w:r>
          </w:p>
        </w:tc>
      </w:tr>
      <w:tr>
        <w:trPr>
          <w:cantSplit/>
          <w:cantSplit/>
        </w:trPr>
        <w:tc>
          <w:tcPr>
            <w:tcW w:type="dxa" w:w="5083"/>
          </w:tcPr>
          <w:p>
            <w:r>
              <w:rPr>
                <w:rFonts w:ascii="Arial" w:hAnsi="Arial"/>
                <w:sz w:val="17"/>
              </w:rPr>
              <w:t>Regimento interno</w:t>
            </w:r>
          </w:p>
        </w:tc>
        <w:tc>
          <w:tcPr>
            <w:tcW w:type="dxa" w:w="5083"/>
          </w:tcPr>
          <w:p>
            <w:r>
              <w:rPr>
                <w:rFonts w:ascii="Arial" w:hAnsi="Arial"/>
                <w:sz w:val="17"/>
              </w:rPr>
              <w:t>Regras operacionais de convivência, áreas comuns, circulação, horários, reservas e procedimentos.</w:t>
            </w:r>
          </w:p>
        </w:tc>
      </w:tr>
      <w:tr>
        <w:trPr>
          <w:cantSplit/>
          <w:cantSplit/>
        </w:trPr>
        <w:tc>
          <w:tcPr>
            <w:tcW w:type="dxa" w:w="5083"/>
          </w:tcPr>
          <w:p>
            <w:r>
              <w:rPr>
                <w:rFonts w:ascii="Arial" w:hAnsi="Arial"/>
                <w:sz w:val="17"/>
              </w:rPr>
              <w:t>Atas de assembleia</w:t>
            </w:r>
          </w:p>
        </w:tc>
        <w:tc>
          <w:tcPr>
            <w:tcW w:type="dxa" w:w="5083"/>
          </w:tcPr>
          <w:p>
            <w:r>
              <w:rPr>
                <w:rFonts w:ascii="Arial" w:hAnsi="Arial"/>
                <w:sz w:val="17"/>
              </w:rPr>
              <w:t>Pauta, deliberação, quórum, votos, vigência, alteração de regras, aprovações, orçamento e eleição.</w:t>
            </w:r>
          </w:p>
        </w:tc>
      </w:tr>
      <w:tr>
        <w:trPr>
          <w:cantSplit/>
          <w:cantSplit/>
        </w:trPr>
        <w:tc>
          <w:tcPr>
            <w:tcW w:type="dxa" w:w="5083"/>
          </w:tcPr>
          <w:p>
            <w:r>
              <w:rPr>
                <w:rFonts w:ascii="Arial" w:hAnsi="Arial"/>
                <w:sz w:val="17"/>
              </w:rPr>
              <w:t>Editais/convocações</w:t>
            </w:r>
          </w:p>
        </w:tc>
        <w:tc>
          <w:tcPr>
            <w:tcW w:type="dxa" w:w="5083"/>
          </w:tcPr>
          <w:p>
            <w:r>
              <w:rPr>
                <w:rFonts w:ascii="Arial" w:hAnsi="Arial"/>
                <w:sz w:val="17"/>
              </w:rPr>
              <w:t>Data, pauta, forma de convocação, modalidade presencial/eletrônica/híbrida e documentação vinculada.</w:t>
            </w:r>
          </w:p>
        </w:tc>
      </w:tr>
      <w:tr>
        <w:trPr>
          <w:cantSplit/>
          <w:cantSplit/>
        </w:trPr>
        <w:tc>
          <w:tcPr>
            <w:tcW w:type="dxa" w:w="5083"/>
          </w:tcPr>
          <w:p>
            <w:r>
              <w:rPr>
                <w:rFonts w:ascii="Arial" w:hAnsi="Arial"/>
                <w:sz w:val="17"/>
              </w:rPr>
              <w:t>Comunicados/circulares</w:t>
            </w:r>
          </w:p>
        </w:tc>
        <w:tc>
          <w:tcPr>
            <w:tcW w:type="dxa" w:w="5083"/>
          </w:tcPr>
          <w:p>
            <w:r>
              <w:rPr>
                <w:rFonts w:ascii="Arial" w:hAnsi="Arial"/>
                <w:sz w:val="17"/>
              </w:rPr>
              <w:t>Orientações administrativas; marcar que não têm automaticamente a mesma força normativa de convenção/assembleia.</w:t>
            </w:r>
          </w:p>
        </w:tc>
      </w:tr>
      <w:tr>
        <w:trPr>
          <w:cantSplit/>
          <w:cantSplit/>
        </w:trPr>
        <w:tc>
          <w:tcPr>
            <w:tcW w:type="dxa" w:w="5083"/>
          </w:tcPr>
          <w:p>
            <w:r>
              <w:rPr>
                <w:rFonts w:ascii="Arial" w:hAnsi="Arial"/>
                <w:sz w:val="17"/>
              </w:rPr>
              <w:t>Manual do proprietário/áreas comuns</w:t>
            </w:r>
          </w:p>
        </w:tc>
        <w:tc>
          <w:tcPr>
            <w:tcW w:type="dxa" w:w="5083"/>
          </w:tcPr>
          <w:p>
            <w:r>
              <w:rPr>
                <w:rFonts w:ascii="Arial" w:hAnsi="Arial"/>
                <w:sz w:val="17"/>
              </w:rPr>
              <w:t>Sistemas construtivos, limitações técnicas, manutenção e garantias.</w:t>
            </w:r>
          </w:p>
        </w:tc>
      </w:tr>
      <w:tr>
        <w:trPr>
          <w:cantSplit/>
          <w:cantSplit/>
        </w:trPr>
        <w:tc>
          <w:tcPr>
            <w:tcW w:type="dxa" w:w="5083"/>
          </w:tcPr>
          <w:p>
            <w:r>
              <w:rPr>
                <w:rFonts w:ascii="Arial" w:hAnsi="Arial"/>
                <w:sz w:val="17"/>
              </w:rPr>
              <w:t>Projetos, plantas e memoriais</w:t>
            </w:r>
          </w:p>
        </w:tc>
        <w:tc>
          <w:tcPr>
            <w:tcW w:type="dxa" w:w="5083"/>
          </w:tcPr>
          <w:p>
            <w:r>
              <w:rPr>
                <w:rFonts w:ascii="Arial" w:hAnsi="Arial"/>
                <w:sz w:val="17"/>
              </w:rPr>
              <w:t>Estrutura, shafts, instalações, fachada, áreas técnicas, vagas e elementos relevantes à análise de obra.</w:t>
            </w:r>
          </w:p>
        </w:tc>
      </w:tr>
      <w:tr>
        <w:trPr>
          <w:cantSplit/>
          <w:cantSplit/>
        </w:trPr>
        <w:tc>
          <w:tcPr>
            <w:tcW w:type="dxa" w:w="5083"/>
          </w:tcPr>
          <w:p>
            <w:r>
              <w:rPr>
                <w:rFonts w:ascii="Arial" w:hAnsi="Arial"/>
                <w:sz w:val="17"/>
              </w:rPr>
              <w:t>Laudos, ART/RRT e documentos de reforma</w:t>
            </w:r>
          </w:p>
        </w:tc>
        <w:tc>
          <w:tcPr>
            <w:tcW w:type="dxa" w:w="5083"/>
          </w:tcPr>
          <w:p>
            <w:r>
              <w:rPr>
                <w:rFonts w:ascii="Arial" w:hAnsi="Arial"/>
                <w:sz w:val="17"/>
              </w:rPr>
              <w:t>Responsável técnico, escopo, validade, projetos e condicionantes.</w:t>
            </w:r>
          </w:p>
        </w:tc>
      </w:tr>
      <w:tr>
        <w:trPr>
          <w:cantSplit/>
          <w:cantSplit/>
        </w:trPr>
        <w:tc>
          <w:tcPr>
            <w:tcW w:type="dxa" w:w="5083"/>
          </w:tcPr>
          <w:p>
            <w:r>
              <w:rPr>
                <w:rFonts w:ascii="Arial" w:hAnsi="Arial"/>
                <w:sz w:val="17"/>
              </w:rPr>
              <w:t>AVCB/CLCB/licenças/inspeções</w:t>
            </w:r>
          </w:p>
        </w:tc>
        <w:tc>
          <w:tcPr>
            <w:tcW w:type="dxa" w:w="5083"/>
          </w:tcPr>
          <w:p>
            <w:r>
              <w:rPr>
                <w:rFonts w:ascii="Arial" w:hAnsi="Arial"/>
                <w:sz w:val="17"/>
              </w:rPr>
              <w:t>Validade, órgão emissor, pendências e sistemas de segurança; regras variam por estado/município.</w:t>
            </w:r>
          </w:p>
        </w:tc>
      </w:tr>
      <w:tr>
        <w:trPr>
          <w:cantSplit/>
          <w:cantSplit/>
        </w:trPr>
        <w:tc>
          <w:tcPr>
            <w:tcW w:type="dxa" w:w="5083"/>
          </w:tcPr>
          <w:p>
            <w:r>
              <w:rPr>
                <w:rFonts w:ascii="Arial" w:hAnsi="Arial"/>
                <w:sz w:val="17"/>
              </w:rPr>
              <w:t>Seguro, contratos e manutenção</w:t>
            </w:r>
          </w:p>
        </w:tc>
        <w:tc>
          <w:tcPr>
            <w:tcW w:type="dxa" w:w="5083"/>
          </w:tcPr>
          <w:p>
            <w:r>
              <w:rPr>
                <w:rFonts w:ascii="Arial" w:hAnsi="Arial"/>
                <w:sz w:val="17"/>
              </w:rPr>
              <w:t>Cobertura, vencimento, ativos, fornecedores e obrigações periódicas.</w:t>
            </w:r>
          </w:p>
        </w:tc>
      </w:tr>
      <w:tr>
        <w:trPr>
          <w:cantSplit/>
          <w:cantSplit/>
        </w:trPr>
        <w:tc>
          <w:tcPr>
            <w:tcW w:type="dxa" w:w="5083"/>
          </w:tcPr>
          <w:p>
            <w:r>
              <w:rPr>
                <w:rFonts w:ascii="Arial" w:hAnsi="Arial"/>
                <w:sz w:val="17"/>
              </w:rPr>
              <w:t>Documentos financeiros</w:t>
            </w:r>
          </w:p>
        </w:tc>
        <w:tc>
          <w:tcPr>
            <w:tcW w:type="dxa" w:w="5083"/>
          </w:tcPr>
          <w:p>
            <w:r>
              <w:rPr>
                <w:rFonts w:ascii="Arial" w:hAnsi="Arial"/>
                <w:sz w:val="17"/>
              </w:rPr>
              <w:t>Orçamento, balancetes, rateios, fundo de reserva e chamadas extraordinárias, sob perfil de acesso adequado.</w:t>
            </w:r>
          </w:p>
        </w:tc>
      </w:tr>
    </w:tbl>
    <w:p>
      <w:pPr>
        <w:pStyle w:val="Heading2"/>
      </w:pPr>
      <w:r>
        <w:t>26.5 Pipeline de ingestão e inteligência documental</w:t>
      </w:r>
    </w:p>
    <w:tbl>
      <w:tblPr>
        <w:tblStyle w:val="TableGrid"/>
        <w:tblW w:type="auto" w:w="0"/>
        <w:tblLook w:firstColumn="1" w:firstRow="1" w:lastColumn="0" w:lastRow="0" w:noHBand="0" w:noVBand="1" w:val="04A0"/>
      </w:tblPr>
      <w:tblGrid>
        <w:gridCol w:w="10166"/>
      </w:tblGrid>
      <w:tr>
        <w:trPr>
          <w:tblHeader w:val="true"/>
          <w:cantSplit/>
        </w:trPr>
        <w:tc>
          <w:tcPr>
            <w:tcW w:type="dxa" w:w="10166"/>
          </w:tcPr>
          <w:p>
            <w:r>
              <w:rPr>
                <w:rFonts w:ascii="Consolas" w:hAnsi="Consolas"/>
                <w:sz w:val="17"/>
              </w:rPr>
              <w:t>UPLOAD</w:t>
              <w:br/>
              <w:t xml:space="preserve">  ↓</w:t>
              <w:br/>
              <w:t>Antivírus / validação de arquivo</w:t>
              <w:br/>
              <w:t xml:space="preserve">  ↓</w:t>
              <w:br/>
              <w:t>OCR + extração de layout + páginas</w:t>
              <w:br/>
              <w:t xml:space="preserve">  ↓</w:t>
              <w:br/>
              <w:t>Classificação do documento</w:t>
              <w:br/>
              <w:t xml:space="preserve">  ↓</w:t>
              <w:br/>
              <w:t>Hash + versão + autenticidade/status informado</w:t>
              <w:br/>
              <w:t xml:space="preserve">  ↓</w:t>
              <w:br/>
              <w:t>Extração de cláusulas, pautas, deliberações, quóruns e datas</w:t>
              <w:br/>
              <w:t xml:space="preserve">  ↓</w:t>
              <w:br/>
              <w:t>Indexação híbrida: texto (BM25) + vetores + metadados</w:t>
              <w:br/>
              <w:t xml:space="preserve">  ↓</w:t>
              <w:br/>
              <w:t>Motor temporal de regras</w:t>
              <w:br/>
              <w:t xml:space="preserve">  ↓</w:t>
              <w:br/>
              <w:t>Grafo de evidências e conflitos</w:t>
              <w:br/>
              <w:t xml:space="preserve">  ↓</w:t>
              <w:br/>
              <w:t>Chat IA / Relatório / Alertas</w:t>
            </w:r>
          </w:p>
        </w:tc>
      </w:tr>
    </w:tbl>
    <w:p>
      <w:r>
        <w:t>Cada trecho indexado deve guardar condomínio, documento, versão, página, seção/cláusula, data do documento, data de vigência, status (rascunho/assinado/registrado/informado), hash e permissões. OCR não deve sobrescrever o arquivo original; o texto extraído é uma representação derivada e revisável.</w:t>
      </w:r>
    </w:p>
    <w:p>
      <w:pPr>
        <w:pStyle w:val="Heading2"/>
      </w:pPr>
      <w:r>
        <w:t>26.6 Hierarquia de regras e precedência</w:t>
      </w:r>
    </w:p>
    <w:p>
      <w:r>
        <w:t>A resposta precisa considerar que uma regra condominial não existe isoladamente. O motor deve montar uma hierarquia dinâmica, por tema e data, e nunca concluir que uma ata ou circular pode contrariar norma imperativa. A convenção define diversos elementos obrigatórios e vincula titulares/ocupantes nos termos legais [R43][R44].</w:t>
      </w:r>
    </w:p>
    <w:tbl>
      <w:tblPr>
        <w:tblStyle w:val="TableGrid"/>
        <w:tblW w:type="auto" w:w="0"/>
        <w:tblLook w:firstColumn="1" w:firstRow="1" w:lastColumn="0" w:lastRow="0" w:noHBand="0" w:noVBand="1" w:val="04A0"/>
      </w:tblPr>
      <w:tblGrid>
        <w:gridCol w:w="3389"/>
        <w:gridCol w:w="3389"/>
        <w:gridCol w:w="3389"/>
      </w:tblGrid>
      <w:tr>
        <w:trPr>
          <w:tblHeader w:val="true"/>
          <w:cantSplit/>
          <w:tblHeader w:val="true"/>
          <w:cantSplit/>
        </w:trPr>
        <w:tc>
          <w:tcPr>
            <w:tcW w:type="dxa" w:w="3389"/>
          </w:tcPr>
          <w:p>
            <w:r>
              <w:rPr>
                <w:rFonts w:ascii="Arial" w:hAnsi="Arial"/>
                <w:b/>
                <w:sz w:val="17"/>
              </w:rPr>
              <w:t>Nível</w:t>
            </w:r>
          </w:p>
        </w:tc>
        <w:tc>
          <w:tcPr>
            <w:tcW w:type="dxa" w:w="3389"/>
          </w:tcPr>
          <w:p>
            <w:r>
              <w:rPr>
                <w:rFonts w:ascii="Arial" w:hAnsi="Arial"/>
                <w:b/>
                <w:sz w:val="17"/>
              </w:rPr>
              <w:t>Exemplos</w:t>
            </w:r>
          </w:p>
        </w:tc>
        <w:tc>
          <w:tcPr>
            <w:tcW w:type="dxa" w:w="3389"/>
          </w:tcPr>
          <w:p>
            <w:r>
              <w:rPr>
                <w:rFonts w:ascii="Arial" w:hAnsi="Arial"/>
                <w:b/>
                <w:sz w:val="17"/>
              </w:rPr>
              <w:t>Tratamento</w:t>
            </w:r>
          </w:p>
        </w:tc>
      </w:tr>
      <w:tr>
        <w:trPr>
          <w:cantSplit/>
          <w:cantSplit/>
        </w:trPr>
        <w:tc>
          <w:tcPr>
            <w:tcW w:type="dxa" w:w="3389"/>
          </w:tcPr>
          <w:p>
            <w:r>
              <w:rPr>
                <w:rFonts w:ascii="Arial" w:hAnsi="Arial"/>
                <w:sz w:val="17"/>
              </w:rPr>
              <w:t>1. Lei/regulação externa obrigatória</w:t>
            </w:r>
          </w:p>
        </w:tc>
        <w:tc>
          <w:tcPr>
            <w:tcW w:type="dxa" w:w="3389"/>
          </w:tcPr>
          <w:p>
            <w:r>
              <w:rPr>
                <w:rFonts w:ascii="Arial" w:hAnsi="Arial"/>
                <w:sz w:val="17"/>
              </w:rPr>
              <w:t>Código Civil; Lei 4.591; condomínio de lotes; legislação urbanística; bombeiros; acessibilidade; segurança; LGPD.</w:t>
            </w:r>
          </w:p>
        </w:tc>
        <w:tc>
          <w:tcPr>
            <w:tcW w:type="dxa" w:w="3389"/>
          </w:tcPr>
          <w:p>
            <w:r>
              <w:rPr>
                <w:rFonts w:ascii="Arial" w:hAnsi="Arial"/>
                <w:sz w:val="17"/>
              </w:rPr>
              <w:t>Prevalece sobre regra interna incompatível. Manter corpus jurídico versionado [R43][R44][R45][R48].</w:t>
            </w:r>
          </w:p>
        </w:tc>
      </w:tr>
      <w:tr>
        <w:trPr>
          <w:cantSplit/>
          <w:cantSplit/>
        </w:trPr>
        <w:tc>
          <w:tcPr>
            <w:tcW w:type="dxa" w:w="3389"/>
          </w:tcPr>
          <w:p>
            <w:r>
              <w:rPr>
                <w:rFonts w:ascii="Arial" w:hAnsi="Arial"/>
                <w:sz w:val="17"/>
              </w:rPr>
              <w:t>2. Instituição/especificação/convenção</w:t>
            </w:r>
          </w:p>
        </w:tc>
        <w:tc>
          <w:tcPr>
            <w:tcW w:type="dxa" w:w="3389"/>
          </w:tcPr>
          <w:p>
            <w:r>
              <w:rPr>
                <w:rFonts w:ascii="Arial" w:hAnsi="Arial"/>
                <w:sz w:val="17"/>
              </w:rPr>
              <w:t>Destinação, frações, direitos, deveres, rateio, administração, quóruns e regras estruturantes.</w:t>
            </w:r>
          </w:p>
        </w:tc>
        <w:tc>
          <w:tcPr>
            <w:tcW w:type="dxa" w:w="3389"/>
          </w:tcPr>
          <w:p>
            <w:r>
              <w:rPr>
                <w:rFonts w:ascii="Arial" w:hAnsi="Arial"/>
                <w:sz w:val="17"/>
              </w:rPr>
              <w:t>Validar versão e, quando informado, registro; alterações exigem quórum aplicável.</w:t>
            </w:r>
          </w:p>
        </w:tc>
      </w:tr>
      <w:tr>
        <w:trPr>
          <w:cantSplit/>
          <w:cantSplit/>
        </w:trPr>
        <w:tc>
          <w:tcPr>
            <w:tcW w:type="dxa" w:w="3389"/>
          </w:tcPr>
          <w:p>
            <w:r>
              <w:rPr>
                <w:rFonts w:ascii="Arial" w:hAnsi="Arial"/>
                <w:sz w:val="17"/>
              </w:rPr>
              <w:t>3. Regimento interno</w:t>
            </w:r>
          </w:p>
        </w:tc>
        <w:tc>
          <w:tcPr>
            <w:tcW w:type="dxa" w:w="3389"/>
          </w:tcPr>
          <w:p>
            <w:r>
              <w:rPr>
                <w:rFonts w:ascii="Arial" w:hAnsi="Arial"/>
                <w:sz w:val="17"/>
              </w:rPr>
              <w:t>Regras operacionais e de convivência.</w:t>
            </w:r>
          </w:p>
        </w:tc>
        <w:tc>
          <w:tcPr>
            <w:tcW w:type="dxa" w:w="3389"/>
          </w:tcPr>
          <w:p>
            <w:r>
              <w:rPr>
                <w:rFonts w:ascii="Arial" w:hAnsi="Arial"/>
                <w:sz w:val="17"/>
              </w:rPr>
              <w:t>Não pode contrariar lei ou convenção; guardar versão e forma de aprovação.</w:t>
            </w:r>
          </w:p>
        </w:tc>
      </w:tr>
      <w:tr>
        <w:trPr>
          <w:cantSplit/>
          <w:cantSplit/>
        </w:trPr>
        <w:tc>
          <w:tcPr>
            <w:tcW w:type="dxa" w:w="3389"/>
          </w:tcPr>
          <w:p>
            <w:r>
              <w:rPr>
                <w:rFonts w:ascii="Arial" w:hAnsi="Arial"/>
                <w:sz w:val="17"/>
              </w:rPr>
              <w:t>4. Assembleia/deliberação</w:t>
            </w:r>
          </w:p>
        </w:tc>
        <w:tc>
          <w:tcPr>
            <w:tcW w:type="dxa" w:w="3389"/>
          </w:tcPr>
          <w:p>
            <w:r>
              <w:rPr>
                <w:rFonts w:ascii="Arial" w:hAnsi="Arial"/>
                <w:sz w:val="17"/>
              </w:rPr>
              <w:t>Aprovação de obras, despesas, políticas, eleição, alterações e decisões específicas.</w:t>
            </w:r>
          </w:p>
        </w:tc>
        <w:tc>
          <w:tcPr>
            <w:tcW w:type="dxa" w:w="3389"/>
          </w:tcPr>
          <w:p>
            <w:r>
              <w:rPr>
                <w:rFonts w:ascii="Arial" w:hAnsi="Arial"/>
                <w:sz w:val="17"/>
              </w:rPr>
              <w:t>Verificar competência, convocação, pauta, quórum e eventual efeito permanente/temporário.</w:t>
            </w:r>
          </w:p>
        </w:tc>
      </w:tr>
      <w:tr>
        <w:trPr>
          <w:cantSplit/>
          <w:cantSplit/>
        </w:trPr>
        <w:tc>
          <w:tcPr>
            <w:tcW w:type="dxa" w:w="3389"/>
          </w:tcPr>
          <w:p>
            <w:r>
              <w:rPr>
                <w:rFonts w:ascii="Arial" w:hAnsi="Arial"/>
                <w:sz w:val="17"/>
              </w:rPr>
              <w:t>5. Políticas/comunicados administrativos</w:t>
            </w:r>
          </w:p>
        </w:tc>
        <w:tc>
          <w:tcPr>
            <w:tcW w:type="dxa" w:w="3389"/>
          </w:tcPr>
          <w:p>
            <w:r>
              <w:rPr>
                <w:rFonts w:ascii="Arial" w:hAnsi="Arial"/>
                <w:sz w:val="17"/>
              </w:rPr>
              <w:t>Procedimentos de portaria, reservas, formulários, orientações.</w:t>
            </w:r>
          </w:p>
        </w:tc>
        <w:tc>
          <w:tcPr>
            <w:tcW w:type="dxa" w:w="3389"/>
          </w:tcPr>
          <w:p>
            <w:r>
              <w:rPr>
                <w:rFonts w:ascii="Arial" w:hAnsi="Arial"/>
                <w:sz w:val="17"/>
              </w:rPr>
              <w:t>Tratados como execução administrativa, não como alteração automática de regra superior.</w:t>
            </w:r>
          </w:p>
        </w:tc>
      </w:tr>
      <w:tr>
        <w:trPr>
          <w:cantSplit/>
          <w:cantSplit/>
        </w:trPr>
        <w:tc>
          <w:tcPr>
            <w:tcW w:type="dxa" w:w="3389"/>
          </w:tcPr>
          <w:p>
            <w:r>
              <w:rPr>
                <w:rFonts w:ascii="Arial" w:hAnsi="Arial"/>
                <w:sz w:val="17"/>
              </w:rPr>
              <w:t>6. Autorização individual</w:t>
            </w:r>
          </w:p>
        </w:tc>
        <w:tc>
          <w:tcPr>
            <w:tcW w:type="dxa" w:w="3389"/>
          </w:tcPr>
          <w:p>
            <w:r>
              <w:rPr>
                <w:rFonts w:ascii="Arial" w:hAnsi="Arial"/>
                <w:sz w:val="17"/>
              </w:rPr>
              <w:t>Obra, evento, mudança, prestador, intervenção específica.</w:t>
            </w:r>
          </w:p>
        </w:tc>
        <w:tc>
          <w:tcPr>
            <w:tcW w:type="dxa" w:w="3389"/>
          </w:tcPr>
          <w:p>
            <w:r>
              <w:rPr>
                <w:rFonts w:ascii="Arial" w:hAnsi="Arial"/>
                <w:sz w:val="17"/>
              </w:rPr>
              <w:t>Vinculada ao pedido, unidade/lote, prazo, condições e documentos.</w:t>
            </w:r>
          </w:p>
        </w:tc>
      </w:tr>
    </w:tbl>
    <w:p>
      <w:pPr>
        <w:pStyle w:val="Heading2"/>
      </w:pPr>
      <w:r>
        <w:t>26.7 Motor temporal — “qual regra vale hoje?”</w:t>
      </w:r>
    </w:p>
    <w:p>
      <w:r>
        <w:t>Convenções, regimentos e atas devem ser tratados como eventos de uma linha do tempo. O sistema precisa responder tanto pela data atual quanto por uma data histórica. Uma ata pode criar regra, suspender regra, aprovar exceção ou alterar o regimento; uma convenção posterior pode substituir a anterior. Se a ata tiver quórum insuficiente ou competência duvidosa, a regra deve ficar marcada como “validade pendente”, não automaticamente consolidada.</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Campo da regra</w:t>
            </w:r>
          </w:p>
        </w:tc>
        <w:tc>
          <w:tcPr>
            <w:tcW w:type="dxa" w:w="5083"/>
          </w:tcPr>
          <w:p>
            <w:r>
              <w:rPr>
                <w:rFonts w:ascii="Arial" w:hAnsi="Arial"/>
                <w:b/>
                <w:sz w:val="17"/>
              </w:rPr>
              <w:t>Exemplo</w:t>
            </w:r>
          </w:p>
        </w:tc>
      </w:tr>
      <w:tr>
        <w:trPr>
          <w:cantSplit/>
          <w:cantSplit/>
        </w:trPr>
        <w:tc>
          <w:tcPr>
            <w:tcW w:type="dxa" w:w="5083"/>
          </w:tcPr>
          <w:p>
            <w:r>
              <w:rPr>
                <w:rFonts w:ascii="Arial" w:hAnsi="Arial"/>
                <w:sz w:val="17"/>
              </w:rPr>
              <w:t>topic</w:t>
            </w:r>
          </w:p>
        </w:tc>
        <w:tc>
          <w:tcPr>
            <w:tcW w:type="dxa" w:w="5083"/>
          </w:tcPr>
          <w:p>
            <w:r>
              <w:rPr>
                <w:rFonts w:ascii="Arial" w:hAnsi="Arial"/>
                <w:sz w:val="17"/>
              </w:rPr>
              <w:t>fachada / pets / obras / locação / garagem</w:t>
            </w:r>
          </w:p>
        </w:tc>
      </w:tr>
      <w:tr>
        <w:trPr>
          <w:cantSplit/>
          <w:cantSplit/>
        </w:trPr>
        <w:tc>
          <w:tcPr>
            <w:tcW w:type="dxa" w:w="5083"/>
          </w:tcPr>
          <w:p>
            <w:r>
              <w:rPr>
                <w:rFonts w:ascii="Arial" w:hAnsi="Arial"/>
                <w:sz w:val="17"/>
              </w:rPr>
              <w:t>decision</w:t>
            </w:r>
          </w:p>
        </w:tc>
        <w:tc>
          <w:tcPr>
            <w:tcW w:type="dxa" w:w="5083"/>
          </w:tcPr>
          <w:p>
            <w:r>
              <w:rPr>
                <w:rFonts w:ascii="Arial" w:hAnsi="Arial"/>
                <w:sz w:val="17"/>
              </w:rPr>
              <w:t>PERMITIDO / PROIBIDO / CONDICIONADO / NÃO DETERMINADO</w:t>
            </w:r>
          </w:p>
        </w:tc>
      </w:tr>
      <w:tr>
        <w:trPr>
          <w:cantSplit/>
          <w:cantSplit/>
        </w:trPr>
        <w:tc>
          <w:tcPr>
            <w:tcW w:type="dxa" w:w="5083"/>
          </w:tcPr>
          <w:p>
            <w:r>
              <w:rPr>
                <w:rFonts w:ascii="Arial" w:hAnsi="Arial"/>
                <w:sz w:val="17"/>
              </w:rPr>
              <w:t>condition</w:t>
            </w:r>
          </w:p>
        </w:tc>
        <w:tc>
          <w:tcPr>
            <w:tcW w:type="dxa" w:w="5083"/>
          </w:tcPr>
          <w:p>
            <w:r>
              <w:rPr>
                <w:rFonts w:ascii="Arial" w:hAnsi="Arial"/>
                <w:sz w:val="17"/>
              </w:rPr>
              <w:t>mediante aprovação do síndico + RRT/ART + padrão de fachada</w:t>
            </w:r>
          </w:p>
        </w:tc>
      </w:tr>
      <w:tr>
        <w:trPr>
          <w:cantSplit/>
          <w:cantSplit/>
        </w:trPr>
        <w:tc>
          <w:tcPr>
            <w:tcW w:type="dxa" w:w="5083"/>
          </w:tcPr>
          <w:p>
            <w:r>
              <w:rPr>
                <w:rFonts w:ascii="Arial" w:hAnsi="Arial"/>
                <w:sz w:val="17"/>
              </w:rPr>
              <w:t>effective_from / effective_to</w:t>
            </w:r>
          </w:p>
        </w:tc>
        <w:tc>
          <w:tcPr>
            <w:tcW w:type="dxa" w:w="5083"/>
          </w:tcPr>
          <w:p>
            <w:r>
              <w:rPr>
                <w:rFonts w:ascii="Arial" w:hAnsi="Arial"/>
                <w:sz w:val="17"/>
              </w:rPr>
              <w:t>vigência temporal</w:t>
            </w:r>
          </w:p>
        </w:tc>
      </w:tr>
      <w:tr>
        <w:trPr>
          <w:cantSplit/>
          <w:cantSplit/>
        </w:trPr>
        <w:tc>
          <w:tcPr>
            <w:tcW w:type="dxa" w:w="5083"/>
          </w:tcPr>
          <w:p>
            <w:r>
              <w:rPr>
                <w:rFonts w:ascii="Arial" w:hAnsi="Arial"/>
                <w:sz w:val="17"/>
              </w:rPr>
              <w:t>source_document_id</w:t>
            </w:r>
          </w:p>
        </w:tc>
        <w:tc>
          <w:tcPr>
            <w:tcW w:type="dxa" w:w="5083"/>
          </w:tcPr>
          <w:p>
            <w:r>
              <w:rPr>
                <w:rFonts w:ascii="Arial" w:hAnsi="Arial"/>
                <w:sz w:val="17"/>
              </w:rPr>
              <w:t>convenção, regimento, ata ou lei</w:t>
            </w:r>
          </w:p>
        </w:tc>
      </w:tr>
      <w:tr>
        <w:trPr>
          <w:cantSplit/>
          <w:cantSplit/>
        </w:trPr>
        <w:tc>
          <w:tcPr>
            <w:tcW w:type="dxa" w:w="5083"/>
          </w:tcPr>
          <w:p>
            <w:r>
              <w:rPr>
                <w:rFonts w:ascii="Arial" w:hAnsi="Arial"/>
                <w:sz w:val="17"/>
              </w:rPr>
              <w:t>locator</w:t>
            </w:r>
          </w:p>
        </w:tc>
        <w:tc>
          <w:tcPr>
            <w:tcW w:type="dxa" w:w="5083"/>
          </w:tcPr>
          <w:p>
            <w:r>
              <w:rPr>
                <w:rFonts w:ascii="Arial" w:hAnsi="Arial"/>
                <w:sz w:val="17"/>
              </w:rPr>
              <w:t>página + cláusula/artigo/item/pauta</w:t>
            </w:r>
          </w:p>
        </w:tc>
      </w:tr>
      <w:tr>
        <w:trPr>
          <w:cantSplit/>
          <w:cantSplit/>
        </w:trPr>
        <w:tc>
          <w:tcPr>
            <w:tcW w:type="dxa" w:w="5083"/>
          </w:tcPr>
          <w:p>
            <w:r>
              <w:rPr>
                <w:rFonts w:ascii="Arial" w:hAnsi="Arial"/>
                <w:sz w:val="17"/>
              </w:rPr>
              <w:t>quorum_status</w:t>
            </w:r>
          </w:p>
        </w:tc>
        <w:tc>
          <w:tcPr>
            <w:tcW w:type="dxa" w:w="5083"/>
          </w:tcPr>
          <w:p>
            <w:r>
              <w:rPr>
                <w:rFonts w:ascii="Arial" w:hAnsi="Arial"/>
                <w:sz w:val="17"/>
              </w:rPr>
              <w:t>confirmado / não confirmado / não aplicável / insuficiente aparente</w:t>
            </w:r>
          </w:p>
        </w:tc>
      </w:tr>
      <w:tr>
        <w:trPr>
          <w:cantSplit/>
          <w:cantSplit/>
        </w:trPr>
        <w:tc>
          <w:tcPr>
            <w:tcW w:type="dxa" w:w="5083"/>
          </w:tcPr>
          <w:p>
            <w:r>
              <w:rPr>
                <w:rFonts w:ascii="Arial" w:hAnsi="Arial"/>
                <w:sz w:val="17"/>
              </w:rPr>
              <w:t>confidence</w:t>
            </w:r>
          </w:p>
        </w:tc>
        <w:tc>
          <w:tcPr>
            <w:tcW w:type="dxa" w:w="5083"/>
          </w:tcPr>
          <w:p>
            <w:r>
              <w:rPr>
                <w:rFonts w:ascii="Arial" w:hAnsi="Arial"/>
                <w:sz w:val="17"/>
              </w:rPr>
              <w:t>confirmado / provável / requer validação</w:t>
            </w:r>
          </w:p>
        </w:tc>
      </w:tr>
      <w:tr>
        <w:trPr>
          <w:cantSplit/>
          <w:cantSplit/>
        </w:trPr>
        <w:tc>
          <w:tcPr>
            <w:tcW w:type="dxa" w:w="5083"/>
          </w:tcPr>
          <w:p>
            <w:r>
              <w:rPr>
                <w:rFonts w:ascii="Arial" w:hAnsi="Arial"/>
                <w:sz w:val="17"/>
              </w:rPr>
              <w:t>supersedes / conflicts_with</w:t>
            </w:r>
          </w:p>
        </w:tc>
        <w:tc>
          <w:tcPr>
            <w:tcW w:type="dxa" w:w="5083"/>
          </w:tcPr>
          <w:p>
            <w:r>
              <w:rPr>
                <w:rFonts w:ascii="Arial" w:hAnsi="Arial"/>
                <w:sz w:val="17"/>
              </w:rPr>
              <w:t>regra substituída ou conflito detectado</w:t>
            </w:r>
          </w:p>
        </w:tc>
      </w:tr>
    </w:tbl>
    <w:p>
      <w:pPr>
        <w:pStyle w:val="Heading2"/>
      </w:pPr>
      <w:r>
        <w:t>26.8 Contrato de resposta do Chat IA</w:t>
      </w:r>
    </w:p>
    <w:p>
      <w:r>
        <w:t>Toda resposta do chat deve ser estruturada. A IA não pode entregar apenas um parágrafo opinativo.</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Bloco</w:t>
            </w:r>
          </w:p>
        </w:tc>
        <w:tc>
          <w:tcPr>
            <w:tcW w:type="dxa" w:w="5083"/>
          </w:tcPr>
          <w:p>
            <w:r>
              <w:rPr>
                <w:rFonts w:ascii="Arial" w:hAnsi="Arial"/>
                <w:b/>
                <w:sz w:val="17"/>
              </w:rPr>
              <w:t>Conteúdo obrigatório</w:t>
            </w:r>
          </w:p>
        </w:tc>
      </w:tr>
      <w:tr>
        <w:trPr>
          <w:cantSplit/>
          <w:cantSplit/>
        </w:trPr>
        <w:tc>
          <w:tcPr>
            <w:tcW w:type="dxa" w:w="5083"/>
          </w:tcPr>
          <w:p>
            <w:r>
              <w:rPr>
                <w:rFonts w:ascii="Arial" w:hAnsi="Arial"/>
                <w:sz w:val="17"/>
              </w:rPr>
              <w:t>Conclusão</w:t>
            </w:r>
          </w:p>
        </w:tc>
        <w:tc>
          <w:tcPr>
            <w:tcW w:type="dxa" w:w="5083"/>
          </w:tcPr>
          <w:p>
            <w:r>
              <w:rPr>
                <w:rFonts w:ascii="Arial" w:hAnsi="Arial"/>
                <w:sz w:val="17"/>
              </w:rPr>
              <w:t>PERMITIDO, PROIBIDO, CONDICIONADO, NÃO DETERMINADO ou CONFLITO DOCUMENTAL.</w:t>
            </w:r>
          </w:p>
        </w:tc>
      </w:tr>
      <w:tr>
        <w:trPr>
          <w:cantSplit/>
          <w:cantSplit/>
        </w:trPr>
        <w:tc>
          <w:tcPr>
            <w:tcW w:type="dxa" w:w="5083"/>
          </w:tcPr>
          <w:p>
            <w:r>
              <w:rPr>
                <w:rFonts w:ascii="Arial" w:hAnsi="Arial"/>
                <w:sz w:val="17"/>
              </w:rPr>
              <w:t>Resposta curta</w:t>
            </w:r>
          </w:p>
        </w:tc>
        <w:tc>
          <w:tcPr>
            <w:tcW w:type="dxa" w:w="5083"/>
          </w:tcPr>
          <w:p>
            <w:r>
              <w:rPr>
                <w:rFonts w:ascii="Arial" w:hAnsi="Arial"/>
                <w:sz w:val="17"/>
              </w:rPr>
              <w:t>Conclusão prática em linguagem simples.</w:t>
            </w:r>
          </w:p>
        </w:tc>
      </w:tr>
      <w:tr>
        <w:trPr>
          <w:cantSplit/>
          <w:cantSplit/>
        </w:trPr>
        <w:tc>
          <w:tcPr>
            <w:tcW w:type="dxa" w:w="5083"/>
          </w:tcPr>
          <w:p>
            <w:r>
              <w:rPr>
                <w:rFonts w:ascii="Arial" w:hAnsi="Arial"/>
                <w:sz w:val="17"/>
              </w:rPr>
              <w:t>Condições</w:t>
            </w:r>
          </w:p>
        </w:tc>
        <w:tc>
          <w:tcPr>
            <w:tcW w:type="dxa" w:w="5083"/>
          </w:tcPr>
          <w:p>
            <w:r>
              <w:rPr>
                <w:rFonts w:ascii="Arial" w:hAnsi="Arial"/>
                <w:sz w:val="17"/>
              </w:rPr>
              <w:t>Aprovações, documentos, horários, limites, padrão, quórum ou responsável técnico exigido.</w:t>
            </w:r>
          </w:p>
        </w:tc>
      </w:tr>
      <w:tr>
        <w:trPr>
          <w:cantSplit/>
          <w:cantSplit/>
        </w:trPr>
        <w:tc>
          <w:tcPr>
            <w:tcW w:type="dxa" w:w="5083"/>
          </w:tcPr>
          <w:p>
            <w:r>
              <w:rPr>
                <w:rFonts w:ascii="Arial" w:hAnsi="Arial"/>
                <w:sz w:val="17"/>
              </w:rPr>
              <w:t>Evidência</w:t>
            </w:r>
          </w:p>
        </w:tc>
        <w:tc>
          <w:tcPr>
            <w:tcW w:type="dxa" w:w="5083"/>
          </w:tcPr>
          <w:p>
            <w:r>
              <w:rPr>
                <w:rFonts w:ascii="Arial" w:hAnsi="Arial"/>
                <w:sz w:val="17"/>
              </w:rPr>
              <w:t>Documento, versão, página, cláusula/item/ata e data; abrir o trecho original com um clique.</w:t>
            </w:r>
          </w:p>
        </w:tc>
      </w:tr>
      <w:tr>
        <w:trPr>
          <w:cantSplit/>
          <w:cantSplit/>
        </w:trPr>
        <w:tc>
          <w:tcPr>
            <w:tcW w:type="dxa" w:w="5083"/>
          </w:tcPr>
          <w:p>
            <w:r>
              <w:rPr>
                <w:rFonts w:ascii="Arial" w:hAnsi="Arial"/>
                <w:sz w:val="17"/>
              </w:rPr>
              <w:t>Regra externa</w:t>
            </w:r>
          </w:p>
        </w:tc>
        <w:tc>
          <w:tcPr>
            <w:tcW w:type="dxa" w:w="5083"/>
          </w:tcPr>
          <w:p>
            <w:r>
              <w:rPr>
                <w:rFonts w:ascii="Arial" w:hAnsi="Arial"/>
                <w:sz w:val="17"/>
              </w:rPr>
              <w:t>Lei/regulação técnica relevante quando o tema ultrapassar os documentos internos.</w:t>
            </w:r>
          </w:p>
        </w:tc>
      </w:tr>
      <w:tr>
        <w:trPr>
          <w:cantSplit/>
          <w:cantSplit/>
        </w:trPr>
        <w:tc>
          <w:tcPr>
            <w:tcW w:type="dxa" w:w="5083"/>
          </w:tcPr>
          <w:p>
            <w:r>
              <w:rPr>
                <w:rFonts w:ascii="Arial" w:hAnsi="Arial"/>
                <w:sz w:val="17"/>
              </w:rPr>
              <w:t>Conflitos</w:t>
            </w:r>
          </w:p>
        </w:tc>
        <w:tc>
          <w:tcPr>
            <w:tcW w:type="dxa" w:w="5083"/>
          </w:tcPr>
          <w:p>
            <w:r>
              <w:rPr>
                <w:rFonts w:ascii="Arial" w:hAnsi="Arial"/>
                <w:sz w:val="17"/>
              </w:rPr>
              <w:t>Regra antiga versus nova, convenção versus ata, documento não registrado, quórum duvidoso ou texto ambíguo.</w:t>
            </w:r>
          </w:p>
        </w:tc>
      </w:tr>
      <w:tr>
        <w:trPr>
          <w:cantSplit/>
          <w:cantSplit/>
        </w:trPr>
        <w:tc>
          <w:tcPr>
            <w:tcW w:type="dxa" w:w="5083"/>
          </w:tcPr>
          <w:p>
            <w:r>
              <w:rPr>
                <w:rFonts w:ascii="Arial" w:hAnsi="Arial"/>
                <w:sz w:val="17"/>
              </w:rPr>
              <w:t>Próximo passo</w:t>
            </w:r>
          </w:p>
        </w:tc>
        <w:tc>
          <w:tcPr>
            <w:tcW w:type="dxa" w:w="5083"/>
          </w:tcPr>
          <w:p>
            <w:r>
              <w:rPr>
                <w:rFonts w:ascii="Arial" w:hAnsi="Arial"/>
                <w:sz w:val="17"/>
              </w:rPr>
              <w:t>Solicitar aprovação, convocar assembleia, enviar ART/RRT, consultar prefeitura/bombeiros, jurídico etc.</w:t>
            </w:r>
          </w:p>
        </w:tc>
      </w:tr>
      <w:tr>
        <w:trPr>
          <w:cantSplit/>
          <w:cantSplit/>
        </w:trPr>
        <w:tc>
          <w:tcPr>
            <w:tcW w:type="dxa" w:w="5083"/>
          </w:tcPr>
          <w:p>
            <w:r>
              <w:rPr>
                <w:rFonts w:ascii="Arial" w:hAnsi="Arial"/>
                <w:sz w:val="17"/>
              </w:rPr>
              <w:t>Data-base</w:t>
            </w:r>
          </w:p>
        </w:tc>
        <w:tc>
          <w:tcPr>
            <w:tcW w:type="dxa" w:w="5083"/>
          </w:tcPr>
          <w:p>
            <w:r>
              <w:rPr>
                <w:rFonts w:ascii="Arial" w:hAnsi="Arial"/>
                <w:sz w:val="17"/>
              </w:rPr>
              <w:t>“Resposta com base nos documentos vigentes em DD/MM/AAAA”.</w:t>
            </w:r>
          </w:p>
        </w:tc>
      </w:tr>
      <w:tr>
        <w:trPr>
          <w:cantSplit/>
          <w:cantSplit/>
        </w:trPr>
        <w:tc>
          <w:tcPr>
            <w:tcW w:type="dxa" w:w="5083"/>
          </w:tcPr>
          <w:p>
            <w:r>
              <w:rPr>
                <w:rFonts w:ascii="Arial" w:hAnsi="Arial"/>
                <w:sz w:val="17"/>
              </w:rPr>
              <w:t>Nível de confiança</w:t>
            </w:r>
          </w:p>
        </w:tc>
        <w:tc>
          <w:tcPr>
            <w:tcW w:type="dxa" w:w="5083"/>
          </w:tcPr>
          <w:p>
            <w:r>
              <w:rPr>
                <w:rFonts w:ascii="Arial" w:hAnsi="Arial"/>
                <w:sz w:val="17"/>
              </w:rPr>
              <w:t>Alto/médio/baixo + razão objetiva.</w:t>
            </w:r>
          </w:p>
        </w:tc>
      </w:tr>
    </w:tbl>
    <w:p>
      <w:r>
        <w:t>Exemplo de comportamento: “Posso fechar a varanda com vidro?” → o sistema cruza convenção/regimento/atas, padrão de fachada, aprovações anteriores, eventual projeto do condomínio e regras municipais; pode concluir CONDICIONADO, citando exatamente os documentos e solicitando aprovação técnica/administrativa quando necessária.</w:t>
      </w:r>
    </w:p>
    <w:p>
      <w:pPr>
        <w:pStyle w:val="Heading2"/>
      </w:pPr>
      <w:r>
        <w:t>26.9 Assuntos que o chat deve compreender — catálogo completo</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Tema</w:t>
            </w:r>
          </w:p>
        </w:tc>
        <w:tc>
          <w:tcPr>
            <w:tcW w:type="dxa" w:w="5083"/>
          </w:tcPr>
          <w:p>
            <w:r>
              <w:rPr>
                <w:rFonts w:ascii="Arial" w:hAnsi="Arial"/>
                <w:b/>
                <w:sz w:val="17"/>
              </w:rPr>
              <w:t>Perguntas/regras que devem ser cobertas</w:t>
            </w:r>
          </w:p>
        </w:tc>
      </w:tr>
      <w:tr>
        <w:trPr>
          <w:cantSplit/>
          <w:cantSplit/>
        </w:trPr>
        <w:tc>
          <w:tcPr>
            <w:tcW w:type="dxa" w:w="5083"/>
          </w:tcPr>
          <w:p>
            <w:r>
              <w:rPr>
                <w:rFonts w:ascii="Arial" w:hAnsi="Arial"/>
                <w:sz w:val="17"/>
              </w:rPr>
              <w:t>Obras e reformas</w:t>
            </w:r>
          </w:p>
        </w:tc>
        <w:tc>
          <w:tcPr>
            <w:tcW w:type="dxa" w:w="5083"/>
          </w:tcPr>
          <w:p>
            <w:r>
              <w:rPr>
                <w:rFonts w:ascii="Arial" w:hAnsi="Arial"/>
                <w:sz w:val="17"/>
              </w:rPr>
              <w:t>Demolição de paredes, alteração de layout, pisos, impermeabilização, áreas molhadas, furos em laje, estrutura, shafts, prumadas, gás, elétrica, hidráulica, exaustão, ar-condicionado, prazo/horário, entulho e elevador de serviço.</w:t>
            </w:r>
          </w:p>
        </w:tc>
      </w:tr>
      <w:tr>
        <w:trPr>
          <w:cantSplit/>
          <w:cantSplit/>
        </w:trPr>
        <w:tc>
          <w:tcPr>
            <w:tcW w:type="dxa" w:w="5083"/>
          </w:tcPr>
          <w:p>
            <w:r>
              <w:rPr>
                <w:rFonts w:ascii="Arial" w:hAnsi="Arial"/>
                <w:sz w:val="17"/>
              </w:rPr>
              <w:t>Fachada e esquadrias</w:t>
            </w:r>
          </w:p>
        </w:tc>
        <w:tc>
          <w:tcPr>
            <w:tcW w:type="dxa" w:w="5083"/>
          </w:tcPr>
          <w:p>
            <w:r>
              <w:rPr>
                <w:rFonts w:ascii="Arial" w:hAnsi="Arial"/>
                <w:sz w:val="17"/>
              </w:rPr>
              <w:t>Fechamento de varanda, redes/telas, toldos, persianas, películas, janelas, portas, cores, iluminação, antenas, condensadoras e elementos visíveis.</w:t>
            </w:r>
          </w:p>
        </w:tc>
      </w:tr>
      <w:tr>
        <w:trPr>
          <w:cantSplit/>
          <w:cantSplit/>
        </w:trPr>
        <w:tc>
          <w:tcPr>
            <w:tcW w:type="dxa" w:w="5083"/>
          </w:tcPr>
          <w:p>
            <w:r>
              <w:rPr>
                <w:rFonts w:ascii="Arial" w:hAnsi="Arial"/>
                <w:sz w:val="17"/>
              </w:rPr>
              <w:t>Uso/destinação da unidade</w:t>
            </w:r>
          </w:p>
        </w:tc>
        <w:tc>
          <w:tcPr>
            <w:tcW w:type="dxa" w:w="5083"/>
          </w:tcPr>
          <w:p>
            <w:r>
              <w:rPr>
                <w:rFonts w:ascii="Arial" w:hAnsi="Arial"/>
                <w:sz w:val="17"/>
              </w:rPr>
              <w:t>Residencial/comercial, home office, consultório, atividade econômica, atendimento a clientes, estoque, hospedagem, locação por temporada e usos incompatíveis.</w:t>
            </w:r>
          </w:p>
        </w:tc>
      </w:tr>
      <w:tr>
        <w:trPr>
          <w:cantSplit/>
          <w:cantSplit/>
        </w:trPr>
        <w:tc>
          <w:tcPr>
            <w:tcW w:type="dxa" w:w="5083"/>
          </w:tcPr>
          <w:p>
            <w:r>
              <w:rPr>
                <w:rFonts w:ascii="Arial" w:hAnsi="Arial"/>
                <w:sz w:val="17"/>
              </w:rPr>
              <w:t>Animais</w:t>
            </w:r>
          </w:p>
        </w:tc>
        <w:tc>
          <w:tcPr>
            <w:tcW w:type="dxa" w:w="5083"/>
          </w:tcPr>
          <w:p>
            <w:r>
              <w:rPr>
                <w:rFonts w:ascii="Arial" w:hAnsi="Arial"/>
                <w:sz w:val="17"/>
              </w:rPr>
              <w:t>Circulação, elevadores, áreas comuns, guia/coleira, higiene, ruído, porte e regras internas, sem tratar restrição interna como absoluta quando houver conflito jurídico.</w:t>
            </w:r>
          </w:p>
        </w:tc>
      </w:tr>
      <w:tr>
        <w:trPr>
          <w:cantSplit/>
          <w:cantSplit/>
        </w:trPr>
        <w:tc>
          <w:tcPr>
            <w:tcW w:type="dxa" w:w="5083"/>
          </w:tcPr>
          <w:p>
            <w:r>
              <w:rPr>
                <w:rFonts w:ascii="Arial" w:hAnsi="Arial"/>
                <w:sz w:val="17"/>
              </w:rPr>
              <w:t>Ruído/convivência</w:t>
            </w:r>
          </w:p>
        </w:tc>
        <w:tc>
          <w:tcPr>
            <w:tcW w:type="dxa" w:w="5083"/>
          </w:tcPr>
          <w:p>
            <w:r>
              <w:rPr>
                <w:rFonts w:ascii="Arial" w:hAnsi="Arial"/>
                <w:sz w:val="17"/>
              </w:rPr>
              <w:t>Horários, festas, instrumentos, obras, equipamentos, reclamações, recorrência e procedimento de ocorrência.</w:t>
            </w:r>
          </w:p>
        </w:tc>
      </w:tr>
      <w:tr>
        <w:trPr>
          <w:cantSplit/>
          <w:cantSplit/>
        </w:trPr>
        <w:tc>
          <w:tcPr>
            <w:tcW w:type="dxa" w:w="5083"/>
          </w:tcPr>
          <w:p>
            <w:r>
              <w:rPr>
                <w:rFonts w:ascii="Arial" w:hAnsi="Arial"/>
                <w:sz w:val="17"/>
              </w:rPr>
              <w:t>Áreas comuns</w:t>
            </w:r>
          </w:p>
        </w:tc>
        <w:tc>
          <w:tcPr>
            <w:tcW w:type="dxa" w:w="5083"/>
          </w:tcPr>
          <w:p>
            <w:r>
              <w:rPr>
                <w:rFonts w:ascii="Arial" w:hAnsi="Arial"/>
                <w:sz w:val="17"/>
              </w:rPr>
              <w:t>Salão, churrasqueira, academia, coworking, piscina, quadra, brinquedoteca, espaço pet, rooftop, vagas de visitantes, reservas, convidados, capacidade e danos.</w:t>
            </w:r>
          </w:p>
        </w:tc>
      </w:tr>
      <w:tr>
        <w:trPr>
          <w:cantSplit/>
          <w:cantSplit/>
        </w:trPr>
        <w:tc>
          <w:tcPr>
            <w:tcW w:type="dxa" w:w="5083"/>
          </w:tcPr>
          <w:p>
            <w:r>
              <w:rPr>
                <w:rFonts w:ascii="Arial" w:hAnsi="Arial"/>
                <w:sz w:val="17"/>
              </w:rPr>
              <w:t>Garagem/mobilidade</w:t>
            </w:r>
          </w:p>
        </w:tc>
        <w:tc>
          <w:tcPr>
            <w:tcW w:type="dxa" w:w="5083"/>
          </w:tcPr>
          <w:p>
            <w:r>
              <w:rPr>
                <w:rFonts w:ascii="Arial" w:hAnsi="Arial"/>
                <w:sz w:val="17"/>
              </w:rPr>
              <w:t>Vaga vinculada/autônoma, rodízio, empréstimo/locação, visitantes, motos, bicicletas, veículos grandes, lavagem, velocidade, carga/descarga e circulação.</w:t>
            </w:r>
          </w:p>
        </w:tc>
      </w:tr>
      <w:tr>
        <w:trPr>
          <w:cantSplit/>
          <w:cantSplit/>
        </w:trPr>
        <w:tc>
          <w:tcPr>
            <w:tcW w:type="dxa" w:w="5083"/>
          </w:tcPr>
          <w:p>
            <w:r>
              <w:rPr>
                <w:rFonts w:ascii="Arial" w:hAnsi="Arial"/>
                <w:sz w:val="17"/>
              </w:rPr>
              <w:t>Veículos elétricos</w:t>
            </w:r>
          </w:p>
        </w:tc>
        <w:tc>
          <w:tcPr>
            <w:tcW w:type="dxa" w:w="5083"/>
          </w:tcPr>
          <w:p>
            <w:r>
              <w:rPr>
                <w:rFonts w:ascii="Arial" w:hAnsi="Arial"/>
                <w:sz w:val="17"/>
              </w:rPr>
              <w:t>Carregadores, capacidade elétrica, projeto, medição, rateio, segurança, aprovação, infraestrutura comum e futura expansão.</w:t>
            </w:r>
          </w:p>
        </w:tc>
      </w:tr>
      <w:tr>
        <w:trPr>
          <w:cantSplit/>
          <w:cantSplit/>
        </w:trPr>
        <w:tc>
          <w:tcPr>
            <w:tcW w:type="dxa" w:w="5083"/>
          </w:tcPr>
          <w:p>
            <w:r>
              <w:rPr>
                <w:rFonts w:ascii="Arial" w:hAnsi="Arial"/>
                <w:sz w:val="17"/>
              </w:rPr>
              <w:t>Mudanças/entregas/prestadores</w:t>
            </w:r>
          </w:p>
        </w:tc>
        <w:tc>
          <w:tcPr>
            <w:tcW w:type="dxa" w:w="5083"/>
          </w:tcPr>
          <w:p>
            <w:r>
              <w:rPr>
                <w:rFonts w:ascii="Arial" w:hAnsi="Arial"/>
                <w:sz w:val="17"/>
              </w:rPr>
              <w:t>Agendamento, horários, documentos, elevador, proteção, acesso, cadastro, entregas volumosas e responsabilidades.</w:t>
            </w:r>
          </w:p>
        </w:tc>
      </w:tr>
      <w:tr>
        <w:trPr>
          <w:cantSplit/>
          <w:cantSplit/>
        </w:trPr>
        <w:tc>
          <w:tcPr>
            <w:tcW w:type="dxa" w:w="5083"/>
          </w:tcPr>
          <w:p>
            <w:r>
              <w:rPr>
                <w:rFonts w:ascii="Arial" w:hAnsi="Arial"/>
                <w:sz w:val="17"/>
              </w:rPr>
              <w:t>Segurança/acesso</w:t>
            </w:r>
          </w:p>
        </w:tc>
        <w:tc>
          <w:tcPr>
            <w:tcW w:type="dxa" w:w="5083"/>
          </w:tcPr>
          <w:p>
            <w:r>
              <w:rPr>
                <w:rFonts w:ascii="Arial" w:hAnsi="Arial"/>
                <w:sz w:val="17"/>
              </w:rPr>
              <w:t>Visitantes, biometria, câmeras, reconhecimento facial, prestadores, chaves, controles, dados de acesso e retenção.</w:t>
            </w:r>
          </w:p>
        </w:tc>
      </w:tr>
      <w:tr>
        <w:trPr>
          <w:cantSplit/>
          <w:cantSplit/>
        </w:trPr>
        <w:tc>
          <w:tcPr>
            <w:tcW w:type="dxa" w:w="5083"/>
          </w:tcPr>
          <w:p>
            <w:r>
              <w:rPr>
                <w:rFonts w:ascii="Arial" w:hAnsi="Arial"/>
                <w:sz w:val="17"/>
              </w:rPr>
              <w:t>Locação e hospedagem</w:t>
            </w:r>
          </w:p>
        </w:tc>
        <w:tc>
          <w:tcPr>
            <w:tcW w:type="dxa" w:w="5083"/>
          </w:tcPr>
          <w:p>
            <w:r>
              <w:rPr>
                <w:rFonts w:ascii="Arial" w:hAnsi="Arial"/>
                <w:sz w:val="17"/>
              </w:rPr>
              <w:t>Locação tradicional, temporada, plataformas, hóspedes, cadastro, destinação, regras internas e conflitos que exijam análise jurídica.</w:t>
            </w:r>
          </w:p>
        </w:tc>
      </w:tr>
      <w:tr>
        <w:trPr>
          <w:cantSplit/>
          <w:cantSplit/>
        </w:trPr>
        <w:tc>
          <w:tcPr>
            <w:tcW w:type="dxa" w:w="5083"/>
          </w:tcPr>
          <w:p>
            <w:r>
              <w:rPr>
                <w:rFonts w:ascii="Arial" w:hAnsi="Arial"/>
                <w:sz w:val="17"/>
              </w:rPr>
              <w:t>Fumo, álcool e substâncias</w:t>
            </w:r>
          </w:p>
        </w:tc>
        <w:tc>
          <w:tcPr>
            <w:tcW w:type="dxa" w:w="5083"/>
          </w:tcPr>
          <w:p>
            <w:r>
              <w:rPr>
                <w:rFonts w:ascii="Arial" w:hAnsi="Arial"/>
                <w:sz w:val="17"/>
              </w:rPr>
              <w:t>Uso em áreas comuns, odores/fumaça e políticas internas, respeitando legislação aplicável.</w:t>
            </w:r>
          </w:p>
        </w:tc>
      </w:tr>
      <w:tr>
        <w:trPr>
          <w:cantSplit/>
          <w:cantSplit/>
        </w:trPr>
        <w:tc>
          <w:tcPr>
            <w:tcW w:type="dxa" w:w="5083"/>
          </w:tcPr>
          <w:p>
            <w:r>
              <w:rPr>
                <w:rFonts w:ascii="Arial" w:hAnsi="Arial"/>
                <w:sz w:val="17"/>
              </w:rPr>
              <w:t>Publicidade e sinalização</w:t>
            </w:r>
          </w:p>
        </w:tc>
        <w:tc>
          <w:tcPr>
            <w:tcW w:type="dxa" w:w="5083"/>
          </w:tcPr>
          <w:p>
            <w:r>
              <w:rPr>
                <w:rFonts w:ascii="Arial" w:hAnsi="Arial"/>
                <w:sz w:val="17"/>
              </w:rPr>
              <w:t>Placas, letreiros, totens, adesivos, fachadas comerciais, sinalização interna e comunicação visual.</w:t>
            </w:r>
          </w:p>
        </w:tc>
      </w:tr>
      <w:tr>
        <w:trPr>
          <w:cantSplit/>
          <w:cantSplit/>
        </w:trPr>
        <w:tc>
          <w:tcPr>
            <w:tcW w:type="dxa" w:w="5083"/>
          </w:tcPr>
          <w:p>
            <w:r>
              <w:rPr>
                <w:rFonts w:ascii="Arial" w:hAnsi="Arial"/>
                <w:sz w:val="17"/>
              </w:rPr>
              <w:t>Penalidades</w:t>
            </w:r>
          </w:p>
        </w:tc>
        <w:tc>
          <w:tcPr>
            <w:tcW w:type="dxa" w:w="5083"/>
          </w:tcPr>
          <w:p>
            <w:r>
              <w:rPr>
                <w:rFonts w:ascii="Arial" w:hAnsi="Arial"/>
                <w:sz w:val="17"/>
              </w:rPr>
              <w:t>Advertência, multa, reincidência, conduta antissocial, competência, procedimento, defesa, evidência e quórum.</w:t>
            </w:r>
          </w:p>
        </w:tc>
      </w:tr>
      <w:tr>
        <w:trPr>
          <w:cantSplit/>
          <w:cantSplit/>
        </w:trPr>
        <w:tc>
          <w:tcPr>
            <w:tcW w:type="dxa" w:w="5083"/>
          </w:tcPr>
          <w:p>
            <w:r>
              <w:rPr>
                <w:rFonts w:ascii="Arial" w:hAnsi="Arial"/>
                <w:sz w:val="17"/>
              </w:rPr>
              <w:t>Financeiro</w:t>
            </w:r>
          </w:p>
        </w:tc>
        <w:tc>
          <w:tcPr>
            <w:tcW w:type="dxa" w:w="5083"/>
          </w:tcPr>
          <w:p>
            <w:r>
              <w:rPr>
                <w:rFonts w:ascii="Arial" w:hAnsi="Arial"/>
                <w:sz w:val="17"/>
              </w:rPr>
              <w:t>Cota ordinária/extraordinária, fundo de reserva, rateio, inadimplência, juros/multa e deliberações orçamentárias, com acesso restrito.</w:t>
            </w:r>
          </w:p>
        </w:tc>
      </w:tr>
    </w:tbl>
    <w:p>
      <w:pPr>
        <w:pStyle w:val="Heading2"/>
      </w:pPr>
      <w:r>
        <w:t>26.10 Regras específicas do condomínio horizontal e de lotes</w:t>
      </w:r>
    </w:p>
    <w:p>
      <w:r>
        <w:t>No horizontal, o módulo precisa lidar não só com convivência, mas também com aprovação arquitetônica interna. A aprovação pelo condomínio não substitui aprovação municipal; e uma obra permitida pelo zoneamento pode continuar proibida/condicionada por restrição interna válida — ou vice-versa, caso em que prevalece a exigência pública.</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Tema</w:t>
            </w:r>
          </w:p>
        </w:tc>
        <w:tc>
          <w:tcPr>
            <w:tcW w:type="dxa" w:w="5083"/>
          </w:tcPr>
          <w:p>
            <w:r>
              <w:rPr>
                <w:rFonts w:ascii="Arial" w:hAnsi="Arial"/>
                <w:b/>
                <w:sz w:val="17"/>
              </w:rPr>
              <w:t>Dados/regras</w:t>
            </w:r>
          </w:p>
        </w:tc>
      </w:tr>
      <w:tr>
        <w:trPr>
          <w:cantSplit/>
          <w:cantSplit/>
        </w:trPr>
        <w:tc>
          <w:tcPr>
            <w:tcW w:type="dxa" w:w="5083"/>
          </w:tcPr>
          <w:p>
            <w:r>
              <w:rPr>
                <w:rFonts w:ascii="Arial" w:hAnsi="Arial"/>
                <w:sz w:val="17"/>
              </w:rPr>
              <w:t>Implantação</w:t>
            </w:r>
          </w:p>
        </w:tc>
        <w:tc>
          <w:tcPr>
            <w:tcW w:type="dxa" w:w="5083"/>
          </w:tcPr>
          <w:p>
            <w:r>
              <w:rPr>
                <w:rFonts w:ascii="Arial" w:hAnsi="Arial"/>
                <w:sz w:val="17"/>
              </w:rPr>
              <w:t>recuos internos, afastamentos entre lotes, taxa interna de ocupação/permeabilidade quando houver, gabarito interno e posição da construção.</w:t>
            </w:r>
          </w:p>
        </w:tc>
      </w:tr>
      <w:tr>
        <w:trPr>
          <w:cantSplit/>
          <w:cantSplit/>
        </w:trPr>
        <w:tc>
          <w:tcPr>
            <w:tcW w:type="dxa" w:w="5083"/>
          </w:tcPr>
          <w:p>
            <w:r>
              <w:rPr>
                <w:rFonts w:ascii="Arial" w:hAnsi="Arial"/>
                <w:sz w:val="17"/>
              </w:rPr>
              <w:t>Projeto arquitetônico</w:t>
            </w:r>
          </w:p>
        </w:tc>
        <w:tc>
          <w:tcPr>
            <w:tcW w:type="dxa" w:w="5083"/>
          </w:tcPr>
          <w:p>
            <w:r>
              <w:rPr>
                <w:rFonts w:ascii="Arial" w:hAnsi="Arial"/>
                <w:sz w:val="17"/>
              </w:rPr>
              <w:t>fluxo de submissão, comissão técnica, revisões, prazo, aprovação e carimbo/status.</w:t>
            </w:r>
          </w:p>
        </w:tc>
      </w:tr>
      <w:tr>
        <w:trPr>
          <w:cantSplit/>
          <w:cantSplit/>
        </w:trPr>
        <w:tc>
          <w:tcPr>
            <w:tcW w:type="dxa" w:w="5083"/>
          </w:tcPr>
          <w:p>
            <w:r>
              <w:rPr>
                <w:rFonts w:ascii="Arial" w:hAnsi="Arial"/>
                <w:sz w:val="17"/>
              </w:rPr>
              <w:t>Padrão construtivo</w:t>
            </w:r>
          </w:p>
        </w:tc>
        <w:tc>
          <w:tcPr>
            <w:tcW w:type="dxa" w:w="5083"/>
          </w:tcPr>
          <w:p>
            <w:r>
              <w:rPr>
                <w:rFonts w:ascii="Arial" w:hAnsi="Arial"/>
                <w:sz w:val="17"/>
              </w:rPr>
              <w:t>materiais, cobertura, cores, fachadas, muros, gradis, esquadrias, calçadas internas e paisagismo.</w:t>
            </w:r>
          </w:p>
        </w:tc>
      </w:tr>
      <w:tr>
        <w:trPr>
          <w:cantSplit/>
          <w:cantSplit/>
        </w:trPr>
        <w:tc>
          <w:tcPr>
            <w:tcW w:type="dxa" w:w="5083"/>
          </w:tcPr>
          <w:p>
            <w:r>
              <w:rPr>
                <w:rFonts w:ascii="Arial" w:hAnsi="Arial"/>
                <w:sz w:val="17"/>
              </w:rPr>
              <w:t>Obra</w:t>
            </w:r>
          </w:p>
        </w:tc>
        <w:tc>
          <w:tcPr>
            <w:tcW w:type="dxa" w:w="5083"/>
          </w:tcPr>
          <w:p>
            <w:r>
              <w:rPr>
                <w:rFonts w:ascii="Arial" w:hAnsi="Arial"/>
                <w:sz w:val="17"/>
              </w:rPr>
              <w:t>tapume, caçamba, acesso de caminhões, carga/descarga, horário, armazenamento, alojamento, limpeza e danos às vias comuns.</w:t>
            </w:r>
          </w:p>
        </w:tc>
      </w:tr>
      <w:tr>
        <w:trPr>
          <w:cantSplit/>
          <w:cantSplit/>
        </w:trPr>
        <w:tc>
          <w:tcPr>
            <w:tcW w:type="dxa" w:w="5083"/>
          </w:tcPr>
          <w:p>
            <w:r>
              <w:rPr>
                <w:rFonts w:ascii="Arial" w:hAnsi="Arial"/>
                <w:sz w:val="17"/>
              </w:rPr>
              <w:t>Terreno/jardim</w:t>
            </w:r>
          </w:p>
        </w:tc>
        <w:tc>
          <w:tcPr>
            <w:tcW w:type="dxa" w:w="5083"/>
          </w:tcPr>
          <w:p>
            <w:r>
              <w:rPr>
                <w:rFonts w:ascii="Arial" w:hAnsi="Arial"/>
                <w:sz w:val="17"/>
              </w:rPr>
              <w:t>corte/plantio de árvores, piscina, pergolado, edícula, churrasqueira, poço, drenagem, taludes e contenções.</w:t>
            </w:r>
          </w:p>
        </w:tc>
      </w:tr>
      <w:tr>
        <w:trPr>
          <w:cantSplit/>
          <w:cantSplit/>
        </w:trPr>
        <w:tc>
          <w:tcPr>
            <w:tcW w:type="dxa" w:w="5083"/>
          </w:tcPr>
          <w:p>
            <w:r>
              <w:rPr>
                <w:rFonts w:ascii="Arial" w:hAnsi="Arial"/>
                <w:sz w:val="17"/>
              </w:rPr>
              <w:t>Fechamentos e divisas</w:t>
            </w:r>
          </w:p>
        </w:tc>
        <w:tc>
          <w:tcPr>
            <w:tcW w:type="dxa" w:w="5083"/>
          </w:tcPr>
          <w:p>
            <w:r>
              <w:rPr>
                <w:rFonts w:ascii="Arial" w:hAnsi="Arial"/>
                <w:sz w:val="17"/>
              </w:rPr>
              <w:t>muros, cercas, altura, padrão, acesso lateral, servidões e interferências em infraestrutura comum.</w:t>
            </w:r>
          </w:p>
        </w:tc>
      </w:tr>
      <w:tr>
        <w:trPr>
          <w:cantSplit/>
          <w:cantSplit/>
        </w:trPr>
        <w:tc>
          <w:tcPr>
            <w:tcW w:type="dxa" w:w="5083"/>
          </w:tcPr>
          <w:p>
            <w:r>
              <w:rPr>
                <w:rFonts w:ascii="Arial" w:hAnsi="Arial"/>
                <w:sz w:val="17"/>
              </w:rPr>
              <w:t>Mobilidade interna</w:t>
            </w:r>
          </w:p>
        </w:tc>
        <w:tc>
          <w:tcPr>
            <w:tcW w:type="dxa" w:w="5083"/>
          </w:tcPr>
          <w:p>
            <w:r>
              <w:rPr>
                <w:rFonts w:ascii="Arial" w:hAnsi="Arial"/>
                <w:sz w:val="17"/>
              </w:rPr>
              <w:t>vias, velocidade, estacionamento, veículos recreativos, bicicletas, pedestres e segurança.</w:t>
            </w:r>
          </w:p>
        </w:tc>
      </w:tr>
      <w:tr>
        <w:trPr>
          <w:cantSplit/>
          <w:cantSplit/>
        </w:trPr>
        <w:tc>
          <w:tcPr>
            <w:tcW w:type="dxa" w:w="5083"/>
          </w:tcPr>
          <w:p>
            <w:r>
              <w:rPr>
                <w:rFonts w:ascii="Arial" w:hAnsi="Arial"/>
                <w:sz w:val="17"/>
              </w:rPr>
              <w:t>Lotes</w:t>
            </w:r>
          </w:p>
        </w:tc>
        <w:tc>
          <w:tcPr>
            <w:tcW w:type="dxa" w:w="5083"/>
          </w:tcPr>
          <w:p>
            <w:r>
              <w:rPr>
                <w:rFonts w:ascii="Arial" w:hAnsi="Arial"/>
                <w:sz w:val="17"/>
              </w:rPr>
              <w:t>remembramento/desmembramento interno, associação de lotes, frações e necessidade de validação registral/municipal.</w:t>
            </w:r>
          </w:p>
        </w:tc>
      </w:tr>
    </w:tbl>
    <w:p>
      <w:pPr>
        <w:pStyle w:val="Heading2"/>
      </w:pPr>
      <w:r>
        <w:t>26.11 Reforma e obra — workflow técnico</w:t>
      </w:r>
    </w:p>
    <w:p>
      <w:r>
        <w:t>O módulo deve suportar um processo digital de reforma alinhado à boa prática técnica e às exigências do próprio condomínio. Normas técnicas protegidas por copyright, como ABNT NBR 16280, devem ser referenciadas por metadados/licenciamento ou por cópia licenciada fornecida pelo cliente; o sistema não deve raspar/republicar seu texto integral.</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Etapa</w:t>
            </w:r>
          </w:p>
        </w:tc>
        <w:tc>
          <w:tcPr>
            <w:tcW w:type="dxa" w:w="5083"/>
          </w:tcPr>
          <w:p>
            <w:r>
              <w:rPr>
                <w:rFonts w:ascii="Arial" w:hAnsi="Arial"/>
                <w:b/>
                <w:sz w:val="17"/>
              </w:rPr>
              <w:t>Controle</w:t>
            </w:r>
          </w:p>
        </w:tc>
      </w:tr>
      <w:tr>
        <w:trPr>
          <w:cantSplit/>
          <w:cantSplit/>
        </w:trPr>
        <w:tc>
          <w:tcPr>
            <w:tcW w:type="dxa" w:w="5083"/>
          </w:tcPr>
          <w:p>
            <w:r>
              <w:rPr>
                <w:rFonts w:ascii="Arial" w:hAnsi="Arial"/>
                <w:sz w:val="17"/>
              </w:rPr>
              <w:t>Solicitação</w:t>
            </w:r>
          </w:p>
        </w:tc>
        <w:tc>
          <w:tcPr>
            <w:tcW w:type="dxa" w:w="5083"/>
          </w:tcPr>
          <w:p>
            <w:r>
              <w:rPr>
                <w:rFonts w:ascii="Arial" w:hAnsi="Arial"/>
                <w:sz w:val="17"/>
              </w:rPr>
              <w:t>unidade/lote, descrição, datas, área afetada e anexos.</w:t>
            </w:r>
          </w:p>
        </w:tc>
      </w:tr>
      <w:tr>
        <w:trPr>
          <w:cantSplit/>
          <w:cantSplit/>
        </w:trPr>
        <w:tc>
          <w:tcPr>
            <w:tcW w:type="dxa" w:w="5083"/>
          </w:tcPr>
          <w:p>
            <w:r>
              <w:rPr>
                <w:rFonts w:ascii="Arial" w:hAnsi="Arial"/>
                <w:sz w:val="17"/>
              </w:rPr>
              <w:t>Classificação de risco</w:t>
            </w:r>
          </w:p>
        </w:tc>
        <w:tc>
          <w:tcPr>
            <w:tcW w:type="dxa" w:w="5083"/>
          </w:tcPr>
          <w:p>
            <w:r>
              <w:rPr>
                <w:rFonts w:ascii="Arial" w:hAnsi="Arial"/>
                <w:sz w:val="17"/>
              </w:rPr>
              <w:t>cosmética / instalações / fachada / impermeabilização / estrutural / gás / áreas comuns.</w:t>
            </w:r>
          </w:p>
        </w:tc>
      </w:tr>
      <w:tr>
        <w:trPr>
          <w:cantSplit/>
          <w:cantSplit/>
        </w:trPr>
        <w:tc>
          <w:tcPr>
            <w:tcW w:type="dxa" w:w="5083"/>
          </w:tcPr>
          <w:p>
            <w:r>
              <w:rPr>
                <w:rFonts w:ascii="Arial" w:hAnsi="Arial"/>
                <w:sz w:val="17"/>
              </w:rPr>
              <w:t>Documentação</w:t>
            </w:r>
          </w:p>
        </w:tc>
        <w:tc>
          <w:tcPr>
            <w:tcW w:type="dxa" w:w="5083"/>
          </w:tcPr>
          <w:p>
            <w:r>
              <w:rPr>
                <w:rFonts w:ascii="Arial" w:hAnsi="Arial"/>
                <w:sz w:val="17"/>
              </w:rPr>
              <w:t>projeto, memorial, cronograma, ART/RRT quando aplicável, dados do responsável técnico e prestadores.</w:t>
            </w:r>
          </w:p>
        </w:tc>
      </w:tr>
      <w:tr>
        <w:trPr>
          <w:cantSplit/>
          <w:cantSplit/>
        </w:trPr>
        <w:tc>
          <w:tcPr>
            <w:tcW w:type="dxa" w:w="5083"/>
          </w:tcPr>
          <w:p>
            <w:r>
              <w:rPr>
                <w:rFonts w:ascii="Arial" w:hAnsi="Arial"/>
                <w:sz w:val="17"/>
              </w:rPr>
              <w:t>Análise automática</w:t>
            </w:r>
          </w:p>
        </w:tc>
        <w:tc>
          <w:tcPr>
            <w:tcW w:type="dxa" w:w="5083"/>
          </w:tcPr>
          <w:p>
            <w:r>
              <w:rPr>
                <w:rFonts w:ascii="Arial" w:hAnsi="Arial"/>
                <w:sz w:val="17"/>
              </w:rPr>
              <w:t>comparar escopo com convenção, regimento, atas, manual e regras técnicas cadastradas.</w:t>
            </w:r>
          </w:p>
        </w:tc>
      </w:tr>
      <w:tr>
        <w:trPr>
          <w:cantSplit/>
          <w:cantSplit/>
        </w:trPr>
        <w:tc>
          <w:tcPr>
            <w:tcW w:type="dxa" w:w="5083"/>
          </w:tcPr>
          <w:p>
            <w:r>
              <w:rPr>
                <w:rFonts w:ascii="Arial" w:hAnsi="Arial"/>
                <w:sz w:val="17"/>
              </w:rPr>
              <w:t>Análise humana</w:t>
            </w:r>
          </w:p>
        </w:tc>
        <w:tc>
          <w:tcPr>
            <w:tcW w:type="dxa" w:w="5083"/>
          </w:tcPr>
          <w:p>
            <w:r>
              <w:rPr>
                <w:rFonts w:ascii="Arial" w:hAnsi="Arial"/>
                <w:sz w:val="17"/>
              </w:rPr>
              <w:t>síndico, administradora, arquiteto/engenheiro consultor ou conselho conforme regra.</w:t>
            </w:r>
          </w:p>
        </w:tc>
      </w:tr>
      <w:tr>
        <w:trPr>
          <w:cantSplit/>
          <w:cantSplit/>
        </w:trPr>
        <w:tc>
          <w:tcPr>
            <w:tcW w:type="dxa" w:w="5083"/>
          </w:tcPr>
          <w:p>
            <w:r>
              <w:rPr>
                <w:rFonts w:ascii="Arial" w:hAnsi="Arial"/>
                <w:sz w:val="17"/>
              </w:rPr>
              <w:t>Aprovação</w:t>
            </w:r>
          </w:p>
        </w:tc>
        <w:tc>
          <w:tcPr>
            <w:tcW w:type="dxa" w:w="5083"/>
          </w:tcPr>
          <w:p>
            <w:r>
              <w:rPr>
                <w:rFonts w:ascii="Arial" w:hAnsi="Arial"/>
                <w:sz w:val="17"/>
              </w:rPr>
              <w:t>status, condições, validade, horários, rota de acesso, proteção e obrigação de comunicar alterações.</w:t>
            </w:r>
          </w:p>
        </w:tc>
      </w:tr>
      <w:tr>
        <w:trPr>
          <w:cantSplit/>
          <w:cantSplit/>
        </w:trPr>
        <w:tc>
          <w:tcPr>
            <w:tcW w:type="dxa" w:w="5083"/>
          </w:tcPr>
          <w:p>
            <w:r>
              <w:rPr>
                <w:rFonts w:ascii="Arial" w:hAnsi="Arial"/>
                <w:sz w:val="17"/>
              </w:rPr>
              <w:t>Execução</w:t>
            </w:r>
          </w:p>
        </w:tc>
        <w:tc>
          <w:tcPr>
            <w:tcW w:type="dxa" w:w="5083"/>
          </w:tcPr>
          <w:p>
            <w:r>
              <w:rPr>
                <w:rFonts w:ascii="Arial" w:hAnsi="Arial"/>
                <w:sz w:val="17"/>
              </w:rPr>
              <w:t>check-in de prestadores, ocorrências, fotos, inspeções e alterações de escopo.</w:t>
            </w:r>
          </w:p>
        </w:tc>
      </w:tr>
      <w:tr>
        <w:trPr>
          <w:cantSplit/>
          <w:cantSplit/>
        </w:trPr>
        <w:tc>
          <w:tcPr>
            <w:tcW w:type="dxa" w:w="5083"/>
          </w:tcPr>
          <w:p>
            <w:r>
              <w:rPr>
                <w:rFonts w:ascii="Arial" w:hAnsi="Arial"/>
                <w:sz w:val="17"/>
              </w:rPr>
              <w:t>Encerramento</w:t>
            </w:r>
          </w:p>
        </w:tc>
        <w:tc>
          <w:tcPr>
            <w:tcW w:type="dxa" w:w="5083"/>
          </w:tcPr>
          <w:p>
            <w:r>
              <w:rPr>
                <w:rFonts w:ascii="Arial" w:hAnsi="Arial"/>
                <w:sz w:val="17"/>
              </w:rPr>
              <w:t>vistoria, documentos finais, as-built quando necessário e liberação.</w:t>
            </w:r>
          </w:p>
        </w:tc>
      </w:tr>
    </w:tbl>
    <w:p>
      <w:pPr>
        <w:pStyle w:val="Heading2"/>
      </w:pPr>
      <w:r>
        <w:t>26.12 Assembleias, quóruns e deliberações</w:t>
      </w:r>
    </w:p>
    <w:p>
      <w:r>
        <w:t>O motor de assembleias deve extrair a pauta e identificar o quórum potencialmente aplicável. O Código Civil prevê, entre outros pontos, convocação de todos os condôminos, regras de primeira/segunda convocação, alteração da convenção e mudança de destinação por 2/3, além da possibilidade de sessão permanente e assembleias eletrônicas/híbridas nas condições legais [R43][R46][R47].</w:t>
      </w:r>
    </w:p>
    <w:p>
      <w:r>
        <w:t>O sistema não deve codificar um único quórum fixo para cada assunto: precisa combinar lei vigente, convenção, tipo de empreendimento, frações/votos, situação da convocação e natureza da deliberação. Quando a qualificação jurídica do tema for controvertida, deve indicar “quórum requer validação jurídica”.</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Função</w:t>
            </w:r>
          </w:p>
        </w:tc>
        <w:tc>
          <w:tcPr>
            <w:tcW w:type="dxa" w:w="5083"/>
          </w:tcPr>
          <w:p>
            <w:r>
              <w:rPr>
                <w:rFonts w:ascii="Arial" w:hAnsi="Arial"/>
                <w:b/>
                <w:sz w:val="17"/>
              </w:rPr>
              <w:t>O que calcular/verificar</w:t>
            </w:r>
          </w:p>
        </w:tc>
      </w:tr>
      <w:tr>
        <w:trPr>
          <w:cantSplit/>
          <w:cantSplit/>
        </w:trPr>
        <w:tc>
          <w:tcPr>
            <w:tcW w:type="dxa" w:w="5083"/>
          </w:tcPr>
          <w:p>
            <w:r>
              <w:rPr>
                <w:rFonts w:ascii="Arial" w:hAnsi="Arial"/>
                <w:sz w:val="17"/>
              </w:rPr>
              <w:t>Convocação</w:t>
            </w:r>
          </w:p>
        </w:tc>
        <w:tc>
          <w:tcPr>
            <w:tcW w:type="dxa" w:w="5083"/>
          </w:tcPr>
          <w:p>
            <w:r>
              <w:rPr>
                <w:rFonts w:ascii="Arial" w:hAnsi="Arial"/>
                <w:sz w:val="17"/>
              </w:rPr>
              <w:t>quem convocou, prazo, todos os condôminos convocados, pauta, anexos e modalidade.</w:t>
            </w:r>
          </w:p>
        </w:tc>
      </w:tr>
      <w:tr>
        <w:trPr>
          <w:cantSplit/>
          <w:cantSplit/>
        </w:trPr>
        <w:tc>
          <w:tcPr>
            <w:tcW w:type="dxa" w:w="5083"/>
          </w:tcPr>
          <w:p>
            <w:r>
              <w:rPr>
                <w:rFonts w:ascii="Arial" w:hAnsi="Arial"/>
                <w:sz w:val="17"/>
              </w:rPr>
              <w:t>Presença</w:t>
            </w:r>
          </w:p>
        </w:tc>
        <w:tc>
          <w:tcPr>
            <w:tcW w:type="dxa" w:w="5083"/>
          </w:tcPr>
          <w:p>
            <w:r>
              <w:rPr>
                <w:rFonts w:ascii="Arial" w:hAnsi="Arial"/>
                <w:sz w:val="17"/>
              </w:rPr>
              <w:t>unidades, representantes, procurações e frações ideais.</w:t>
            </w:r>
          </w:p>
        </w:tc>
      </w:tr>
      <w:tr>
        <w:trPr>
          <w:cantSplit/>
          <w:cantSplit/>
        </w:trPr>
        <w:tc>
          <w:tcPr>
            <w:tcW w:type="dxa" w:w="5083"/>
          </w:tcPr>
          <w:p>
            <w:r>
              <w:rPr>
                <w:rFonts w:ascii="Arial" w:hAnsi="Arial"/>
                <w:sz w:val="17"/>
              </w:rPr>
              <w:t>Direito de voto</w:t>
            </w:r>
          </w:p>
        </w:tc>
        <w:tc>
          <w:tcPr>
            <w:tcW w:type="dxa" w:w="5083"/>
          </w:tcPr>
          <w:p>
            <w:r>
              <w:rPr>
                <w:rFonts w:ascii="Arial" w:hAnsi="Arial"/>
                <w:sz w:val="17"/>
              </w:rPr>
              <w:t>regras legais e convencionais aplicáveis ao caso; registrar exceções sem inferir além da evidência.</w:t>
            </w:r>
          </w:p>
        </w:tc>
      </w:tr>
      <w:tr>
        <w:trPr>
          <w:cantSplit/>
          <w:cantSplit/>
        </w:trPr>
        <w:tc>
          <w:tcPr>
            <w:tcW w:type="dxa" w:w="5083"/>
          </w:tcPr>
          <w:p>
            <w:r>
              <w:rPr>
                <w:rFonts w:ascii="Arial" w:hAnsi="Arial"/>
                <w:sz w:val="17"/>
              </w:rPr>
              <w:t>Quórum</w:t>
            </w:r>
          </w:p>
        </w:tc>
        <w:tc>
          <w:tcPr>
            <w:tcW w:type="dxa" w:w="5083"/>
          </w:tcPr>
          <w:p>
            <w:r>
              <w:rPr>
                <w:rFonts w:ascii="Arial" w:hAnsi="Arial"/>
                <w:sz w:val="17"/>
              </w:rPr>
              <w:t>denominador correto, votos favoráveis/contrários/abstenções e quórum especial quando aplicável.</w:t>
            </w:r>
          </w:p>
        </w:tc>
      </w:tr>
      <w:tr>
        <w:trPr>
          <w:cantSplit/>
          <w:cantSplit/>
        </w:trPr>
        <w:tc>
          <w:tcPr>
            <w:tcW w:type="dxa" w:w="5083"/>
          </w:tcPr>
          <w:p>
            <w:r>
              <w:rPr>
                <w:rFonts w:ascii="Arial" w:hAnsi="Arial"/>
                <w:sz w:val="17"/>
              </w:rPr>
              <w:t>Sessão permanente</w:t>
            </w:r>
          </w:p>
        </w:tc>
        <w:tc>
          <w:tcPr>
            <w:tcW w:type="dxa" w:w="5083"/>
          </w:tcPr>
          <w:p>
            <w:r>
              <w:rPr>
                <w:rFonts w:ascii="Arial" w:hAnsi="Arial"/>
                <w:sz w:val="17"/>
              </w:rPr>
              <w:t>continuidade, prazos, ata parcial e consolidação nos termos da legislação aplicável [R46].</w:t>
            </w:r>
          </w:p>
        </w:tc>
      </w:tr>
      <w:tr>
        <w:trPr>
          <w:cantSplit/>
          <w:cantSplit/>
        </w:trPr>
        <w:tc>
          <w:tcPr>
            <w:tcW w:type="dxa" w:w="5083"/>
          </w:tcPr>
          <w:p>
            <w:r>
              <w:rPr>
                <w:rFonts w:ascii="Arial" w:hAnsi="Arial"/>
                <w:sz w:val="17"/>
              </w:rPr>
              <w:t>Eletrônica/híbrida</w:t>
            </w:r>
          </w:p>
        </w:tc>
        <w:tc>
          <w:tcPr>
            <w:tcW w:type="dxa" w:w="5083"/>
          </w:tcPr>
          <w:p>
            <w:r>
              <w:rPr>
                <w:rFonts w:ascii="Arial" w:hAnsi="Arial"/>
                <w:sz w:val="17"/>
              </w:rPr>
              <w:t>instruções, voz/debate/voto, sistema de votação e ata eletrônica, quando permitida [R46].</w:t>
            </w:r>
          </w:p>
        </w:tc>
      </w:tr>
      <w:tr>
        <w:trPr>
          <w:cantSplit/>
          <w:cantSplit/>
        </w:trPr>
        <w:tc>
          <w:tcPr>
            <w:tcW w:type="dxa" w:w="5083"/>
          </w:tcPr>
          <w:p>
            <w:r>
              <w:rPr>
                <w:rFonts w:ascii="Arial" w:hAnsi="Arial"/>
                <w:sz w:val="17"/>
              </w:rPr>
              <w:t>Resultado</w:t>
            </w:r>
          </w:p>
        </w:tc>
        <w:tc>
          <w:tcPr>
            <w:tcW w:type="dxa" w:w="5083"/>
          </w:tcPr>
          <w:p>
            <w:r>
              <w:rPr>
                <w:rFonts w:ascii="Arial" w:hAnsi="Arial"/>
                <w:sz w:val="17"/>
              </w:rPr>
              <w:t>aprovado/rejeitado/pendente + efeito sobre regras, orçamento, eleição ou projeto.</w:t>
            </w:r>
          </w:p>
        </w:tc>
      </w:tr>
      <w:tr>
        <w:trPr>
          <w:cantSplit/>
          <w:cantSplit/>
        </w:trPr>
        <w:tc>
          <w:tcPr>
            <w:tcW w:type="dxa" w:w="5083"/>
          </w:tcPr>
          <w:p>
            <w:r>
              <w:rPr>
                <w:rFonts w:ascii="Arial" w:hAnsi="Arial"/>
                <w:sz w:val="17"/>
              </w:rPr>
              <w:t>Regra criada</w:t>
            </w:r>
          </w:p>
        </w:tc>
        <w:tc>
          <w:tcPr>
            <w:tcW w:type="dxa" w:w="5083"/>
          </w:tcPr>
          <w:p>
            <w:r>
              <w:rPr>
                <w:rFonts w:ascii="Arial" w:hAnsi="Arial"/>
                <w:sz w:val="17"/>
              </w:rPr>
              <w:t>converter deliberação aprovada em rule_version com vigência, escopo e evidência.</w:t>
            </w:r>
          </w:p>
        </w:tc>
      </w:tr>
    </w:tbl>
    <w:p>
      <w:pPr>
        <w:pStyle w:val="Heading2"/>
      </w:pPr>
      <w:r>
        <w:t>26.13 Atas como fonte estruturada</w:t>
      </w:r>
    </w:p>
    <w:p>
      <w:r>
        <w:t>A IA deve ler ata por ata e extrair: assembleia, data, tipo, pauta, presença, quórum, item deliberado, resultado, condição, prazo, responsável e documento alterado. A simples menção em ata não equivale necessariamente a alteração válida da convenção; o motor deve separar “decisão operacional”, “regra permanente”, “autorização individual” e “registro informativo”.</w:t>
      </w:r>
    </w:p>
    <w:p>
      <w:pPr>
        <w:pStyle w:val="Heading2"/>
      </w:pPr>
      <w:r>
        <w:t>26.14 Ocorrências, advertências e multas</w:t>
      </w:r>
    </w:p>
    <w:p>
      <w:r>
        <w:t>O sistema deve estruturar um procedimento defensável e auditável, sem automatizar punições sem revisão humana. O Código Civil prevê deveres condominiais e hipóteses de multas, mas a aplicação concreta depende do fato, da convenção e do procedimento [R43].</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Objeto</w:t>
            </w:r>
          </w:p>
        </w:tc>
        <w:tc>
          <w:tcPr>
            <w:tcW w:type="dxa" w:w="5083"/>
          </w:tcPr>
          <w:p>
            <w:r>
              <w:rPr>
                <w:rFonts w:ascii="Arial" w:hAnsi="Arial"/>
                <w:b/>
                <w:sz w:val="17"/>
              </w:rPr>
              <w:t>Registro mínimo</w:t>
            </w:r>
          </w:p>
        </w:tc>
      </w:tr>
      <w:tr>
        <w:trPr>
          <w:cantSplit/>
          <w:cantSplit/>
        </w:trPr>
        <w:tc>
          <w:tcPr>
            <w:tcW w:type="dxa" w:w="5083"/>
          </w:tcPr>
          <w:p>
            <w:r>
              <w:rPr>
                <w:rFonts w:ascii="Arial" w:hAnsi="Arial"/>
                <w:sz w:val="17"/>
              </w:rPr>
              <w:t>Ocorrência</w:t>
            </w:r>
          </w:p>
        </w:tc>
        <w:tc>
          <w:tcPr>
            <w:tcW w:type="dxa" w:w="5083"/>
          </w:tcPr>
          <w:p>
            <w:r>
              <w:rPr>
                <w:rFonts w:ascii="Arial" w:hAnsi="Arial"/>
                <w:sz w:val="17"/>
              </w:rPr>
              <w:t>data, local, unidade/lote, categoria, descrição, testemunhas/evidências e regra potencialmente violada.</w:t>
            </w:r>
          </w:p>
        </w:tc>
      </w:tr>
      <w:tr>
        <w:trPr>
          <w:cantSplit/>
          <w:cantSplit/>
        </w:trPr>
        <w:tc>
          <w:tcPr>
            <w:tcW w:type="dxa" w:w="5083"/>
          </w:tcPr>
          <w:p>
            <w:r>
              <w:rPr>
                <w:rFonts w:ascii="Arial" w:hAnsi="Arial"/>
                <w:sz w:val="17"/>
              </w:rPr>
              <w:t>Triagem IA</w:t>
            </w:r>
          </w:p>
        </w:tc>
        <w:tc>
          <w:tcPr>
            <w:tcW w:type="dxa" w:w="5083"/>
          </w:tcPr>
          <w:p>
            <w:r>
              <w:rPr>
                <w:rFonts w:ascii="Arial" w:hAnsi="Arial"/>
                <w:sz w:val="17"/>
              </w:rPr>
              <w:t>regra citada, reincidência aparente, gravidade e próxima ação sugerida; nunca “culpa automática”.</w:t>
            </w:r>
          </w:p>
        </w:tc>
      </w:tr>
      <w:tr>
        <w:trPr>
          <w:cantSplit/>
          <w:cantSplit/>
        </w:trPr>
        <w:tc>
          <w:tcPr>
            <w:tcW w:type="dxa" w:w="5083"/>
          </w:tcPr>
          <w:p>
            <w:r>
              <w:rPr>
                <w:rFonts w:ascii="Arial" w:hAnsi="Arial"/>
                <w:sz w:val="17"/>
              </w:rPr>
              <w:t>Notificação</w:t>
            </w:r>
          </w:p>
        </w:tc>
        <w:tc>
          <w:tcPr>
            <w:tcW w:type="dxa" w:w="5083"/>
          </w:tcPr>
          <w:p>
            <w:r>
              <w:rPr>
                <w:rFonts w:ascii="Arial" w:hAnsi="Arial"/>
                <w:sz w:val="17"/>
              </w:rPr>
              <w:t>modelo, fato, regra, prazo para manifestação e comprovante de envio.</w:t>
            </w:r>
          </w:p>
        </w:tc>
      </w:tr>
      <w:tr>
        <w:trPr>
          <w:cantSplit/>
          <w:cantSplit/>
        </w:trPr>
        <w:tc>
          <w:tcPr>
            <w:tcW w:type="dxa" w:w="5083"/>
          </w:tcPr>
          <w:p>
            <w:r>
              <w:rPr>
                <w:rFonts w:ascii="Arial" w:hAnsi="Arial"/>
                <w:sz w:val="17"/>
              </w:rPr>
              <w:t>Defesa</w:t>
            </w:r>
          </w:p>
        </w:tc>
        <w:tc>
          <w:tcPr>
            <w:tcW w:type="dxa" w:w="5083"/>
          </w:tcPr>
          <w:p>
            <w:r>
              <w:rPr>
                <w:rFonts w:ascii="Arial" w:hAnsi="Arial"/>
                <w:sz w:val="17"/>
              </w:rPr>
              <w:t>manifestação e documentos do notificado.</w:t>
            </w:r>
          </w:p>
        </w:tc>
      </w:tr>
      <w:tr>
        <w:trPr>
          <w:cantSplit/>
          <w:cantSplit/>
        </w:trPr>
        <w:tc>
          <w:tcPr>
            <w:tcW w:type="dxa" w:w="5083"/>
          </w:tcPr>
          <w:p>
            <w:r>
              <w:rPr>
                <w:rFonts w:ascii="Arial" w:hAnsi="Arial"/>
                <w:sz w:val="17"/>
              </w:rPr>
              <w:t>Decisão humana</w:t>
            </w:r>
          </w:p>
        </w:tc>
        <w:tc>
          <w:tcPr>
            <w:tcW w:type="dxa" w:w="5083"/>
          </w:tcPr>
          <w:p>
            <w:r>
              <w:rPr>
                <w:rFonts w:ascii="Arial" w:hAnsi="Arial"/>
                <w:sz w:val="17"/>
              </w:rPr>
              <w:t>síndico/órgão competente, fundamentação e resultado.</w:t>
            </w:r>
          </w:p>
        </w:tc>
      </w:tr>
      <w:tr>
        <w:trPr>
          <w:cantSplit/>
          <w:cantSplit/>
        </w:trPr>
        <w:tc>
          <w:tcPr>
            <w:tcW w:type="dxa" w:w="5083"/>
          </w:tcPr>
          <w:p>
            <w:r>
              <w:rPr>
                <w:rFonts w:ascii="Arial" w:hAnsi="Arial"/>
                <w:sz w:val="17"/>
              </w:rPr>
              <w:t>Sanção</w:t>
            </w:r>
          </w:p>
        </w:tc>
        <w:tc>
          <w:tcPr>
            <w:tcW w:type="dxa" w:w="5083"/>
          </w:tcPr>
          <w:p>
            <w:r>
              <w:rPr>
                <w:rFonts w:ascii="Arial" w:hAnsi="Arial"/>
                <w:sz w:val="17"/>
              </w:rPr>
              <w:t>advertência/multa/outro procedimento permitido, valor/base, vencimento e possibilidade de recurso.</w:t>
            </w:r>
          </w:p>
        </w:tc>
      </w:tr>
      <w:tr>
        <w:trPr>
          <w:cantSplit/>
          <w:cantSplit/>
        </w:trPr>
        <w:tc>
          <w:tcPr>
            <w:tcW w:type="dxa" w:w="5083"/>
          </w:tcPr>
          <w:p>
            <w:r>
              <w:rPr>
                <w:rFonts w:ascii="Arial" w:hAnsi="Arial"/>
                <w:sz w:val="17"/>
              </w:rPr>
              <w:t>Auditoria</w:t>
            </w:r>
          </w:p>
        </w:tc>
        <w:tc>
          <w:tcPr>
            <w:tcW w:type="dxa" w:w="5083"/>
          </w:tcPr>
          <w:p>
            <w:r>
              <w:rPr>
                <w:rFonts w:ascii="Arial" w:hAnsi="Arial"/>
                <w:sz w:val="17"/>
              </w:rPr>
              <w:t>quem consultou, alterou e decidiu; versões da regra usadas.</w:t>
            </w:r>
          </w:p>
        </w:tc>
      </w:tr>
    </w:tbl>
    <w:p>
      <w:pPr>
        <w:pStyle w:val="Heading2"/>
      </w:pPr>
      <w:r>
        <w:t>26.15 Manutenção, segurança e compliance predial</w:t>
      </w:r>
    </w:p>
    <w:p>
      <w:r>
        <w:t>O módulo deve manter um inventário de ativos e obrigações periódicas. A exigência concreta varia por estado, município, tipologia e sistemas existentes; por isso cada item deve ter fonte normativa/técnica e não uma periodicidade inventada pelo software.</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Família</w:t>
            </w:r>
          </w:p>
        </w:tc>
        <w:tc>
          <w:tcPr>
            <w:tcW w:type="dxa" w:w="5083"/>
          </w:tcPr>
          <w:p>
            <w:r>
              <w:rPr>
                <w:rFonts w:ascii="Arial" w:hAnsi="Arial"/>
                <w:b/>
                <w:sz w:val="17"/>
              </w:rPr>
              <w:t>Exemplos de controle</w:t>
            </w:r>
          </w:p>
        </w:tc>
      </w:tr>
      <w:tr>
        <w:trPr>
          <w:cantSplit/>
          <w:cantSplit/>
        </w:trPr>
        <w:tc>
          <w:tcPr>
            <w:tcW w:type="dxa" w:w="5083"/>
          </w:tcPr>
          <w:p>
            <w:r>
              <w:rPr>
                <w:rFonts w:ascii="Arial" w:hAnsi="Arial"/>
                <w:sz w:val="17"/>
              </w:rPr>
              <w:t>Incêndio/emergência</w:t>
            </w:r>
          </w:p>
        </w:tc>
        <w:tc>
          <w:tcPr>
            <w:tcW w:type="dxa" w:w="5083"/>
          </w:tcPr>
          <w:p>
            <w:r>
              <w:rPr>
                <w:rFonts w:ascii="Arial" w:hAnsi="Arial"/>
                <w:sz w:val="17"/>
              </w:rPr>
              <w:t>AVCB/CLCB ou documento equivalente, brigada, extintores, hidrantes, alarmes, iluminação, sinalização, rotas e planos.</w:t>
            </w:r>
          </w:p>
        </w:tc>
      </w:tr>
      <w:tr>
        <w:trPr>
          <w:cantSplit/>
          <w:cantSplit/>
        </w:trPr>
        <w:tc>
          <w:tcPr>
            <w:tcW w:type="dxa" w:w="5083"/>
          </w:tcPr>
          <w:p>
            <w:r>
              <w:rPr>
                <w:rFonts w:ascii="Arial" w:hAnsi="Arial"/>
                <w:sz w:val="17"/>
              </w:rPr>
              <w:t>Elevadores/transporte</w:t>
            </w:r>
          </w:p>
        </w:tc>
        <w:tc>
          <w:tcPr>
            <w:tcW w:type="dxa" w:w="5083"/>
          </w:tcPr>
          <w:p>
            <w:r>
              <w:rPr>
                <w:rFonts w:ascii="Arial" w:hAnsi="Arial"/>
                <w:sz w:val="17"/>
              </w:rPr>
              <w:t>contrato, inspeções, ocorrências, responsável e exigências locais.</w:t>
            </w:r>
          </w:p>
        </w:tc>
      </w:tr>
      <w:tr>
        <w:trPr>
          <w:cantSplit/>
          <w:cantSplit/>
        </w:trPr>
        <w:tc>
          <w:tcPr>
            <w:tcW w:type="dxa" w:w="5083"/>
          </w:tcPr>
          <w:p>
            <w:r>
              <w:rPr>
                <w:rFonts w:ascii="Arial" w:hAnsi="Arial"/>
                <w:sz w:val="17"/>
              </w:rPr>
              <w:t>Gás</w:t>
            </w:r>
          </w:p>
        </w:tc>
        <w:tc>
          <w:tcPr>
            <w:tcW w:type="dxa" w:w="5083"/>
          </w:tcPr>
          <w:p>
            <w:r>
              <w:rPr>
                <w:rFonts w:ascii="Arial" w:hAnsi="Arial"/>
                <w:sz w:val="17"/>
              </w:rPr>
              <w:t>central/rede, inspeções, estanqueidade, detectores quando aplicável, intervenções e emergências.</w:t>
            </w:r>
          </w:p>
        </w:tc>
      </w:tr>
      <w:tr>
        <w:trPr>
          <w:cantSplit/>
          <w:cantSplit/>
        </w:trPr>
        <w:tc>
          <w:tcPr>
            <w:tcW w:type="dxa" w:w="5083"/>
          </w:tcPr>
          <w:p>
            <w:r>
              <w:rPr>
                <w:rFonts w:ascii="Arial" w:hAnsi="Arial"/>
                <w:sz w:val="17"/>
              </w:rPr>
              <w:t>Elétrica/SPDA</w:t>
            </w:r>
          </w:p>
        </w:tc>
        <w:tc>
          <w:tcPr>
            <w:tcW w:type="dxa" w:w="5083"/>
          </w:tcPr>
          <w:p>
            <w:r>
              <w:rPr>
                <w:rFonts w:ascii="Arial" w:hAnsi="Arial"/>
                <w:sz w:val="17"/>
              </w:rPr>
              <w:t>quadros, aterramento, proteção, SPDA, geradores, carregadores veiculares e capacidade.</w:t>
            </w:r>
          </w:p>
        </w:tc>
      </w:tr>
      <w:tr>
        <w:trPr>
          <w:cantSplit/>
          <w:cantSplit/>
        </w:trPr>
        <w:tc>
          <w:tcPr>
            <w:tcW w:type="dxa" w:w="5083"/>
          </w:tcPr>
          <w:p>
            <w:r>
              <w:rPr>
                <w:rFonts w:ascii="Arial" w:hAnsi="Arial"/>
                <w:sz w:val="17"/>
              </w:rPr>
              <w:t>Água</w:t>
            </w:r>
          </w:p>
        </w:tc>
        <w:tc>
          <w:tcPr>
            <w:tcW w:type="dxa" w:w="5083"/>
          </w:tcPr>
          <w:p>
            <w:r>
              <w:rPr>
                <w:rFonts w:ascii="Arial" w:hAnsi="Arial"/>
                <w:sz w:val="17"/>
              </w:rPr>
              <w:t>reservatórios, bombas, potabilidade/limpeza quando exigida, medição e vazamentos.</w:t>
            </w:r>
          </w:p>
        </w:tc>
      </w:tr>
      <w:tr>
        <w:trPr>
          <w:cantSplit/>
          <w:cantSplit/>
        </w:trPr>
        <w:tc>
          <w:tcPr>
            <w:tcW w:type="dxa" w:w="5083"/>
          </w:tcPr>
          <w:p>
            <w:r>
              <w:rPr>
                <w:rFonts w:ascii="Arial" w:hAnsi="Arial"/>
                <w:sz w:val="17"/>
              </w:rPr>
              <w:t>HVAC/PMOC</w:t>
            </w:r>
          </w:p>
        </w:tc>
        <w:tc>
          <w:tcPr>
            <w:tcW w:type="dxa" w:w="5083"/>
          </w:tcPr>
          <w:p>
            <w:r>
              <w:rPr>
                <w:rFonts w:ascii="Arial" w:hAnsi="Arial"/>
                <w:sz w:val="17"/>
              </w:rPr>
              <w:t>equipamentos e obrigações conforme sistemas e legislação aplicável.</w:t>
            </w:r>
          </w:p>
        </w:tc>
      </w:tr>
      <w:tr>
        <w:trPr>
          <w:cantSplit/>
          <w:cantSplit/>
        </w:trPr>
        <w:tc>
          <w:tcPr>
            <w:tcW w:type="dxa" w:w="5083"/>
          </w:tcPr>
          <w:p>
            <w:r>
              <w:rPr>
                <w:rFonts w:ascii="Arial" w:hAnsi="Arial"/>
                <w:sz w:val="17"/>
              </w:rPr>
              <w:t>Estrutura/fachada</w:t>
            </w:r>
          </w:p>
        </w:tc>
        <w:tc>
          <w:tcPr>
            <w:tcW w:type="dxa" w:w="5083"/>
          </w:tcPr>
          <w:p>
            <w:r>
              <w:rPr>
                <w:rFonts w:ascii="Arial" w:hAnsi="Arial"/>
                <w:sz w:val="17"/>
              </w:rPr>
              <w:t>inspeções, patologias, impermeabilização, fachada, coberturas e laudos.</w:t>
            </w:r>
          </w:p>
        </w:tc>
      </w:tr>
      <w:tr>
        <w:trPr>
          <w:cantSplit/>
          <w:cantSplit/>
        </w:trPr>
        <w:tc>
          <w:tcPr>
            <w:tcW w:type="dxa" w:w="5083"/>
          </w:tcPr>
          <w:p>
            <w:r>
              <w:rPr>
                <w:rFonts w:ascii="Arial" w:hAnsi="Arial"/>
                <w:sz w:val="17"/>
              </w:rPr>
              <w:t>Piscina/lazer</w:t>
            </w:r>
          </w:p>
        </w:tc>
        <w:tc>
          <w:tcPr>
            <w:tcW w:type="dxa" w:w="5083"/>
          </w:tcPr>
          <w:p>
            <w:r>
              <w:rPr>
                <w:rFonts w:ascii="Arial" w:hAnsi="Arial"/>
                <w:sz w:val="17"/>
              </w:rPr>
              <w:t>qualidade, segurança, equipamentos e requisitos locais.</w:t>
            </w:r>
          </w:p>
        </w:tc>
      </w:tr>
      <w:tr>
        <w:trPr>
          <w:cantSplit/>
          <w:cantSplit/>
        </w:trPr>
        <w:tc>
          <w:tcPr>
            <w:tcW w:type="dxa" w:w="5083"/>
          </w:tcPr>
          <w:p>
            <w:r>
              <w:rPr>
                <w:rFonts w:ascii="Arial" w:hAnsi="Arial"/>
                <w:sz w:val="17"/>
              </w:rPr>
              <w:t>Acessibilidade</w:t>
            </w:r>
          </w:p>
        </w:tc>
        <w:tc>
          <w:tcPr>
            <w:tcW w:type="dxa" w:w="5083"/>
          </w:tcPr>
          <w:p>
            <w:r>
              <w:rPr>
                <w:rFonts w:ascii="Arial" w:hAnsi="Arial"/>
                <w:sz w:val="17"/>
              </w:rPr>
              <w:t>rotas, elevadores, vagas, sinalização e adequações.</w:t>
            </w:r>
          </w:p>
        </w:tc>
      </w:tr>
      <w:tr>
        <w:trPr>
          <w:cantSplit/>
          <w:cantSplit/>
        </w:trPr>
        <w:tc>
          <w:tcPr>
            <w:tcW w:type="dxa" w:w="5083"/>
          </w:tcPr>
          <w:p>
            <w:r>
              <w:rPr>
                <w:rFonts w:ascii="Arial" w:hAnsi="Arial"/>
                <w:sz w:val="17"/>
              </w:rPr>
              <w:t>Seguro</w:t>
            </w:r>
          </w:p>
        </w:tc>
        <w:tc>
          <w:tcPr>
            <w:tcW w:type="dxa" w:w="5083"/>
          </w:tcPr>
          <w:p>
            <w:r>
              <w:rPr>
                <w:rFonts w:ascii="Arial" w:hAnsi="Arial"/>
                <w:sz w:val="17"/>
              </w:rPr>
              <w:t>apólice, cobertura, vigência e sinistros; o Código Civil prevê seguro da edificação contra incêndio/destruição [R43].</w:t>
            </w:r>
          </w:p>
        </w:tc>
      </w:tr>
    </w:tbl>
    <w:p>
      <w:pPr>
        <w:pStyle w:val="Heading2"/>
      </w:pPr>
      <w:r>
        <w:t>26.16 Cadastro do condomínio, blocos, unidades e lotes</w:t>
      </w:r>
    </w:p>
    <w:p>
      <w:r>
        <w:t>O contexto da pergunta deve ser resolvido para o objeto correto. Uma regra pode valer para todo o condomínio, apenas uma torre, determinada garagem, conjunto de lotes ou área comum.</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Entidade</w:t>
            </w:r>
          </w:p>
        </w:tc>
        <w:tc>
          <w:tcPr>
            <w:tcW w:type="dxa" w:w="5083"/>
          </w:tcPr>
          <w:p>
            <w:r>
              <w:rPr>
                <w:rFonts w:ascii="Arial" w:hAnsi="Arial"/>
                <w:b/>
                <w:sz w:val="17"/>
              </w:rPr>
              <w:t>Campos essenciais</w:t>
            </w:r>
          </w:p>
        </w:tc>
      </w:tr>
      <w:tr>
        <w:trPr>
          <w:cantSplit/>
          <w:cantSplit/>
        </w:trPr>
        <w:tc>
          <w:tcPr>
            <w:tcW w:type="dxa" w:w="5083"/>
          </w:tcPr>
          <w:p>
            <w:r>
              <w:rPr>
                <w:rFonts w:ascii="Arial" w:hAnsi="Arial"/>
                <w:sz w:val="17"/>
              </w:rPr>
              <w:t>condominium</w:t>
            </w:r>
          </w:p>
        </w:tc>
        <w:tc>
          <w:tcPr>
            <w:tcW w:type="dxa" w:w="5083"/>
          </w:tcPr>
          <w:p>
            <w:r>
              <w:rPr>
                <w:rFonts w:ascii="Arial" w:hAnsi="Arial"/>
                <w:sz w:val="17"/>
              </w:rPr>
              <w:t>id, nome, CNPJ, endereço, tipo/regime, instituição, data de criação, status.</w:t>
            </w:r>
          </w:p>
        </w:tc>
      </w:tr>
      <w:tr>
        <w:trPr>
          <w:cantSplit/>
          <w:cantSplit/>
        </w:trPr>
        <w:tc>
          <w:tcPr>
            <w:tcW w:type="dxa" w:w="5083"/>
          </w:tcPr>
          <w:p>
            <w:r>
              <w:rPr>
                <w:rFonts w:ascii="Arial" w:hAnsi="Arial"/>
                <w:sz w:val="17"/>
              </w:rPr>
              <w:t>building/block</w:t>
            </w:r>
          </w:p>
        </w:tc>
        <w:tc>
          <w:tcPr>
            <w:tcW w:type="dxa" w:w="5083"/>
          </w:tcPr>
          <w:p>
            <w:r>
              <w:rPr>
                <w:rFonts w:ascii="Arial" w:hAnsi="Arial"/>
                <w:sz w:val="17"/>
              </w:rPr>
              <w:t>torre/bloco/setor, uso, pavimentos, sistemas e áreas comuns vinculadas.</w:t>
            </w:r>
          </w:p>
        </w:tc>
      </w:tr>
      <w:tr>
        <w:trPr>
          <w:cantSplit/>
          <w:cantSplit/>
        </w:trPr>
        <w:tc>
          <w:tcPr>
            <w:tcW w:type="dxa" w:w="5083"/>
          </w:tcPr>
          <w:p>
            <w:r>
              <w:rPr>
                <w:rFonts w:ascii="Arial" w:hAnsi="Arial"/>
                <w:sz w:val="17"/>
              </w:rPr>
              <w:t>unit/lot</w:t>
            </w:r>
          </w:p>
        </w:tc>
        <w:tc>
          <w:tcPr>
            <w:tcW w:type="dxa" w:w="5083"/>
          </w:tcPr>
          <w:p>
            <w:r>
              <w:rPr>
                <w:rFonts w:ascii="Arial" w:hAnsi="Arial"/>
                <w:sz w:val="17"/>
              </w:rPr>
              <w:t>identificador, bloco, área, fração ideal, destinação, vagas, proprietário/ocupante sob controle de acesso.</w:t>
            </w:r>
          </w:p>
        </w:tc>
      </w:tr>
      <w:tr>
        <w:trPr>
          <w:cantSplit/>
          <w:cantSplit/>
        </w:trPr>
        <w:tc>
          <w:tcPr>
            <w:tcW w:type="dxa" w:w="5083"/>
          </w:tcPr>
          <w:p>
            <w:r>
              <w:rPr>
                <w:rFonts w:ascii="Arial" w:hAnsi="Arial"/>
                <w:sz w:val="17"/>
              </w:rPr>
              <w:t>common_area</w:t>
            </w:r>
          </w:p>
        </w:tc>
        <w:tc>
          <w:tcPr>
            <w:tcW w:type="dxa" w:w="5083"/>
          </w:tcPr>
          <w:p>
            <w:r>
              <w:rPr>
                <w:rFonts w:ascii="Arial" w:hAnsi="Arial"/>
                <w:sz w:val="17"/>
              </w:rPr>
              <w:t>nome, tipo, capacidade, regras de reserva, horários, equipamentos e localização.</w:t>
            </w:r>
          </w:p>
        </w:tc>
      </w:tr>
      <w:tr>
        <w:trPr>
          <w:cantSplit/>
          <w:cantSplit/>
        </w:trPr>
        <w:tc>
          <w:tcPr>
            <w:tcW w:type="dxa" w:w="5083"/>
          </w:tcPr>
          <w:p>
            <w:r>
              <w:rPr>
                <w:rFonts w:ascii="Arial" w:hAnsi="Arial"/>
                <w:sz w:val="17"/>
              </w:rPr>
              <w:t>parking_space</w:t>
            </w:r>
          </w:p>
        </w:tc>
        <w:tc>
          <w:tcPr>
            <w:tcW w:type="dxa" w:w="5083"/>
          </w:tcPr>
          <w:p>
            <w:r>
              <w:rPr>
                <w:rFonts w:ascii="Arial" w:hAnsi="Arial"/>
                <w:sz w:val="17"/>
              </w:rPr>
              <w:t>identificador, natureza, vínculo com unidade, dimensões/limitações quando cadastradas.</w:t>
            </w:r>
          </w:p>
        </w:tc>
      </w:tr>
      <w:tr>
        <w:trPr>
          <w:cantSplit/>
          <w:cantSplit/>
        </w:trPr>
        <w:tc>
          <w:tcPr>
            <w:tcW w:type="dxa" w:w="5083"/>
          </w:tcPr>
          <w:p>
            <w:r>
              <w:rPr>
                <w:rFonts w:ascii="Arial" w:hAnsi="Arial"/>
                <w:sz w:val="17"/>
              </w:rPr>
              <w:t>asset</w:t>
            </w:r>
          </w:p>
        </w:tc>
        <w:tc>
          <w:tcPr>
            <w:tcW w:type="dxa" w:w="5083"/>
          </w:tcPr>
          <w:p>
            <w:r>
              <w:rPr>
                <w:rFonts w:ascii="Arial" w:hAnsi="Arial"/>
                <w:sz w:val="17"/>
              </w:rPr>
              <w:t>elevador, bomba, gerador, portão, piscina, HVAC, SPDA etc.; manutenção e documentos.</w:t>
            </w:r>
          </w:p>
        </w:tc>
      </w:tr>
    </w:tbl>
    <w:p>
      <w:pPr>
        <w:pStyle w:val="Heading2"/>
      </w:pPr>
      <w:r>
        <w:t>26.17 Knowledge graph condominial</w:t>
      </w:r>
    </w:p>
    <w:tbl>
      <w:tblPr>
        <w:tblStyle w:val="TableGrid"/>
        <w:tblW w:type="auto" w:w="0"/>
        <w:tblLook w:firstColumn="1" w:firstRow="1" w:lastColumn="0" w:lastRow="0" w:noHBand="0" w:noVBand="1" w:val="04A0"/>
      </w:tblPr>
      <w:tblGrid>
        <w:gridCol w:w="10166"/>
      </w:tblGrid>
      <w:tr>
        <w:trPr>
          <w:tblHeader w:val="true"/>
          <w:cantSplit/>
        </w:trPr>
        <w:tc>
          <w:tcPr>
            <w:tcW w:type="dxa" w:w="10166"/>
          </w:tcPr>
          <w:p>
            <w:r>
              <w:rPr>
                <w:rFonts w:ascii="Consolas" w:hAnsi="Consolas"/>
                <w:sz w:val="17"/>
              </w:rPr>
              <w:t>CONDOMÍNIO</w:t>
              <w:br/>
              <w:t>├── blocos/torres/lotes</w:t>
              <w:br/>
              <w:t>│   └── unidades / frações / vagas</w:t>
              <w:br/>
              <w:t>├── documentos</w:t>
              <w:br/>
              <w:t>│   ├── instituição / convenção</w:t>
              <w:br/>
              <w:t>│   ├── regimento</w:t>
              <w:br/>
              <w:t>│   ├── atas / editais</w:t>
              <w:br/>
              <w:t>│   ├── manuais / projetos / laudos</w:t>
              <w:br/>
              <w:t>│   └── contratos / licenças</w:t>
              <w:br/>
              <w:t>├── regras versionadas</w:t>
              <w:br/>
              <w:t>│   ├── tema</w:t>
              <w:br/>
              <w:t>│   ├── vigência</w:t>
              <w:br/>
              <w:t>│   ├── fonte / cláusula</w:t>
              <w:br/>
              <w:t>│   └── conflitos / substituições</w:t>
              <w:br/>
              <w:t>├── assembleias → pautas → votos → deliberações</w:t>
              <w:br/>
              <w:t>├── obras/solicitações → documentos → aprovações</w:t>
              <w:br/>
              <w:t>├── ocorrências → notificações → decisões</w:t>
              <w:br/>
              <w:t>└── ativos → inspeções → manutenção → alertas</w:t>
            </w:r>
          </w:p>
        </w:tc>
      </w:tr>
    </w:tbl>
    <w:p>
      <w:pPr>
        <w:pStyle w:val="Heading2"/>
      </w:pPr>
      <w:r>
        <w:t>26.18 Integração com LoteDiretor e Imóvel 360</w:t>
      </w:r>
    </w:p>
    <w:p>
      <w:r>
        <w:t>O módulo Condomínio não deve ser um silo. Ele usa o núcleo territorial para validar se uma regra interna é compatível com a legislação pública e usa o Imóvel 360 para contexto imobiliário/cadastral.</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Integração</w:t>
            </w:r>
          </w:p>
        </w:tc>
        <w:tc>
          <w:tcPr>
            <w:tcW w:type="dxa" w:w="5083"/>
          </w:tcPr>
          <w:p>
            <w:r>
              <w:rPr>
                <w:rFonts w:ascii="Arial" w:hAnsi="Arial"/>
                <w:b/>
                <w:sz w:val="17"/>
              </w:rPr>
              <w:t>Exemplo</w:t>
            </w:r>
          </w:p>
        </w:tc>
      </w:tr>
      <w:tr>
        <w:trPr>
          <w:cantSplit/>
          <w:cantSplit/>
        </w:trPr>
        <w:tc>
          <w:tcPr>
            <w:tcW w:type="dxa" w:w="5083"/>
          </w:tcPr>
          <w:p>
            <w:r>
              <w:rPr>
                <w:rFonts w:ascii="Arial" w:hAnsi="Arial"/>
                <w:sz w:val="17"/>
              </w:rPr>
              <w:t>LoteDiretor urbanístico</w:t>
            </w:r>
          </w:p>
        </w:tc>
        <w:tc>
          <w:tcPr>
            <w:tcW w:type="dxa" w:w="5083"/>
          </w:tcPr>
          <w:p>
            <w:r>
              <w:rPr>
                <w:rFonts w:ascii="Arial" w:hAnsi="Arial"/>
                <w:sz w:val="17"/>
              </w:rPr>
              <w:t>Convenção permite determinada ampliação, mas zoneamento/gabarito/recuo municipal não permite → resposta final PROIBIDO pela regra externa.</w:t>
            </w:r>
          </w:p>
        </w:tc>
      </w:tr>
      <w:tr>
        <w:trPr>
          <w:cantSplit/>
          <w:cantSplit/>
        </w:trPr>
        <w:tc>
          <w:tcPr>
            <w:tcW w:type="dxa" w:w="5083"/>
          </w:tcPr>
          <w:p>
            <w:r>
              <w:rPr>
                <w:rFonts w:ascii="Arial" w:hAnsi="Arial"/>
                <w:sz w:val="17"/>
              </w:rPr>
              <w:t>Código de Obras/licenciamento</w:t>
            </w:r>
          </w:p>
        </w:tc>
        <w:tc>
          <w:tcPr>
            <w:tcW w:type="dxa" w:w="5083"/>
          </w:tcPr>
          <w:p>
            <w:r>
              <w:rPr>
                <w:rFonts w:ascii="Arial" w:hAnsi="Arial"/>
                <w:sz w:val="17"/>
              </w:rPr>
              <w:t>Obra interna permitida pelo condomínio pode exigir aprovação/licença pública.</w:t>
            </w:r>
          </w:p>
        </w:tc>
      </w:tr>
      <w:tr>
        <w:trPr>
          <w:cantSplit/>
          <w:cantSplit/>
        </w:trPr>
        <w:tc>
          <w:tcPr>
            <w:tcW w:type="dxa" w:w="5083"/>
          </w:tcPr>
          <w:p>
            <w:r>
              <w:rPr>
                <w:rFonts w:ascii="Arial" w:hAnsi="Arial"/>
                <w:sz w:val="17"/>
              </w:rPr>
              <w:t>Patrimônio/fachada</w:t>
            </w:r>
          </w:p>
        </w:tc>
        <w:tc>
          <w:tcPr>
            <w:tcW w:type="dxa" w:w="5083"/>
          </w:tcPr>
          <w:p>
            <w:r>
              <w:rPr>
                <w:rFonts w:ascii="Arial" w:hAnsi="Arial"/>
                <w:sz w:val="17"/>
              </w:rPr>
              <w:t>Padrão interno pode ser mais permissivo que tombamento/entorno → prevalece restrição pública.</w:t>
            </w:r>
          </w:p>
        </w:tc>
      </w:tr>
      <w:tr>
        <w:trPr>
          <w:cantSplit/>
          <w:cantSplit/>
        </w:trPr>
        <w:tc>
          <w:tcPr>
            <w:tcW w:type="dxa" w:w="5083"/>
          </w:tcPr>
          <w:p>
            <w:r>
              <w:rPr>
                <w:rFonts w:ascii="Arial" w:hAnsi="Arial"/>
                <w:sz w:val="17"/>
              </w:rPr>
              <w:t>Imóvel 360</w:t>
            </w:r>
          </w:p>
        </w:tc>
        <w:tc>
          <w:tcPr>
            <w:tcW w:type="dxa" w:w="5083"/>
          </w:tcPr>
          <w:p>
            <w:r>
              <w:rPr>
                <w:rFonts w:ascii="Arial" w:hAnsi="Arial"/>
                <w:sz w:val="17"/>
              </w:rPr>
              <w:t>Ficha da unidade/empreendimento, mercado, cadastro, documentos, vagas e histórico podem abrir o contexto Condômino/Condomínio.</w:t>
            </w:r>
          </w:p>
        </w:tc>
      </w:tr>
      <w:tr>
        <w:trPr>
          <w:cantSplit/>
          <w:cantSplit/>
        </w:trPr>
        <w:tc>
          <w:tcPr>
            <w:tcW w:type="dxa" w:w="5083"/>
          </w:tcPr>
          <w:p>
            <w:r>
              <w:rPr>
                <w:rFonts w:ascii="Arial" w:hAnsi="Arial"/>
                <w:sz w:val="17"/>
              </w:rPr>
              <w:t>Engenharia</w:t>
            </w:r>
          </w:p>
        </w:tc>
        <w:tc>
          <w:tcPr>
            <w:tcW w:type="dxa" w:w="5083"/>
          </w:tcPr>
          <w:p>
            <w:r>
              <w:rPr>
                <w:rFonts w:ascii="Arial" w:hAnsi="Arial"/>
                <w:sz w:val="17"/>
              </w:rPr>
              <w:t>Projetos, ART/RRT, laudos e plantas vinculam-se às solicitações de obra e ao imóvel.</w:t>
            </w:r>
          </w:p>
        </w:tc>
      </w:tr>
      <w:tr>
        <w:trPr>
          <w:cantSplit/>
          <w:cantSplit/>
        </w:trPr>
        <w:tc>
          <w:tcPr>
            <w:tcW w:type="dxa" w:w="5083"/>
          </w:tcPr>
          <w:p>
            <w:r>
              <w:rPr>
                <w:rFonts w:ascii="Arial" w:hAnsi="Arial"/>
                <w:sz w:val="17"/>
              </w:rPr>
              <w:t>RE Rural</w:t>
            </w:r>
          </w:p>
        </w:tc>
        <w:tc>
          <w:tcPr>
            <w:tcW w:type="dxa" w:w="5083"/>
          </w:tcPr>
          <w:p>
            <w:r>
              <w:rPr>
                <w:rFonts w:ascii="Arial" w:hAnsi="Arial"/>
                <w:sz w:val="17"/>
              </w:rPr>
              <w:t>Em condomínios de lotes/periurbanos, restrições ambientais/fundiárias podem complementar a análise territorial.</w:t>
            </w:r>
          </w:p>
        </w:tc>
      </w:tr>
    </w:tbl>
    <w:p>
      <w:pPr>
        <w:pStyle w:val="Heading2"/>
      </w:pPr>
      <w:r>
        <w:t>26.19 Relatório Condomínio 360 — composição completa</w:t>
      </w:r>
    </w:p>
    <w:p>
      <w:r>
        <w:t>1. Capa, condomínio, unidade/lote analisado, solicitante, data-base e ID da análise.</w:t>
      </w:r>
    </w:p>
    <w:p>
      <w:r>
        <w:t>2. Regime e identificação: vertical/horizontal/lotes/misto, instituição e cadastro básico.</w:t>
      </w:r>
    </w:p>
    <w:p>
      <w:r>
        <w:t>3. Inventário documental com versão, data, status, hash e lacunas.</w:t>
      </w:r>
    </w:p>
    <w:p>
      <w:r>
        <w:t>4. Hierarquia normativa e documentos considerados vigentes.</w:t>
      </w:r>
    </w:p>
    <w:p>
      <w:r>
        <w:t>5. Resumo executivo: principais permissões, proibições, condicionantes e conflitos.</w:t>
      </w:r>
    </w:p>
    <w:p>
      <w:r>
        <w:t>6. Regras por tema: uso, obras, fachada, locação, animais, ruído, áreas comuns, garagem e segurança.</w:t>
      </w:r>
    </w:p>
    <w:p>
      <w:r>
        <w:t>7. Obras/reformas: requisitos, documentos e workflow aplicável à unidade/lote.</w:t>
      </w:r>
    </w:p>
    <w:p>
      <w:r>
        <w:t>8. Regras construtivas específicas do horizontal/lotes, quando aplicável.</w:t>
      </w:r>
    </w:p>
    <w:p>
      <w:r>
        <w:t>9. Histórico de assembleias e deliberações relevantes.</w:t>
      </w:r>
    </w:p>
    <w:p>
      <w:r>
        <w:t>10. Quóruns: decisões críticas, status e pontos que exigem validação.</w:t>
      </w:r>
    </w:p>
    <w:p>
      <w:r>
        <w:t>11. Ocorrências/sanções relacionadas ao objeto, somente conforme perfil e finalidade.</w:t>
      </w:r>
    </w:p>
    <w:p>
      <w:r>
        <w:t>12. Manutenção/compliance: certificados, ativos, vencimentos e pendências.</w:t>
      </w:r>
    </w:p>
    <w:p>
      <w:r>
        <w:t>13. Financeiro relevante: rateios/fundos/deliberações, quando autorizado.</w:t>
      </w:r>
    </w:p>
    <w:p>
      <w:r>
        <w:t>14. Compatibilidade com LoteDiretor: legislação pública × regra interna.</w:t>
      </w:r>
    </w:p>
    <w:p>
      <w:r>
        <w:t>15. Checklist de compra/locação: restrições que o interessado deve conhecer.</w:t>
      </w:r>
    </w:p>
    <w:p>
      <w:r>
        <w:t>16. Checklist de diligências pendentes: documento faltante, registro, ata, laudo, aprovação ou consulta externa.</w:t>
      </w:r>
    </w:p>
    <w:p>
      <w:r>
        <w:t>17. Perguntas frequentes específicas daquele condomínio, geradas a partir das regras vigentes.</w:t>
      </w:r>
    </w:p>
    <w:p>
      <w:r>
        <w:t>18. Anexo de evidências: página/cláusula, documento, data, hash, regra externa e confiança.</w:t>
      </w:r>
    </w:p>
    <w:p>
      <w:pPr>
        <w:pStyle w:val="Heading2"/>
      </w:pPr>
      <w:r>
        <w:t>26.20 Arquitetura técnica do módulo Condomínio</w:t>
      </w:r>
    </w:p>
    <w:tbl>
      <w:tblPr>
        <w:tblStyle w:val="TableGrid"/>
        <w:tblW w:type="auto" w:w="0"/>
        <w:tblLook w:firstColumn="1" w:firstRow="1" w:lastColumn="0" w:lastRow="0" w:noHBand="0" w:noVBand="1" w:val="04A0"/>
      </w:tblPr>
      <w:tblGrid>
        <w:gridCol w:w="10166"/>
      </w:tblGrid>
      <w:tr>
        <w:trPr>
          <w:tblHeader w:val="true"/>
          <w:cantSplit/>
        </w:trPr>
        <w:tc>
          <w:tcPr>
            <w:tcW w:type="dxa" w:w="10166"/>
          </w:tcPr>
          <w:p>
            <w:r>
              <w:rPr>
                <w:rFonts w:ascii="Consolas" w:hAnsi="Consolas"/>
                <w:sz w:val="17"/>
              </w:rPr>
              <w:t>WEB / MOBILE / PORTAL DO SÍNDICO</w:t>
              <w:br/>
              <w:t xml:space="preserve">          ↓</w:t>
              <w:br/>
              <w:t>API Gateway + Auth + tenant/workspace</w:t>
              <w:br/>
              <w:t xml:space="preserve">          ↓</w:t>
              <w:br/>
              <w:t>Condominium Service ── Units / Areas / Roles</w:t>
              <w:br/>
              <w:t xml:space="preserve">          ↓</w:t>
              <w:br/>
              <w:t>Document Intake ── antivirus ── OCR/Layout ── Object Storage</w:t>
              <w:br/>
              <w:t xml:space="preserve">          ↓</w:t>
              <w:br/>
              <w:t>Document Intelligence</w:t>
              <w:br/>
              <w:t xml:space="preserve">  ├── parser de cláusulas</w:t>
              <w:br/>
              <w:t xml:space="preserve">  ├── parser de atas/quóruns</w:t>
              <w:br/>
              <w:t xml:space="preserve">  ├── versionamento temporal</w:t>
              <w:br/>
              <w:t xml:space="preserve">  └── classificação/entidades</w:t>
              <w:br/>
              <w:t xml:space="preserve">          ↓</w:t>
              <w:br/>
              <w:t>Search híbrida: PostgreSQL/OpenSearch + pgvector</w:t>
              <w:br/>
              <w:t xml:space="preserve">          ↓</w:t>
              <w:br/>
              <w:t>Rule Engine + Quorum Engine + Evidence Engine</w:t>
              <w:br/>
              <w:t xml:space="preserve">          ↓</w:t>
              <w:br/>
              <w:t>LLM Gateway / RAG com citações obrigatórias</w:t>
              <w:br/>
              <w:t xml:space="preserve">          ↓</w:t>
              <w:br/>
              <w:t>Chat IA | Obras | Assembleias | Relatórios | Alertas</w:t>
              <w:br/>
              <w:t xml:space="preserve">          ↓</w:t>
              <w:br/>
              <w:t>Audit Log + LGPD + observabilidade</w:t>
            </w:r>
          </w:p>
        </w:tc>
      </w:tr>
    </w:tbl>
    <w:p>
      <w:r>
        <w:t>Infraestrutura recomendada: PostgreSQL para entidades/regras; object storage S3-compatível para originais; PostGIS quando houver plantas/geometrias/áreas; índice textual (OpenSearch ou equivalente) para busca; pgvector ou índice vetorial compatível para recuperação semântica; fila assíncrona para OCR/processamento; serviço de antivírus; e gateway de LLM com isolamento por tenant, políticas de retenção e logging de evidências.</w:t>
      </w:r>
    </w:p>
    <w:p>
      <w:pPr>
        <w:pStyle w:val="Heading2"/>
      </w:pPr>
      <w:r>
        <w:t>26.21 Modelo de dados recomendado</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Domínio/tabela</w:t>
            </w:r>
          </w:p>
        </w:tc>
        <w:tc>
          <w:tcPr>
            <w:tcW w:type="dxa" w:w="5083"/>
          </w:tcPr>
          <w:p>
            <w:r>
              <w:rPr>
                <w:rFonts w:ascii="Arial" w:hAnsi="Arial"/>
                <w:b/>
                <w:sz w:val="17"/>
              </w:rPr>
              <w:t>Função</w:t>
            </w:r>
          </w:p>
        </w:tc>
      </w:tr>
      <w:tr>
        <w:trPr>
          <w:cantSplit/>
          <w:cantSplit/>
        </w:trPr>
        <w:tc>
          <w:tcPr>
            <w:tcW w:type="dxa" w:w="5083"/>
          </w:tcPr>
          <w:p>
            <w:r>
              <w:rPr>
                <w:rFonts w:ascii="Arial" w:hAnsi="Arial"/>
                <w:sz w:val="17"/>
              </w:rPr>
              <w:t>condo.condominium</w:t>
            </w:r>
          </w:p>
        </w:tc>
        <w:tc>
          <w:tcPr>
            <w:tcW w:type="dxa" w:w="5083"/>
          </w:tcPr>
          <w:p>
            <w:r>
              <w:rPr>
                <w:rFonts w:ascii="Arial" w:hAnsi="Arial"/>
                <w:sz w:val="17"/>
              </w:rPr>
              <w:t>empreendimento, regime, endereço, CNPJ, status e configuração.</w:t>
            </w:r>
          </w:p>
        </w:tc>
      </w:tr>
      <w:tr>
        <w:trPr>
          <w:cantSplit/>
          <w:cantSplit/>
        </w:trPr>
        <w:tc>
          <w:tcPr>
            <w:tcW w:type="dxa" w:w="5083"/>
          </w:tcPr>
          <w:p>
            <w:r>
              <w:rPr>
                <w:rFonts w:ascii="Arial" w:hAnsi="Arial"/>
                <w:sz w:val="17"/>
              </w:rPr>
              <w:t>condo.block / condo.unit / condo.lot</w:t>
            </w:r>
          </w:p>
        </w:tc>
        <w:tc>
          <w:tcPr>
            <w:tcW w:type="dxa" w:w="5083"/>
          </w:tcPr>
          <w:p>
            <w:r>
              <w:rPr>
                <w:rFonts w:ascii="Arial" w:hAnsi="Arial"/>
                <w:sz w:val="17"/>
              </w:rPr>
              <w:t>torres/blocos, unidades/lotes, frações e contexto.</w:t>
            </w:r>
          </w:p>
        </w:tc>
      </w:tr>
      <w:tr>
        <w:trPr>
          <w:cantSplit/>
          <w:cantSplit/>
        </w:trPr>
        <w:tc>
          <w:tcPr>
            <w:tcW w:type="dxa" w:w="5083"/>
          </w:tcPr>
          <w:p>
            <w:r>
              <w:rPr>
                <w:rFonts w:ascii="Arial" w:hAnsi="Arial"/>
                <w:sz w:val="17"/>
              </w:rPr>
              <w:t>condo.common_area / parking_space</w:t>
            </w:r>
          </w:p>
        </w:tc>
        <w:tc>
          <w:tcPr>
            <w:tcW w:type="dxa" w:w="5083"/>
          </w:tcPr>
          <w:p>
            <w:r>
              <w:rPr>
                <w:rFonts w:ascii="Arial" w:hAnsi="Arial"/>
                <w:sz w:val="17"/>
              </w:rPr>
              <w:t>áreas comuns e vagas.</w:t>
            </w:r>
          </w:p>
        </w:tc>
      </w:tr>
      <w:tr>
        <w:trPr>
          <w:cantSplit/>
          <w:cantSplit/>
        </w:trPr>
        <w:tc>
          <w:tcPr>
            <w:tcW w:type="dxa" w:w="5083"/>
          </w:tcPr>
          <w:p>
            <w:r>
              <w:rPr>
                <w:rFonts w:ascii="Arial" w:hAnsi="Arial"/>
                <w:sz w:val="17"/>
              </w:rPr>
              <w:t>condo.document</w:t>
            </w:r>
          </w:p>
        </w:tc>
        <w:tc>
          <w:tcPr>
            <w:tcW w:type="dxa" w:w="5083"/>
          </w:tcPr>
          <w:p>
            <w:r>
              <w:rPr>
                <w:rFonts w:ascii="Arial" w:hAnsi="Arial"/>
                <w:sz w:val="17"/>
              </w:rPr>
              <w:t>metadados do documento lógico.</w:t>
            </w:r>
          </w:p>
        </w:tc>
      </w:tr>
      <w:tr>
        <w:trPr>
          <w:cantSplit/>
          <w:cantSplit/>
        </w:trPr>
        <w:tc>
          <w:tcPr>
            <w:tcW w:type="dxa" w:w="5083"/>
          </w:tcPr>
          <w:p>
            <w:r>
              <w:rPr>
                <w:rFonts w:ascii="Arial" w:hAnsi="Arial"/>
                <w:sz w:val="17"/>
              </w:rPr>
              <w:t>condo.document_version</w:t>
            </w:r>
          </w:p>
        </w:tc>
        <w:tc>
          <w:tcPr>
            <w:tcW w:type="dxa" w:w="5083"/>
          </w:tcPr>
          <w:p>
            <w:r>
              <w:rPr>
                <w:rFonts w:ascii="Arial" w:hAnsi="Arial"/>
                <w:sz w:val="17"/>
              </w:rPr>
              <w:t>arquivo original, hash, versão, data, status, assinatura/registro informado.</w:t>
            </w:r>
          </w:p>
        </w:tc>
      </w:tr>
      <w:tr>
        <w:trPr>
          <w:cantSplit/>
          <w:cantSplit/>
        </w:trPr>
        <w:tc>
          <w:tcPr>
            <w:tcW w:type="dxa" w:w="5083"/>
          </w:tcPr>
          <w:p>
            <w:r>
              <w:rPr>
                <w:rFonts w:ascii="Arial" w:hAnsi="Arial"/>
                <w:sz w:val="17"/>
              </w:rPr>
              <w:t>condo.document_page / clause</w:t>
            </w:r>
          </w:p>
        </w:tc>
        <w:tc>
          <w:tcPr>
            <w:tcW w:type="dxa" w:w="5083"/>
          </w:tcPr>
          <w:p>
            <w:r>
              <w:rPr>
                <w:rFonts w:ascii="Arial" w:hAnsi="Arial"/>
                <w:sz w:val="17"/>
              </w:rPr>
              <w:t>OCR/layout, texto, página, cláusula, bbox e indexação.</w:t>
            </w:r>
          </w:p>
        </w:tc>
      </w:tr>
      <w:tr>
        <w:trPr>
          <w:cantSplit/>
          <w:cantSplit/>
        </w:trPr>
        <w:tc>
          <w:tcPr>
            <w:tcW w:type="dxa" w:w="5083"/>
          </w:tcPr>
          <w:p>
            <w:r>
              <w:rPr>
                <w:rFonts w:ascii="Arial" w:hAnsi="Arial"/>
                <w:sz w:val="17"/>
              </w:rPr>
              <w:t>condo.rule / rule_version</w:t>
            </w:r>
          </w:p>
        </w:tc>
        <w:tc>
          <w:tcPr>
            <w:tcW w:type="dxa" w:w="5083"/>
          </w:tcPr>
          <w:p>
            <w:r>
              <w:rPr>
                <w:rFonts w:ascii="Arial" w:hAnsi="Arial"/>
                <w:sz w:val="17"/>
              </w:rPr>
              <w:t>regra normalizada, tema, decisão, condições, vigência e evidência.</w:t>
            </w:r>
          </w:p>
        </w:tc>
      </w:tr>
      <w:tr>
        <w:trPr>
          <w:cantSplit/>
          <w:cantSplit/>
        </w:trPr>
        <w:tc>
          <w:tcPr>
            <w:tcW w:type="dxa" w:w="5083"/>
          </w:tcPr>
          <w:p>
            <w:r>
              <w:rPr>
                <w:rFonts w:ascii="Arial" w:hAnsi="Arial"/>
                <w:sz w:val="17"/>
              </w:rPr>
              <w:t>condo.assembly / agenda_item</w:t>
            </w:r>
          </w:p>
        </w:tc>
        <w:tc>
          <w:tcPr>
            <w:tcW w:type="dxa" w:w="5083"/>
          </w:tcPr>
          <w:p>
            <w:r>
              <w:rPr>
                <w:rFonts w:ascii="Arial" w:hAnsi="Arial"/>
                <w:sz w:val="17"/>
              </w:rPr>
              <w:t>assembleia, convocação, pauta e documentos.</w:t>
            </w:r>
          </w:p>
        </w:tc>
      </w:tr>
      <w:tr>
        <w:trPr>
          <w:cantSplit/>
          <w:cantSplit/>
        </w:trPr>
        <w:tc>
          <w:tcPr>
            <w:tcW w:type="dxa" w:w="5083"/>
          </w:tcPr>
          <w:p>
            <w:r>
              <w:rPr>
                <w:rFonts w:ascii="Arial" w:hAnsi="Arial"/>
                <w:sz w:val="17"/>
              </w:rPr>
              <w:t>condo.attendance / vote / resolution</w:t>
            </w:r>
          </w:p>
        </w:tc>
        <w:tc>
          <w:tcPr>
            <w:tcW w:type="dxa" w:w="5083"/>
          </w:tcPr>
          <w:p>
            <w:r>
              <w:rPr>
                <w:rFonts w:ascii="Arial" w:hAnsi="Arial"/>
                <w:sz w:val="17"/>
              </w:rPr>
              <w:t>presença, frações/votos, quórum e deliberação.</w:t>
            </w:r>
          </w:p>
        </w:tc>
      </w:tr>
      <w:tr>
        <w:trPr>
          <w:cantSplit/>
          <w:cantSplit/>
        </w:trPr>
        <w:tc>
          <w:tcPr>
            <w:tcW w:type="dxa" w:w="5083"/>
          </w:tcPr>
          <w:p>
            <w:r>
              <w:rPr>
                <w:rFonts w:ascii="Arial" w:hAnsi="Arial"/>
                <w:sz w:val="17"/>
              </w:rPr>
              <w:t>condo.work_request</w:t>
            </w:r>
          </w:p>
        </w:tc>
        <w:tc>
          <w:tcPr>
            <w:tcW w:type="dxa" w:w="5083"/>
          </w:tcPr>
          <w:p>
            <w:r>
              <w:rPr>
                <w:rFonts w:ascii="Arial" w:hAnsi="Arial"/>
                <w:sz w:val="17"/>
              </w:rPr>
              <w:t>reforma/obra e workflow.</w:t>
            </w:r>
          </w:p>
        </w:tc>
      </w:tr>
      <w:tr>
        <w:trPr>
          <w:cantSplit/>
          <w:cantSplit/>
        </w:trPr>
        <w:tc>
          <w:tcPr>
            <w:tcW w:type="dxa" w:w="5083"/>
          </w:tcPr>
          <w:p>
            <w:r>
              <w:rPr>
                <w:rFonts w:ascii="Arial" w:hAnsi="Arial"/>
                <w:sz w:val="17"/>
              </w:rPr>
              <w:t>condo.technical_document</w:t>
            </w:r>
          </w:p>
        </w:tc>
        <w:tc>
          <w:tcPr>
            <w:tcW w:type="dxa" w:w="5083"/>
          </w:tcPr>
          <w:p>
            <w:r>
              <w:rPr>
                <w:rFonts w:ascii="Arial" w:hAnsi="Arial"/>
                <w:sz w:val="17"/>
              </w:rPr>
              <w:t>ART/RRT, projeto, laudo, responsável e validade.</w:t>
            </w:r>
          </w:p>
        </w:tc>
      </w:tr>
      <w:tr>
        <w:trPr>
          <w:cantSplit/>
          <w:cantSplit/>
        </w:trPr>
        <w:tc>
          <w:tcPr>
            <w:tcW w:type="dxa" w:w="5083"/>
          </w:tcPr>
          <w:p>
            <w:r>
              <w:rPr>
                <w:rFonts w:ascii="Arial" w:hAnsi="Arial"/>
                <w:sz w:val="17"/>
              </w:rPr>
              <w:t>condo.incident / notice / sanction</w:t>
            </w:r>
          </w:p>
        </w:tc>
        <w:tc>
          <w:tcPr>
            <w:tcW w:type="dxa" w:w="5083"/>
          </w:tcPr>
          <w:p>
            <w:r>
              <w:rPr>
                <w:rFonts w:ascii="Arial" w:hAnsi="Arial"/>
                <w:sz w:val="17"/>
              </w:rPr>
              <w:t>ocorrência, notificação, defesa e decisão.</w:t>
            </w:r>
          </w:p>
        </w:tc>
      </w:tr>
      <w:tr>
        <w:trPr>
          <w:cantSplit/>
          <w:cantSplit/>
        </w:trPr>
        <w:tc>
          <w:tcPr>
            <w:tcW w:type="dxa" w:w="5083"/>
          </w:tcPr>
          <w:p>
            <w:r>
              <w:rPr>
                <w:rFonts w:ascii="Arial" w:hAnsi="Arial"/>
                <w:sz w:val="17"/>
              </w:rPr>
              <w:t>condo.asset / inspection / maintenance</w:t>
            </w:r>
          </w:p>
        </w:tc>
        <w:tc>
          <w:tcPr>
            <w:tcW w:type="dxa" w:w="5083"/>
          </w:tcPr>
          <w:p>
            <w:r>
              <w:rPr>
                <w:rFonts w:ascii="Arial" w:hAnsi="Arial"/>
                <w:sz w:val="17"/>
              </w:rPr>
              <w:t>ativos, inspeções e manutenção.</w:t>
            </w:r>
          </w:p>
        </w:tc>
      </w:tr>
      <w:tr>
        <w:trPr>
          <w:cantSplit/>
          <w:cantSplit/>
        </w:trPr>
        <w:tc>
          <w:tcPr>
            <w:tcW w:type="dxa" w:w="5083"/>
          </w:tcPr>
          <w:p>
            <w:r>
              <w:rPr>
                <w:rFonts w:ascii="Arial" w:hAnsi="Arial"/>
                <w:sz w:val="17"/>
              </w:rPr>
              <w:t>condo.vendor / contract</w:t>
            </w:r>
          </w:p>
        </w:tc>
        <w:tc>
          <w:tcPr>
            <w:tcW w:type="dxa" w:w="5083"/>
          </w:tcPr>
          <w:p>
            <w:r>
              <w:rPr>
                <w:rFonts w:ascii="Arial" w:hAnsi="Arial"/>
                <w:sz w:val="17"/>
              </w:rPr>
              <w:t>fornecedores e contratos críticos.</w:t>
            </w:r>
          </w:p>
        </w:tc>
      </w:tr>
      <w:tr>
        <w:trPr>
          <w:cantSplit/>
          <w:cantSplit/>
        </w:trPr>
        <w:tc>
          <w:tcPr>
            <w:tcW w:type="dxa" w:w="5083"/>
          </w:tcPr>
          <w:p>
            <w:r>
              <w:rPr>
                <w:rFonts w:ascii="Arial" w:hAnsi="Arial"/>
                <w:sz w:val="17"/>
              </w:rPr>
              <w:t>condo.chat_session / answer / citation</w:t>
            </w:r>
          </w:p>
        </w:tc>
        <w:tc>
          <w:tcPr>
            <w:tcW w:type="dxa" w:w="5083"/>
          </w:tcPr>
          <w:p>
            <w:r>
              <w:rPr>
                <w:rFonts w:ascii="Arial" w:hAnsi="Arial"/>
                <w:sz w:val="17"/>
              </w:rPr>
              <w:t>perguntas, respostas, evidências e feedback.</w:t>
            </w:r>
          </w:p>
        </w:tc>
      </w:tr>
      <w:tr>
        <w:trPr>
          <w:cantSplit/>
          <w:cantSplit/>
        </w:trPr>
        <w:tc>
          <w:tcPr>
            <w:tcW w:type="dxa" w:w="5083"/>
          </w:tcPr>
          <w:p>
            <w:r>
              <w:rPr>
                <w:rFonts w:ascii="Arial" w:hAnsi="Arial"/>
                <w:sz w:val="17"/>
              </w:rPr>
              <w:t>condo.audit_event</w:t>
            </w:r>
          </w:p>
        </w:tc>
        <w:tc>
          <w:tcPr>
            <w:tcW w:type="dxa" w:w="5083"/>
          </w:tcPr>
          <w:p>
            <w:r>
              <w:rPr>
                <w:rFonts w:ascii="Arial" w:hAnsi="Arial"/>
                <w:sz w:val="17"/>
              </w:rPr>
              <w:t>trilha imutável de consulta, alteração, decisão e exportação.</w:t>
            </w:r>
          </w:p>
        </w:tc>
      </w:tr>
    </w:tbl>
    <w:p>
      <w:pPr>
        <w:pStyle w:val="Heading2"/>
      </w:pPr>
      <w:r>
        <w:t>26.22 Segurança, LGPD e controle de acesso</w:t>
      </w:r>
    </w:p>
    <w:p>
      <w:r>
        <w:t>O módulo tratará dados de moradores, visitantes, funcionários, prestadores, imagens, biometria/acesso, inadimplência, ocorrências e documentos internos. A LGPD aplica-se ao tratamento de dados pessoais [R48]. O desenho deve usar minimização, finalidade, segregação por condomínio, RBAC/ABAC, logs, retenção, exportação mascarada e criptografia.</w:t>
      </w:r>
    </w:p>
    <w:p>
      <w:r>
        <w:t>Perfis mínimos: morador, proprietário, inquilino, síndico, administradora, conselho, jurídico, técnico, portaria/facilities e auditor. Um morador não deve obter por chat informações financeiras, pessoais ou de ocorrências de outra unidade sem base e permissão. O RAG deve filtrar documentos antes da recuperação, não apenas depois de gerar a resposta.</w:t>
      </w:r>
    </w:p>
    <w:p>
      <w:r>
        <w:t>Biometria, reconhecimento facial, câmeras e registros de acesso exigem atenção especial à base legal, segurança e política de retenção; o sistema deve oferecer configuração e documentação, não assumir consentimento como solução universal.</w:t>
      </w:r>
    </w:p>
    <w:p>
      <w:pPr>
        <w:pStyle w:val="Heading2"/>
      </w:pPr>
      <w:r>
        <w:t>26.23 Governança da IA — regras obrigatórias</w:t>
      </w:r>
    </w:p>
    <w:p>
      <w:r>
        <w:t>• Resposta sem evidência suficiente = NÃO DETERMINADO; nunca completar lacunas por “costume de condomínio”.</w:t>
      </w:r>
    </w:p>
    <w:p>
      <w:r>
        <w:t>• Toda conclusão normativa deve conter pelo menos uma citação interna ou regra externa versionada.</w:t>
      </w:r>
    </w:p>
    <w:p>
      <w:r>
        <w:t>• Se dois documentos conflitarem, mostrar o conflito; não escolher silenciosamente.</w:t>
      </w:r>
    </w:p>
    <w:p>
      <w:r>
        <w:t>• Separar claramente “texto do documento”, “interpretação do sistema” e “recomendação operacional”.</w:t>
      </w:r>
    </w:p>
    <w:p>
      <w:r>
        <w:t>• Nunca declarar autenticidade, registro cartorial ou validade jurídica sem evidência específica.</w:t>
      </w:r>
    </w:p>
    <w:p>
      <w:r>
        <w:t>• Documentos novos entram como “pendentes de revisão” até processamento e, para regras críticas, revisão humana configurável.</w:t>
      </w:r>
    </w:p>
    <w:p>
      <w:r>
        <w:t>• A IA deve reconhecer quando a pergunta depende de fato técnico não presente (ex.: parede estrutural) e pedir planta/laudo/responsável técnico.</w:t>
      </w:r>
    </w:p>
    <w:p>
      <w:r>
        <w:t>• Perguntas de alto risco jurídico devem oferecer encaminhamento ao jurídico e gerar dossiê de evidências.</w:t>
      </w:r>
    </w:p>
    <w:p>
      <w:r>
        <w:t>• Feedback do usuário não altera regra automaticamente; correções viram proposta de revisão com auditoria.</w:t>
      </w:r>
    </w:p>
    <w:p>
      <w:pPr>
        <w:pStyle w:val="Heading2"/>
      </w:pPr>
      <w:r>
        <w:t>26.24 Assistentes derivados — além do chat</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Assistente</w:t>
            </w:r>
          </w:p>
        </w:tc>
        <w:tc>
          <w:tcPr>
            <w:tcW w:type="dxa" w:w="5083"/>
          </w:tcPr>
          <w:p>
            <w:r>
              <w:rPr>
                <w:rFonts w:ascii="Arial" w:hAnsi="Arial"/>
                <w:b/>
                <w:sz w:val="17"/>
              </w:rPr>
              <w:t>Entregável</w:t>
            </w:r>
          </w:p>
        </w:tc>
      </w:tr>
      <w:tr>
        <w:trPr>
          <w:cantSplit/>
          <w:cantSplit/>
        </w:trPr>
        <w:tc>
          <w:tcPr>
            <w:tcW w:type="dxa" w:w="5083"/>
          </w:tcPr>
          <w:p>
            <w:r>
              <w:rPr>
                <w:rFonts w:ascii="Arial" w:hAnsi="Arial"/>
                <w:sz w:val="17"/>
              </w:rPr>
              <w:t>Pré-compra/locação</w:t>
            </w:r>
          </w:p>
        </w:tc>
        <w:tc>
          <w:tcPr>
            <w:tcW w:type="dxa" w:w="5083"/>
          </w:tcPr>
          <w:p>
            <w:r>
              <w:rPr>
                <w:rFonts w:ascii="Arial" w:hAnsi="Arial"/>
                <w:sz w:val="17"/>
              </w:rPr>
              <w:t>Resumo de restrições relevantes para o comprador/inquilino antes de assinar.</w:t>
            </w:r>
          </w:p>
        </w:tc>
      </w:tr>
      <w:tr>
        <w:trPr>
          <w:cantSplit/>
          <w:cantSplit/>
        </w:trPr>
        <w:tc>
          <w:tcPr>
            <w:tcW w:type="dxa" w:w="5083"/>
          </w:tcPr>
          <w:p>
            <w:r>
              <w:rPr>
                <w:rFonts w:ascii="Arial" w:hAnsi="Arial"/>
                <w:sz w:val="17"/>
              </w:rPr>
              <w:t>Assistente de obra</w:t>
            </w:r>
          </w:p>
        </w:tc>
        <w:tc>
          <w:tcPr>
            <w:tcW w:type="dxa" w:w="5083"/>
          </w:tcPr>
          <w:p>
            <w:r>
              <w:rPr>
                <w:rFonts w:ascii="Arial" w:hAnsi="Arial"/>
                <w:sz w:val="17"/>
              </w:rPr>
              <w:t>Checklist de documentos, regras, aprovação e cronograma por tipo de intervenção.</w:t>
            </w:r>
          </w:p>
        </w:tc>
      </w:tr>
      <w:tr>
        <w:trPr>
          <w:cantSplit/>
          <w:cantSplit/>
        </w:trPr>
        <w:tc>
          <w:tcPr>
            <w:tcW w:type="dxa" w:w="5083"/>
          </w:tcPr>
          <w:p>
            <w:r>
              <w:rPr>
                <w:rFonts w:ascii="Arial" w:hAnsi="Arial"/>
                <w:sz w:val="17"/>
              </w:rPr>
              <w:t>Assistente de assembleia</w:t>
            </w:r>
          </w:p>
        </w:tc>
        <w:tc>
          <w:tcPr>
            <w:tcW w:type="dxa" w:w="5083"/>
          </w:tcPr>
          <w:p>
            <w:r>
              <w:rPr>
                <w:rFonts w:ascii="Arial" w:hAnsi="Arial"/>
                <w:sz w:val="17"/>
              </w:rPr>
              <w:t>Pauta, documentos, mapa de quórum, simulações de votação, ata preliminar e extração de deliberações.</w:t>
            </w:r>
          </w:p>
        </w:tc>
      </w:tr>
      <w:tr>
        <w:trPr>
          <w:cantSplit/>
          <w:cantSplit/>
        </w:trPr>
        <w:tc>
          <w:tcPr>
            <w:tcW w:type="dxa" w:w="5083"/>
          </w:tcPr>
          <w:p>
            <w:r>
              <w:rPr>
                <w:rFonts w:ascii="Arial" w:hAnsi="Arial"/>
                <w:sz w:val="17"/>
              </w:rPr>
              <w:t>Assistente do síndico</w:t>
            </w:r>
          </w:p>
        </w:tc>
        <w:tc>
          <w:tcPr>
            <w:tcW w:type="dxa" w:w="5083"/>
          </w:tcPr>
          <w:p>
            <w:r>
              <w:rPr>
                <w:rFonts w:ascii="Arial" w:hAnsi="Arial"/>
                <w:sz w:val="17"/>
              </w:rPr>
              <w:t>Resposta a dúvidas, circular/notificação em rascunho, pendências, calendário e evidências.</w:t>
            </w:r>
          </w:p>
        </w:tc>
      </w:tr>
      <w:tr>
        <w:trPr>
          <w:cantSplit/>
          <w:cantSplit/>
        </w:trPr>
        <w:tc>
          <w:tcPr>
            <w:tcW w:type="dxa" w:w="5083"/>
          </w:tcPr>
          <w:p>
            <w:r>
              <w:rPr>
                <w:rFonts w:ascii="Arial" w:hAnsi="Arial"/>
                <w:sz w:val="17"/>
              </w:rPr>
              <w:t>Assistente de compliance</w:t>
            </w:r>
          </w:p>
        </w:tc>
        <w:tc>
          <w:tcPr>
            <w:tcW w:type="dxa" w:w="5083"/>
          </w:tcPr>
          <w:p>
            <w:r>
              <w:rPr>
                <w:rFonts w:ascii="Arial" w:hAnsi="Arial"/>
                <w:sz w:val="17"/>
              </w:rPr>
              <w:t>Vencimentos, documentos faltantes, inspeções e responsáveis.</w:t>
            </w:r>
          </w:p>
        </w:tc>
      </w:tr>
      <w:tr>
        <w:trPr>
          <w:cantSplit/>
          <w:cantSplit/>
        </w:trPr>
        <w:tc>
          <w:tcPr>
            <w:tcW w:type="dxa" w:w="5083"/>
          </w:tcPr>
          <w:p>
            <w:r>
              <w:rPr>
                <w:rFonts w:ascii="Arial" w:hAnsi="Arial"/>
                <w:sz w:val="17"/>
              </w:rPr>
              <w:t>Assistente de ocorrências</w:t>
            </w:r>
          </w:p>
        </w:tc>
        <w:tc>
          <w:tcPr>
            <w:tcW w:type="dxa" w:w="5083"/>
          </w:tcPr>
          <w:p>
            <w:r>
              <w:rPr>
                <w:rFonts w:ascii="Arial" w:hAnsi="Arial"/>
                <w:sz w:val="17"/>
              </w:rPr>
              <w:t>Classificação, regra aplicável, histórico, modelo de notificação e trilha de defesa.</w:t>
            </w:r>
          </w:p>
        </w:tc>
      </w:tr>
      <w:tr>
        <w:trPr>
          <w:cantSplit/>
          <w:cantSplit/>
        </w:trPr>
        <w:tc>
          <w:tcPr>
            <w:tcW w:type="dxa" w:w="5083"/>
          </w:tcPr>
          <w:p>
            <w:r>
              <w:rPr>
                <w:rFonts w:ascii="Arial" w:hAnsi="Arial"/>
                <w:sz w:val="17"/>
              </w:rPr>
              <w:t>Assistente jurídico</w:t>
            </w:r>
          </w:p>
        </w:tc>
        <w:tc>
          <w:tcPr>
            <w:tcW w:type="dxa" w:w="5083"/>
          </w:tcPr>
          <w:p>
            <w:r>
              <w:rPr>
                <w:rFonts w:ascii="Arial" w:hAnsi="Arial"/>
                <w:sz w:val="17"/>
              </w:rPr>
              <w:t>Linha do tempo de regras, conflitos, quóruns, documentos e exportação de dossiê.</w:t>
            </w:r>
          </w:p>
        </w:tc>
      </w:tr>
      <w:tr>
        <w:trPr>
          <w:cantSplit/>
          <w:cantSplit/>
        </w:trPr>
        <w:tc>
          <w:tcPr>
            <w:tcW w:type="dxa" w:w="5083"/>
          </w:tcPr>
          <w:p>
            <w:r>
              <w:rPr>
                <w:rFonts w:ascii="Arial" w:hAnsi="Arial"/>
                <w:sz w:val="17"/>
              </w:rPr>
              <w:t>Assistente de corretor</w:t>
            </w:r>
          </w:p>
        </w:tc>
        <w:tc>
          <w:tcPr>
            <w:tcW w:type="dxa" w:w="5083"/>
          </w:tcPr>
          <w:p>
            <w:r>
              <w:rPr>
                <w:rFonts w:ascii="Arial" w:hAnsi="Arial"/>
                <w:sz w:val="17"/>
              </w:rPr>
              <w:t>FAQ do condomínio para apresentação do imóvel, somente com dados autorizados.</w:t>
            </w:r>
          </w:p>
        </w:tc>
      </w:tr>
    </w:tbl>
    <w:p>
      <w:pPr>
        <w:pStyle w:val="Heading2"/>
      </w:pPr>
      <w:r>
        <w:t>26.25 Dashboard do Condomínio</w:t>
      </w:r>
    </w:p>
    <w:tbl>
      <w:tblPr>
        <w:tblStyle w:val="TableGrid"/>
        <w:tblW w:type="auto" w:w="0"/>
        <w:tblLook w:firstColumn="1" w:firstRow="1" w:lastColumn="0" w:lastRow="0" w:noHBand="0" w:noVBand="1" w:val="04A0"/>
      </w:tblPr>
      <w:tblGrid>
        <w:gridCol w:w="5083"/>
        <w:gridCol w:w="5083"/>
      </w:tblGrid>
      <w:tr>
        <w:trPr>
          <w:tblHeader w:val="true"/>
          <w:cantSplit/>
          <w:tblHeader w:val="true"/>
          <w:cantSplit/>
        </w:trPr>
        <w:tc>
          <w:tcPr>
            <w:tcW w:type="dxa" w:w="5083"/>
          </w:tcPr>
          <w:p>
            <w:r>
              <w:rPr>
                <w:rFonts w:ascii="Arial" w:hAnsi="Arial"/>
                <w:b/>
                <w:sz w:val="17"/>
              </w:rPr>
              <w:t>Indicador</w:t>
            </w:r>
          </w:p>
        </w:tc>
        <w:tc>
          <w:tcPr>
            <w:tcW w:type="dxa" w:w="5083"/>
          </w:tcPr>
          <w:p>
            <w:r>
              <w:rPr>
                <w:rFonts w:ascii="Arial" w:hAnsi="Arial"/>
                <w:b/>
                <w:sz w:val="17"/>
              </w:rPr>
              <w:t>Exemplo</w:t>
            </w:r>
          </w:p>
        </w:tc>
      </w:tr>
      <w:tr>
        <w:trPr>
          <w:cantSplit/>
          <w:cantSplit/>
        </w:trPr>
        <w:tc>
          <w:tcPr>
            <w:tcW w:type="dxa" w:w="5083"/>
          </w:tcPr>
          <w:p>
            <w:r>
              <w:rPr>
                <w:rFonts w:ascii="Arial" w:hAnsi="Arial"/>
                <w:sz w:val="17"/>
              </w:rPr>
              <w:t>Documentação</w:t>
            </w:r>
          </w:p>
        </w:tc>
        <w:tc>
          <w:tcPr>
            <w:tcW w:type="dxa" w:w="5083"/>
          </w:tcPr>
          <w:p>
            <w:r>
              <w:rPr>
                <w:rFonts w:ascii="Arial" w:hAnsi="Arial"/>
                <w:sz w:val="17"/>
              </w:rPr>
              <w:t>% processado; convenção/regimento/atas ausentes; documentos pendentes de revisão.</w:t>
            </w:r>
          </w:p>
        </w:tc>
      </w:tr>
      <w:tr>
        <w:trPr>
          <w:cantSplit/>
          <w:cantSplit/>
        </w:trPr>
        <w:tc>
          <w:tcPr>
            <w:tcW w:type="dxa" w:w="5083"/>
          </w:tcPr>
          <w:p>
            <w:r>
              <w:rPr>
                <w:rFonts w:ascii="Arial" w:hAnsi="Arial"/>
                <w:sz w:val="17"/>
              </w:rPr>
              <w:t>Regras</w:t>
            </w:r>
          </w:p>
        </w:tc>
        <w:tc>
          <w:tcPr>
            <w:tcW w:type="dxa" w:w="5083"/>
          </w:tcPr>
          <w:p>
            <w:r>
              <w:rPr>
                <w:rFonts w:ascii="Arial" w:hAnsi="Arial"/>
                <w:sz w:val="17"/>
              </w:rPr>
              <w:t>quantidade por tema; conflitos; regras sem vigência definida; regras dependentes de validação.</w:t>
            </w:r>
          </w:p>
        </w:tc>
      </w:tr>
      <w:tr>
        <w:trPr>
          <w:cantSplit/>
          <w:cantSplit/>
        </w:trPr>
        <w:tc>
          <w:tcPr>
            <w:tcW w:type="dxa" w:w="5083"/>
          </w:tcPr>
          <w:p>
            <w:r>
              <w:rPr>
                <w:rFonts w:ascii="Arial" w:hAnsi="Arial"/>
                <w:sz w:val="17"/>
              </w:rPr>
              <w:t>Perguntas IA</w:t>
            </w:r>
          </w:p>
        </w:tc>
        <w:tc>
          <w:tcPr>
            <w:tcW w:type="dxa" w:w="5083"/>
          </w:tcPr>
          <w:p>
            <w:r>
              <w:rPr>
                <w:rFonts w:ascii="Arial" w:hAnsi="Arial"/>
                <w:sz w:val="17"/>
              </w:rPr>
              <w:t>temas mais perguntados, respostas sem evidência, taxa de feedback e gaps documentais.</w:t>
            </w:r>
          </w:p>
        </w:tc>
      </w:tr>
      <w:tr>
        <w:trPr>
          <w:cantSplit/>
          <w:cantSplit/>
        </w:trPr>
        <w:tc>
          <w:tcPr>
            <w:tcW w:type="dxa" w:w="5083"/>
          </w:tcPr>
          <w:p>
            <w:r>
              <w:rPr>
                <w:rFonts w:ascii="Arial" w:hAnsi="Arial"/>
                <w:sz w:val="17"/>
              </w:rPr>
              <w:t>Obras</w:t>
            </w:r>
          </w:p>
        </w:tc>
        <w:tc>
          <w:tcPr>
            <w:tcW w:type="dxa" w:w="5083"/>
          </w:tcPr>
          <w:p>
            <w:r>
              <w:rPr>
                <w:rFonts w:ascii="Arial" w:hAnsi="Arial"/>
                <w:sz w:val="17"/>
              </w:rPr>
              <w:t>solicitações abertas, aguardando documento, em análise, aprovadas e atrasadas.</w:t>
            </w:r>
          </w:p>
        </w:tc>
      </w:tr>
      <w:tr>
        <w:trPr>
          <w:cantSplit/>
          <w:cantSplit/>
        </w:trPr>
        <w:tc>
          <w:tcPr>
            <w:tcW w:type="dxa" w:w="5083"/>
          </w:tcPr>
          <w:p>
            <w:r>
              <w:rPr>
                <w:rFonts w:ascii="Arial" w:hAnsi="Arial"/>
                <w:sz w:val="17"/>
              </w:rPr>
              <w:t>Assembleias</w:t>
            </w:r>
          </w:p>
        </w:tc>
        <w:tc>
          <w:tcPr>
            <w:tcW w:type="dxa" w:w="5083"/>
          </w:tcPr>
          <w:p>
            <w:r>
              <w:rPr>
                <w:rFonts w:ascii="Arial" w:hAnsi="Arial"/>
                <w:sz w:val="17"/>
              </w:rPr>
              <w:t>próximas, pautas, quóruns estimados, atas pendentes de consolidação.</w:t>
            </w:r>
          </w:p>
        </w:tc>
      </w:tr>
      <w:tr>
        <w:trPr>
          <w:cantSplit/>
          <w:cantSplit/>
        </w:trPr>
        <w:tc>
          <w:tcPr>
            <w:tcW w:type="dxa" w:w="5083"/>
          </w:tcPr>
          <w:p>
            <w:r>
              <w:rPr>
                <w:rFonts w:ascii="Arial" w:hAnsi="Arial"/>
                <w:sz w:val="17"/>
              </w:rPr>
              <w:t>Compliance</w:t>
            </w:r>
          </w:p>
        </w:tc>
        <w:tc>
          <w:tcPr>
            <w:tcW w:type="dxa" w:w="5083"/>
          </w:tcPr>
          <w:p>
            <w:r>
              <w:rPr>
                <w:rFonts w:ascii="Arial" w:hAnsi="Arial"/>
                <w:sz w:val="17"/>
              </w:rPr>
              <w:t>certificados/inspeções vencendo e pendências críticas.</w:t>
            </w:r>
          </w:p>
        </w:tc>
      </w:tr>
      <w:tr>
        <w:trPr>
          <w:cantSplit/>
          <w:cantSplit/>
        </w:trPr>
        <w:tc>
          <w:tcPr>
            <w:tcW w:type="dxa" w:w="5083"/>
          </w:tcPr>
          <w:p>
            <w:r>
              <w:rPr>
                <w:rFonts w:ascii="Arial" w:hAnsi="Arial"/>
                <w:sz w:val="17"/>
              </w:rPr>
              <w:t>Ocorrências</w:t>
            </w:r>
          </w:p>
        </w:tc>
        <w:tc>
          <w:tcPr>
            <w:tcW w:type="dxa" w:w="5083"/>
          </w:tcPr>
          <w:p>
            <w:r>
              <w:rPr>
                <w:rFonts w:ascii="Arial" w:hAnsi="Arial"/>
                <w:sz w:val="17"/>
              </w:rPr>
              <w:t>abertas, em defesa, reincidências e SLA de tratamento, sem ranking vexatório de moradores.</w:t>
            </w:r>
          </w:p>
        </w:tc>
      </w:tr>
    </w:tbl>
    <w:p>
      <w:pPr>
        <w:pStyle w:val="Heading2"/>
      </w:pPr>
      <w:r>
        <w:t>26.26 Exemplos de perguntas que devem funcionar</w:t>
      </w:r>
    </w:p>
    <w:p>
      <w:r>
        <w:t>• “Posso instalar ar-condicionado na fachada da minha unidade?”</w:t>
      </w:r>
    </w:p>
    <w:p>
      <w:r>
        <w:t>• “Posso derrubar esta parede entre a cozinha e a sala?”</w:t>
      </w:r>
    </w:p>
    <w:p>
      <w:r>
        <w:t>• “É permitido fechar a varanda com vidro? Qual padrão?”</w:t>
      </w:r>
    </w:p>
    <w:p>
      <w:r>
        <w:t>• “Posso colocar carregador de carro elétrico na minha vaga?”</w:t>
      </w:r>
    </w:p>
    <w:p>
      <w:r>
        <w:t>• “O condomínio permite Airbnb ou locação por temporada?”</w:t>
      </w:r>
    </w:p>
    <w:p>
      <w:r>
        <w:t>• “Meu cachorro pode usar o elevador social?”</w:t>
      </w:r>
    </w:p>
    <w:p>
      <w:r>
        <w:t>• “Qual é o horário permitido para obra aos sábados?”</w:t>
      </w:r>
    </w:p>
    <w:p>
      <w:r>
        <w:t>• “Posso trocar a porta de entrada por outro modelo?”</w:t>
      </w:r>
    </w:p>
    <w:p>
      <w:r>
        <w:t>• “No lote 42 posso construir piscina e pergolado? Quais recuos internos?”</w:t>
      </w:r>
    </w:p>
    <w:p>
      <w:r>
        <w:t>• “Esta ata realmente alterou o regimento? Qual foi o quórum?”</w:t>
      </w:r>
    </w:p>
    <w:p>
      <w:r>
        <w:t>• “Qual regra de multa vale para reincidência de barulho?”</w:t>
      </w:r>
    </w:p>
    <w:p>
      <w:r>
        <w:t>• “Que documentos preciso enviar para aprovar uma reforma?”</w:t>
      </w:r>
    </w:p>
    <w:p>
      <w:r>
        <w:t>• “A convenção permite, mas a prefeitura permite?”</w:t>
      </w:r>
    </w:p>
    <w:p>
      <w:r>
        <w:t>• “Qual era a regra de fechamento de varanda em março de 2021?”</w:t>
      </w:r>
    </w:p>
    <w:p>
      <w:pPr>
        <w:pStyle w:val="Heading2"/>
      </w:pPr>
      <w:r>
        <w:t>26.27 Roadmap de implementação do módulo Condomínio</w:t>
      </w:r>
    </w:p>
    <w:p>
      <w:r>
        <w:t>1. Cadastro do condomínio + tenant/workspace + perfis e permissões.</w:t>
      </w:r>
    </w:p>
    <w:p>
      <w:r>
        <w:t>2. Upload seguro + object storage + OCR/layout + biblioteca documental.</w:t>
      </w:r>
    </w:p>
    <w:p>
      <w:r>
        <w:t>3. Parser de convenção/regimento/atas + indexação e citações por página/cláusula.</w:t>
      </w:r>
    </w:p>
    <w:p>
      <w:r>
        <w:t>4. Chat RAG com contrato PERMITIDO/PROIBIDO/CONDICIONADO/NÃO DETERMINADO e evidência obrigatória.</w:t>
      </w:r>
    </w:p>
    <w:p>
      <w:r>
        <w:t>5. Motor temporal de regras, conflitos e versionamento.</w:t>
      </w:r>
    </w:p>
    <w:p>
      <w:r>
        <w:t>6. Cadastro de blocos/unidades/lotes/áreas comuns e contexto por unidade.</w:t>
      </w:r>
    </w:p>
    <w:p>
      <w:r>
        <w:t>7. Workflow de obras/reformas + ART/RRT + aprovação técnica.</w:t>
      </w:r>
    </w:p>
    <w:p>
      <w:r>
        <w:t>8. Assembleias, quóruns, votos e geração de rule_version a partir de deliberações aprovadas.</w:t>
      </w:r>
    </w:p>
    <w:p>
      <w:r>
        <w:t>9. Compliance/manutenção/seguros e alertas.</w:t>
      </w:r>
    </w:p>
    <w:p>
      <w:r>
        <w:t>10. Ocorrências/notificações/sanções com revisão humana e trilha de defesa.</w:t>
      </w:r>
    </w:p>
    <w:p>
      <w:r>
        <w:t>11. Relatório Condomínio 360 e modo pré-compra/corretor.</w:t>
      </w:r>
    </w:p>
    <w:p>
      <w:r>
        <w:t>12. Integração profunda LoteDiretor/Imóvel 360: urbanístico × convenção × projeto × unidade.</w:t>
      </w:r>
    </w:p>
    <w:p>
      <w:r>
        <w:t>13. Monitor de mudanças legais e atualização do corpus externo.</w:t>
      </w:r>
    </w:p>
    <w:p>
      <w:r>
        <w:t>14. Assistentes de assembleia, síndico, jurídico e compliance; integrações com administradoras e canais de comunicação.</w:t>
      </w:r>
    </w:p>
    <w:p>
      <w:pPr>
        <w:pStyle w:val="Heading2"/>
      </w:pPr>
      <w:r>
        <w:t>26.28 Base legal e pontos de parametrização</w:t>
      </w:r>
    </w:p>
    <w:p>
      <w:r>
        <w:t>O Código Civil disciplina o condomínio edilício, incluindo partes exclusivas/comuns, convenção, direitos/deveres, administração, assembleias, quóruns e seguro [R43]. A Lei 4.591/1964 permanece referência para condomínio em edificações e incorporações e detalha conteúdo da convenção [R44]. O condomínio de lotes foi incorporado ao Código Civil pela Lei 13.465/2017 [R45]. A Lei 14.309/2022 introduziu regras para sessão permanente e assembleias eletrônicas/híbridas [R46]. A Lei 14.405/2022 fixou 2/3 para alteração de convenção e mudança de destinação do edifício/unidade [R47]. O tratamento de dados pessoais do ecossistema condominial deve respeitar a LGPD [R48].</w:t>
      </w:r>
    </w:p>
    <w:p>
      <w:r>
        <w:t>Além da legislação federal, o módulo precisa carregar regras estaduais/municipais e normas técnicas pertinentes a incêndio, acessibilidade, obras, elevadores, inspeções, uso do solo e segurança. Periodicidades e exigências devem ser parametrizadas por localidade e sistema existente, nunca presumidas de forma nacional.</w:t>
      </w:r>
    </w:p>
    <w:p>
      <w:r>
        <w:br w:type="page"/>
      </w:r>
    </w:p>
    <w:p>
      <w:pPr>
        <w:pStyle w:val="Heading1"/>
      </w:pPr>
      <w:r>
        <w:t>27. Energia Solar — simulador fotovoltaico 3D, técnico, regulatório e financeiro</w:t>
      </w:r>
    </w:p>
    <w:p>
      <w:pPr>
        <w:spacing w:after="100"/>
      </w:pPr>
      <w:r>
        <w:t>Objetivo. Criar um modo nacional de análise e projeto preliminar de energia solar que permita selecionar qualquer casa, edifício, condomínio, galpão, fazenda ou terreno, visualizar o ativo em 3D, reproduzir a posição do sol e as sombras ao longo do dia/ano, posicionar painéis fotovoltaicos automaticamente ou manualmente, escolher quantidade e modelo de módulos, estimar geração, consumo compensado, redução de conta, emissões evitadas e retorno financeiro. A saída deve ser auditável, com fontes, data da imagem, premissas, versão regulatória e nível de confiança.</w:t>
      </w:r>
    </w:p>
    <w:p>
      <w:pPr>
        <w:pStyle w:val="Small"/>
        <w:spacing w:before="60" w:after="120"/>
      </w:pPr>
      <w:r>
        <w:rPr>
          <w:b w:val="0"/>
        </w:rPr>
        <w:t>Nota técnica: O módulo deve se inspirar na experiência de avaliação remota da Solar API do Google, mas não depender dela como única fonte. A Solar API é orientada a edifícios; a própria metodologia do Google exclui campos e estacionamentos do potencial técnico. Fazendas, terrenos, carports e regiões sem cobertura exigem nosso motor geoespacial/fotovoltaico próprio [R49][R50].</w:t>
      </w:r>
    </w:p>
    <w:p>
      <w:pPr>
        <w:jc w:val="center"/>
      </w:pPr>
      <w:r>
        <w:drawing>
          <wp:inline xmlns:a="http://schemas.openxmlformats.org/drawingml/2006/main" xmlns:pic="http://schemas.openxmlformats.org/drawingml/2006/picture">
            <wp:extent cx="6172200" cy="2777490"/>
            <wp:docPr id="4" name="Picture 4" descr="Figura 7 — Fluxo operacional do Modo Energia Solar, da identificação do imóvel ao cenário técnico-financeiro." title="Figura 7 — Fluxo operacional do Modo Energia Solar, da identificação do imóvel ao cenário técnico-financeiro."/>
            <wp:cNvGraphicFramePr>
              <a:graphicFrameLocks noChangeAspect="1"/>
            </wp:cNvGraphicFramePr>
            <a:graphic>
              <a:graphicData uri="http://schemas.openxmlformats.org/drawingml/2006/picture">
                <pic:pic>
                  <pic:nvPicPr>
                    <pic:cNvPr id="0" name="solar_user_flow.png"/>
                    <pic:cNvPicPr/>
                  </pic:nvPicPr>
                  <pic:blipFill>
                    <a:blip r:embed="rId13"/>
                    <a:stretch>
                      <a:fillRect/>
                    </a:stretch>
                  </pic:blipFill>
                  <pic:spPr>
                    <a:xfrm>
                      <a:off x="0" y="0"/>
                      <a:ext cx="6172200" cy="2777490"/>
                    </a:xfrm>
                    <a:prstGeom prst="rect"/>
                  </pic:spPr>
                </pic:pic>
              </a:graphicData>
            </a:graphic>
          </wp:inline>
        </w:drawing>
      </w:r>
    </w:p>
    <w:p>
      <w:pPr>
        <w:pStyle w:val="CaptionLD"/>
        <w:jc w:val="center"/>
      </w:pPr>
      <w:r>
        <w:t>Figura 7 — Fluxo operacional do Modo Energia Solar, da identificação do imóvel ao cenário técnico-financeiro.</w:t>
      </w:r>
    </w:p>
    <w:p>
      <w:pPr>
        <w:pStyle w:val="Heading2"/>
      </w:pPr>
      <w:r>
        <w:t>27.1 Quem usa e quais decisões o módulo resolve</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304"/>
            <w:shd w:fill="EDEDED"/>
            <w:vAlign w:val="center"/>
            <w:tcMar>
              <w:top w:w="80" w:type="dxa"/>
              <w:start w:w="90" w:type="dxa"/>
              <w:bottom w:w="80" w:type="dxa"/>
              <w:end w:w="90" w:type="dxa"/>
            </w:tcMar>
          </w:tcPr>
          <w:p>
            <w:r>
              <w:rPr>
                <w:rFonts w:ascii="Arial" w:hAnsi="Arial"/>
                <w:b/>
                <w:sz w:val="17"/>
              </w:rPr>
              <w:t>Usuário</w:t>
            </w:r>
          </w:p>
        </w:tc>
        <w:tc>
          <w:tcPr>
            <w:tcW w:type="dxa" w:w="7344"/>
            <w:shd w:fill="EDEDED"/>
            <w:vAlign w:val="center"/>
            <w:tcMar>
              <w:top w:w="80" w:type="dxa"/>
              <w:start w:w="90" w:type="dxa"/>
              <w:bottom w:w="80" w:type="dxa"/>
              <w:end w:w="90" w:type="dxa"/>
            </w:tcMar>
          </w:tcPr>
          <w:p>
            <w:r>
              <w:rPr>
                <w:rFonts w:ascii="Arial" w:hAnsi="Arial"/>
                <w:b/>
                <w:sz w:val="17"/>
              </w:rPr>
              <w:t>Decisões que o Energia Solar deve responder</w:t>
            </w:r>
          </w:p>
        </w:tc>
      </w:tr>
      <w:tr>
        <w:trPr>
          <w:cantSplit/>
          <w:cantSplit/>
        </w:trPr>
        <w:tc>
          <w:tcPr>
            <w:tcW w:type="dxa" w:w="2304"/>
            <w:vAlign w:val="top"/>
            <w:tcMar>
              <w:top w:w="80" w:type="dxa"/>
              <w:start w:w="90" w:type="dxa"/>
              <w:bottom w:w="80" w:type="dxa"/>
              <w:end w:w="90" w:type="dxa"/>
            </w:tcMar>
          </w:tcPr>
          <w:p>
            <w:pPr>
              <w:spacing w:after="30"/>
            </w:pPr>
            <w:r>
              <w:rPr>
                <w:rFonts w:ascii="Arial" w:hAnsi="Arial"/>
                <w:sz w:val="16"/>
              </w:rPr>
              <w:t>Proprietário residencial</w:t>
            </w:r>
          </w:p>
        </w:tc>
        <w:tc>
          <w:tcPr>
            <w:tcW w:type="dxa" w:w="7344"/>
            <w:vAlign w:val="top"/>
            <w:tcMar>
              <w:top w:w="80" w:type="dxa"/>
              <w:start w:w="90" w:type="dxa"/>
              <w:bottom w:w="80" w:type="dxa"/>
              <w:end w:w="90" w:type="dxa"/>
            </w:tcMar>
          </w:tcPr>
          <w:p>
            <w:pPr>
              <w:spacing w:after="30"/>
            </w:pPr>
            <w:r>
              <w:rPr>
                <w:rFonts w:ascii="Arial" w:hAnsi="Arial"/>
                <w:sz w:val="16"/>
              </w:rPr>
              <w:t>Quantas placas cabem? Quanto geram? Quanto reduzem a conta? Qual investimento e payback? Onde instalar?</w:t>
            </w:r>
          </w:p>
        </w:tc>
      </w:tr>
      <w:tr>
        <w:trPr>
          <w:cantSplit/>
          <w:cantSplit/>
        </w:trPr>
        <w:tc>
          <w:tcPr>
            <w:tcW w:type="dxa" w:w="2304"/>
            <w:vAlign w:val="top"/>
            <w:tcMar>
              <w:top w:w="80" w:type="dxa"/>
              <w:start w:w="90" w:type="dxa"/>
              <w:bottom w:w="80" w:type="dxa"/>
              <w:end w:w="90" w:type="dxa"/>
            </w:tcMar>
          </w:tcPr>
          <w:p>
            <w:pPr>
              <w:spacing w:after="30"/>
            </w:pPr>
            <w:r>
              <w:rPr>
                <w:rFonts w:ascii="Arial" w:hAnsi="Arial"/>
                <w:sz w:val="16"/>
              </w:rPr>
              <w:t>Condomínio / síndico</w:t>
            </w:r>
          </w:p>
        </w:tc>
        <w:tc>
          <w:tcPr>
            <w:tcW w:type="dxa" w:w="7344"/>
            <w:vAlign w:val="top"/>
            <w:tcMar>
              <w:top w:w="80" w:type="dxa"/>
              <w:start w:w="90" w:type="dxa"/>
              <w:bottom w:w="80" w:type="dxa"/>
              <w:end w:w="90" w:type="dxa"/>
            </w:tcMar>
          </w:tcPr>
          <w:p>
            <w:pPr>
              <w:spacing w:after="30"/>
            </w:pPr>
            <w:r>
              <w:rPr>
                <w:rFonts w:ascii="Arial" w:hAnsi="Arial"/>
                <w:sz w:val="16"/>
              </w:rPr>
              <w:t>Quanto cabe nas coberturas e carports? Quais áreas são comuns? É preciso assembleia? Como repartir créditos/custos?</w:t>
            </w:r>
          </w:p>
        </w:tc>
      </w:tr>
      <w:tr>
        <w:trPr>
          <w:cantSplit/>
          <w:cantSplit/>
        </w:trPr>
        <w:tc>
          <w:tcPr>
            <w:tcW w:type="dxa" w:w="2304"/>
            <w:vAlign w:val="top"/>
            <w:tcMar>
              <w:top w:w="80" w:type="dxa"/>
              <w:start w:w="90" w:type="dxa"/>
              <w:bottom w:w="80" w:type="dxa"/>
              <w:end w:w="90" w:type="dxa"/>
            </w:tcMar>
          </w:tcPr>
          <w:p>
            <w:pPr>
              <w:spacing w:after="30"/>
            </w:pPr>
            <w:r>
              <w:rPr>
                <w:rFonts w:ascii="Arial" w:hAnsi="Arial"/>
                <w:sz w:val="16"/>
              </w:rPr>
              <w:t>Empresa / indústria / galpão</w:t>
            </w:r>
          </w:p>
        </w:tc>
        <w:tc>
          <w:tcPr>
            <w:tcW w:type="dxa" w:w="7344"/>
            <w:vAlign w:val="top"/>
            <w:tcMar>
              <w:top w:w="80" w:type="dxa"/>
              <w:start w:w="90" w:type="dxa"/>
              <w:bottom w:w="80" w:type="dxa"/>
              <w:end w:w="90" w:type="dxa"/>
            </w:tcMar>
          </w:tcPr>
          <w:p>
            <w:pPr>
              <w:spacing w:after="30"/>
            </w:pPr>
            <w:r>
              <w:rPr>
                <w:rFonts w:ascii="Arial" w:hAnsi="Arial"/>
                <w:sz w:val="16"/>
              </w:rPr>
              <w:t>Dimensionamento por perfil de carga, demanda, modalidade tarifária, geração simultânea, cobertura e expansão futura.</w:t>
            </w:r>
          </w:p>
        </w:tc>
      </w:tr>
      <w:tr>
        <w:trPr>
          <w:cantSplit/>
          <w:cantSplit/>
        </w:trPr>
        <w:tc>
          <w:tcPr>
            <w:tcW w:type="dxa" w:w="2304"/>
            <w:vAlign w:val="top"/>
            <w:tcMar>
              <w:top w:w="80" w:type="dxa"/>
              <w:start w:w="90" w:type="dxa"/>
              <w:bottom w:w="80" w:type="dxa"/>
              <w:end w:w="90" w:type="dxa"/>
            </w:tcMar>
          </w:tcPr>
          <w:p>
            <w:pPr>
              <w:spacing w:after="30"/>
            </w:pPr>
            <w:r>
              <w:rPr>
                <w:rFonts w:ascii="Arial" w:hAnsi="Arial"/>
                <w:sz w:val="16"/>
              </w:rPr>
              <w:t>Integrador / projetista solar</w:t>
            </w:r>
          </w:p>
        </w:tc>
        <w:tc>
          <w:tcPr>
            <w:tcW w:type="dxa" w:w="7344"/>
            <w:vAlign w:val="top"/>
            <w:tcMar>
              <w:top w:w="80" w:type="dxa"/>
              <w:start w:w="90" w:type="dxa"/>
              <w:bottom w:w="80" w:type="dxa"/>
              <w:end w:w="90" w:type="dxa"/>
            </w:tcMar>
          </w:tcPr>
          <w:p>
            <w:pPr>
              <w:spacing w:after="30"/>
            </w:pPr>
            <w:r>
              <w:rPr>
                <w:rFonts w:ascii="Arial" w:hAnsi="Arial"/>
                <w:sz w:val="16"/>
              </w:rPr>
              <w:t>Pré-projeto remoto, layout, perdas, lista de equipamentos, geração mensal/horária, proposta, evidências e visita técnica dirigida.</w:t>
            </w:r>
          </w:p>
        </w:tc>
      </w:tr>
      <w:tr>
        <w:trPr>
          <w:cantSplit/>
          <w:cantSplit/>
        </w:trPr>
        <w:tc>
          <w:tcPr>
            <w:tcW w:type="dxa" w:w="2304"/>
            <w:vAlign w:val="top"/>
            <w:tcMar>
              <w:top w:w="80" w:type="dxa"/>
              <w:start w:w="90" w:type="dxa"/>
              <w:bottom w:w="80" w:type="dxa"/>
              <w:end w:w="90" w:type="dxa"/>
            </w:tcMar>
          </w:tcPr>
          <w:p>
            <w:pPr>
              <w:spacing w:after="30"/>
            </w:pPr>
            <w:r>
              <w:rPr>
                <w:rFonts w:ascii="Arial" w:hAnsi="Arial"/>
                <w:sz w:val="16"/>
              </w:rPr>
              <w:t>Engenheiro / arquiteto</w:t>
            </w:r>
          </w:p>
        </w:tc>
        <w:tc>
          <w:tcPr>
            <w:tcW w:type="dxa" w:w="7344"/>
            <w:vAlign w:val="top"/>
            <w:tcMar>
              <w:top w:w="80" w:type="dxa"/>
              <w:start w:w="90" w:type="dxa"/>
              <w:bottom w:w="80" w:type="dxa"/>
              <w:end w:w="90" w:type="dxa"/>
            </w:tcMar>
          </w:tcPr>
          <w:p>
            <w:pPr>
              <w:spacing w:after="30"/>
            </w:pPr>
            <w:r>
              <w:rPr>
                <w:rFonts w:ascii="Arial" w:hAnsi="Arial"/>
                <w:sz w:val="16"/>
              </w:rPr>
              <w:t>Integração com cobertura, orientação, estrutura, sombreamento, implantação, recuos técnicos e compatibilização com projeto.</w:t>
            </w:r>
          </w:p>
        </w:tc>
      </w:tr>
      <w:tr>
        <w:trPr>
          <w:cantSplit/>
          <w:cantSplit/>
        </w:trPr>
        <w:tc>
          <w:tcPr>
            <w:tcW w:type="dxa" w:w="2304"/>
            <w:vAlign w:val="top"/>
            <w:tcMar>
              <w:top w:w="80" w:type="dxa"/>
              <w:start w:w="90" w:type="dxa"/>
              <w:bottom w:w="80" w:type="dxa"/>
              <w:end w:w="90" w:type="dxa"/>
            </w:tcMar>
          </w:tcPr>
          <w:p>
            <w:pPr>
              <w:spacing w:after="30"/>
            </w:pPr>
            <w:r>
              <w:rPr>
                <w:rFonts w:ascii="Arial" w:hAnsi="Arial"/>
                <w:sz w:val="16"/>
              </w:rPr>
              <w:t>Fazenda / produtor rural</w:t>
            </w:r>
          </w:p>
        </w:tc>
        <w:tc>
          <w:tcPr>
            <w:tcW w:type="dxa" w:w="7344"/>
            <w:vAlign w:val="top"/>
            <w:tcMar>
              <w:top w:w="80" w:type="dxa"/>
              <w:start w:w="90" w:type="dxa"/>
              <w:bottom w:w="80" w:type="dxa"/>
              <w:end w:w="90" w:type="dxa"/>
            </w:tcMar>
          </w:tcPr>
          <w:p>
            <w:pPr>
              <w:spacing w:after="30"/>
            </w:pPr>
            <w:r>
              <w:rPr>
                <w:rFonts w:ascii="Arial" w:hAnsi="Arial"/>
                <w:sz w:val="16"/>
              </w:rPr>
              <w:t>Usina em solo, bombeamento, pivôs, galpões, trackers, área útil, restrições ambientais/fundiárias, acesso e conexão.</w:t>
            </w:r>
          </w:p>
        </w:tc>
      </w:tr>
      <w:tr>
        <w:trPr>
          <w:cantSplit/>
          <w:cantSplit/>
        </w:trPr>
        <w:tc>
          <w:tcPr>
            <w:tcW w:type="dxa" w:w="2304"/>
            <w:vAlign w:val="top"/>
            <w:tcMar>
              <w:top w:w="80" w:type="dxa"/>
              <w:start w:w="90" w:type="dxa"/>
              <w:bottom w:w="80" w:type="dxa"/>
              <w:end w:w="90" w:type="dxa"/>
            </w:tcMar>
          </w:tcPr>
          <w:p>
            <w:pPr>
              <w:spacing w:after="30"/>
            </w:pPr>
            <w:r>
              <w:rPr>
                <w:rFonts w:ascii="Arial" w:hAnsi="Arial"/>
                <w:sz w:val="16"/>
              </w:rPr>
              <w:t>Incorporador / imobiliário</w:t>
            </w:r>
          </w:p>
        </w:tc>
        <w:tc>
          <w:tcPr>
            <w:tcW w:type="dxa" w:w="7344"/>
            <w:vAlign w:val="top"/>
            <w:tcMar>
              <w:top w:w="80" w:type="dxa"/>
              <w:start w:w="90" w:type="dxa"/>
              <w:bottom w:w="80" w:type="dxa"/>
              <w:end w:w="90" w:type="dxa"/>
            </w:tcMar>
          </w:tcPr>
          <w:p>
            <w:pPr>
              <w:spacing w:after="30"/>
            </w:pPr>
            <w:r>
              <w:rPr>
                <w:rFonts w:ascii="Arial" w:hAnsi="Arial"/>
                <w:sz w:val="16"/>
              </w:rPr>
              <w:t>Potencial solar do empreendimento ainda em projeto, impacto em ESG, CAPEX, OPEX e valorização.</w:t>
            </w:r>
          </w:p>
        </w:tc>
      </w:tr>
      <w:tr>
        <w:trPr>
          <w:cantSplit/>
          <w:cantSplit/>
        </w:trPr>
        <w:tc>
          <w:tcPr>
            <w:tcW w:type="dxa" w:w="2304"/>
            <w:vAlign w:val="top"/>
            <w:tcMar>
              <w:top w:w="80" w:type="dxa"/>
              <w:start w:w="90" w:type="dxa"/>
              <w:bottom w:w="80" w:type="dxa"/>
              <w:end w:w="90" w:type="dxa"/>
            </w:tcMar>
          </w:tcPr>
          <w:p>
            <w:pPr>
              <w:spacing w:after="30"/>
            </w:pPr>
            <w:r>
              <w:rPr>
                <w:rFonts w:ascii="Arial" w:hAnsi="Arial"/>
                <w:sz w:val="16"/>
              </w:rPr>
              <w:t>Prefeitura / planejamento</w:t>
            </w:r>
          </w:p>
        </w:tc>
        <w:tc>
          <w:tcPr>
            <w:tcW w:type="dxa" w:w="7344"/>
            <w:vAlign w:val="top"/>
            <w:tcMar>
              <w:top w:w="80" w:type="dxa"/>
              <w:start w:w="90" w:type="dxa"/>
              <w:bottom w:w="80" w:type="dxa"/>
              <w:end w:w="90" w:type="dxa"/>
            </w:tcMar>
          </w:tcPr>
          <w:p>
            <w:pPr>
              <w:spacing w:after="30"/>
            </w:pPr>
            <w:r>
              <w:rPr>
                <w:rFonts w:ascii="Arial" w:hAnsi="Arial"/>
                <w:sz w:val="16"/>
              </w:rPr>
              <w:t>Potencial solar urbano por edifício/quadra, priorização de equipamentos públicos, cenários de geração distribuída.</w:t>
            </w:r>
          </w:p>
        </w:tc>
      </w:tr>
      <w:tr>
        <w:trPr>
          <w:cantSplit/>
          <w:cantSplit/>
        </w:trPr>
        <w:tc>
          <w:tcPr>
            <w:tcW w:type="dxa" w:w="2304"/>
            <w:vAlign w:val="top"/>
            <w:tcMar>
              <w:top w:w="80" w:type="dxa"/>
              <w:start w:w="90" w:type="dxa"/>
              <w:bottom w:w="80" w:type="dxa"/>
              <w:end w:w="90" w:type="dxa"/>
            </w:tcMar>
          </w:tcPr>
          <w:p>
            <w:pPr>
              <w:spacing w:after="30"/>
            </w:pPr>
            <w:r>
              <w:rPr>
                <w:rFonts w:ascii="Arial" w:hAnsi="Arial"/>
                <w:sz w:val="16"/>
              </w:rPr>
              <w:t>Banco / investidor / seguradora</w:t>
            </w:r>
          </w:p>
        </w:tc>
        <w:tc>
          <w:tcPr>
            <w:tcW w:type="dxa" w:w="7344"/>
            <w:vAlign w:val="top"/>
            <w:tcMar>
              <w:top w:w="80" w:type="dxa"/>
              <w:start w:w="90" w:type="dxa"/>
              <w:bottom w:w="80" w:type="dxa"/>
              <w:end w:w="90" w:type="dxa"/>
            </w:tcMar>
          </w:tcPr>
          <w:p>
            <w:pPr>
              <w:spacing w:after="30"/>
            </w:pPr>
            <w:r>
              <w:rPr>
                <w:rFonts w:ascii="Arial" w:hAnsi="Arial"/>
                <w:sz w:val="16"/>
              </w:rPr>
              <w:t>Produção esperada, risco técnico, sensibilidade, garantia de premissas, histórico de simulação e due diligence.</w:t>
            </w:r>
          </w:p>
        </w:tc>
      </w:tr>
    </w:tbl>
    <w:p>
      <w:pPr>
        <w:pStyle w:val="Heading2"/>
      </w:pPr>
      <w:r>
        <w:t>27.2 Três modos de análise</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232"/>
            <w:shd w:fill="EDEDED"/>
            <w:vAlign w:val="center"/>
            <w:tcMar>
              <w:top w:w="80" w:type="dxa"/>
              <w:start w:w="90" w:type="dxa"/>
              <w:bottom w:w="80" w:type="dxa"/>
              <w:end w:w="90" w:type="dxa"/>
            </w:tcMar>
          </w:tcPr>
          <w:p>
            <w:r>
              <w:rPr>
                <w:rFonts w:ascii="Arial" w:hAnsi="Arial"/>
                <w:b/>
                <w:sz w:val="17"/>
              </w:rPr>
              <w:t>Modo</w:t>
            </w:r>
          </w:p>
        </w:tc>
        <w:tc>
          <w:tcPr>
            <w:tcW w:type="dxa" w:w="7416"/>
            <w:shd w:fill="EDEDED"/>
            <w:vAlign w:val="center"/>
            <w:tcMar>
              <w:top w:w="80" w:type="dxa"/>
              <w:start w:w="90" w:type="dxa"/>
              <w:bottom w:w="80" w:type="dxa"/>
              <w:end w:w="90" w:type="dxa"/>
            </w:tcMar>
          </w:tcPr>
          <w:p>
            <w:r>
              <w:rPr>
                <w:rFonts w:ascii="Arial" w:hAnsi="Arial"/>
                <w:b/>
                <w:sz w:val="17"/>
              </w:rPr>
              <w:t>Escopo e comportamento</w:t>
            </w:r>
          </w:p>
        </w:tc>
      </w:tr>
      <w:tr>
        <w:trPr>
          <w:cantSplit/>
          <w:cantSplit/>
        </w:trPr>
        <w:tc>
          <w:tcPr>
            <w:tcW w:type="dxa" w:w="2232"/>
            <w:vAlign w:val="top"/>
            <w:tcMar>
              <w:top w:w="80" w:type="dxa"/>
              <w:start w:w="90" w:type="dxa"/>
              <w:bottom w:w="80" w:type="dxa"/>
              <w:end w:w="90" w:type="dxa"/>
            </w:tcMar>
          </w:tcPr>
          <w:p>
            <w:pPr>
              <w:spacing w:after="30"/>
            </w:pPr>
            <w:r>
              <w:rPr>
                <w:rFonts w:ascii="Arial" w:hAnsi="Arial"/>
                <w:sz w:val="16"/>
              </w:rPr>
              <w:t>Telhado 3D</w:t>
            </w:r>
          </w:p>
        </w:tc>
        <w:tc>
          <w:tcPr>
            <w:tcW w:type="dxa" w:w="7416"/>
            <w:vAlign w:val="top"/>
            <w:tcMar>
              <w:top w:w="80" w:type="dxa"/>
              <w:start w:w="90" w:type="dxa"/>
              <w:bottom w:w="80" w:type="dxa"/>
              <w:end w:w="90" w:type="dxa"/>
            </w:tcMar>
          </w:tcPr>
          <w:p>
            <w:pPr>
              <w:spacing w:after="30"/>
            </w:pPr>
            <w:r>
              <w:rPr>
                <w:rFonts w:ascii="Arial" w:hAnsi="Arial"/>
                <w:sz w:val="16"/>
              </w:rPr>
              <w:t>Casas, prédios, galpões e equipamentos. Detectar planos de cobertura, inclinação, azimute, obstáculos, área útil, sombra, insolação e layout de módulos.</w:t>
            </w:r>
          </w:p>
        </w:tc>
      </w:tr>
      <w:tr>
        <w:trPr>
          <w:cantSplit/>
          <w:cantSplit/>
        </w:trPr>
        <w:tc>
          <w:tcPr>
            <w:tcW w:type="dxa" w:w="2232"/>
            <w:vAlign w:val="top"/>
            <w:tcMar>
              <w:top w:w="80" w:type="dxa"/>
              <w:start w:w="90" w:type="dxa"/>
              <w:bottom w:w="80" w:type="dxa"/>
              <w:end w:w="90" w:type="dxa"/>
            </w:tcMar>
          </w:tcPr>
          <w:p>
            <w:pPr>
              <w:spacing w:after="30"/>
            </w:pPr>
            <w:r>
              <w:rPr>
                <w:rFonts w:ascii="Arial" w:hAnsi="Arial"/>
                <w:sz w:val="16"/>
              </w:rPr>
              <w:t>Condomínio / multiunidade</w:t>
            </w:r>
          </w:p>
        </w:tc>
        <w:tc>
          <w:tcPr>
            <w:tcW w:type="dxa" w:w="7416"/>
            <w:vAlign w:val="top"/>
            <w:tcMar>
              <w:top w:w="80" w:type="dxa"/>
              <w:start w:w="90" w:type="dxa"/>
              <w:bottom w:w="80" w:type="dxa"/>
              <w:end w:w="90" w:type="dxa"/>
            </w:tcMar>
          </w:tcPr>
          <w:p>
            <w:pPr>
              <w:spacing w:after="30"/>
            </w:pPr>
            <w:r>
              <w:rPr>
                <w:rFonts w:ascii="Arial" w:hAnsi="Arial"/>
                <w:sz w:val="16"/>
              </w:rPr>
              <w:t>Coberturas compartilhadas, áreas comuns, carports, múltiplas unidades consumidoras, deliberações, rateios e regras internas integradas ao módulo Condomínio.</w:t>
            </w:r>
          </w:p>
        </w:tc>
      </w:tr>
      <w:tr>
        <w:trPr>
          <w:cantSplit/>
          <w:cantSplit/>
        </w:trPr>
        <w:tc>
          <w:tcPr>
            <w:tcW w:type="dxa" w:w="2232"/>
            <w:vAlign w:val="top"/>
            <w:tcMar>
              <w:top w:w="80" w:type="dxa"/>
              <w:start w:w="90" w:type="dxa"/>
              <w:bottom w:w="80" w:type="dxa"/>
              <w:end w:w="90" w:type="dxa"/>
            </w:tcMar>
          </w:tcPr>
          <w:p>
            <w:pPr>
              <w:spacing w:after="30"/>
            </w:pPr>
            <w:r>
              <w:rPr>
                <w:rFonts w:ascii="Arial" w:hAnsi="Arial"/>
                <w:sz w:val="16"/>
              </w:rPr>
              <w:t>Solo / fazenda / usina</w:t>
            </w:r>
          </w:p>
        </w:tc>
        <w:tc>
          <w:tcPr>
            <w:tcW w:type="dxa" w:w="7416"/>
            <w:vAlign w:val="top"/>
            <w:tcMar>
              <w:top w:w="80" w:type="dxa"/>
              <w:start w:w="90" w:type="dxa"/>
              <w:bottom w:w="80" w:type="dxa"/>
              <w:end w:w="90" w:type="dxa"/>
            </w:tcMar>
          </w:tcPr>
          <w:p>
            <w:pPr>
              <w:spacing w:after="30"/>
            </w:pPr>
            <w:r>
              <w:rPr>
                <w:rFonts w:ascii="Arial" w:hAnsi="Arial"/>
                <w:sz w:val="16"/>
              </w:rPr>
              <w:t>Terrenos urbanos ou rurais. Analisar relevo, declividade, orientação, sombra/horizonte, exclusões ambientais, acesso, layout de mesas/trackers, corredores, inversores e proximidade de rede.</w:t>
            </w:r>
          </w:p>
        </w:tc>
      </w:tr>
    </w:tbl>
    <w:p>
      <w:pPr>
        <w:pStyle w:val="Heading2"/>
      </w:pPr>
      <w:r>
        <w:t>27.3 Gêmeo digital 3D e experiência visual</w:t>
      </w:r>
    </w:p>
    <w:p>
      <w:pPr>
        <w:spacing w:after="50"/>
        <w:ind w:left="173" w:hanging="115"/>
      </w:pPr>
      <w:r>
        <w:rPr>
          <w:rFonts w:ascii="Arial" w:hAnsi="Arial"/>
          <w:sz w:val="19"/>
        </w:rPr>
        <w:t>• Abrir o imóvel diretamente a partir do LoteDiretor, Imóvel 360, RE Rural ou Condomínio; também aceitar endereço, coordenada, polígono, CIB/cadastro, CAR/SIGEF ou desenho manual.</w:t>
      </w:r>
    </w:p>
    <w:p>
      <w:pPr>
        <w:spacing w:after="50"/>
        <w:ind w:left="173" w:hanging="115"/>
      </w:pPr>
      <w:r>
        <w:rPr>
          <w:rFonts w:ascii="Arial" w:hAnsi="Arial"/>
          <w:sz w:val="19"/>
        </w:rPr>
        <w:t>• Exibir cena 3D navegável com terreno, edificações, vegetação/obstáculos relevantes e limites cadastrais. Quando houver cobertura adequada, usar Photorealistic 3D Maps/Tiles do Google; onde não houver, montar cena própria a partir de DTM/DSM, footprints, cadastro municipal, fotogrametria, drone, LiDAR ou BIM [R55][R56].</w:t>
      </w:r>
    </w:p>
    <w:p>
      <w:pPr>
        <w:spacing w:after="50"/>
        <w:ind w:left="173" w:hanging="115"/>
      </w:pPr>
      <w:r>
        <w:rPr>
          <w:rFonts w:ascii="Arial" w:hAnsi="Arial"/>
          <w:sz w:val="19"/>
        </w:rPr>
        <w:t>• Permitir câmera orbital, vista superior, vista do sol, vista por face de telhado, corte de terreno e modo 2D/3D sincronizado.</w:t>
      </w:r>
    </w:p>
    <w:p>
      <w:pPr>
        <w:spacing w:after="50"/>
        <w:ind w:left="173" w:hanging="115"/>
      </w:pPr>
      <w:r>
        <w:rPr>
          <w:rFonts w:ascii="Arial" w:hAnsi="Arial"/>
          <w:sz w:val="19"/>
        </w:rPr>
        <w:t>• Sobrepor mapa de insolação anual/mensal, heatmap de sombra, planos de cobertura, painéis, rotas de cabos, inversores, baterias, transformadores e áreas de exclusão.</w:t>
      </w:r>
    </w:p>
    <w:p>
      <w:pPr>
        <w:spacing w:after="50"/>
        <w:ind w:left="173" w:hanging="115"/>
      </w:pPr>
      <w:r>
        <w:rPr>
          <w:rFonts w:ascii="Arial" w:hAnsi="Arial"/>
          <w:sz w:val="19"/>
        </w:rPr>
        <w:t>• Mostrar data/qualidade da imagem ou modelo usado. Nunca apresentar uma malha antiga como se fosse uma inspeção atual.</w:t>
      </w:r>
    </w:p>
    <w:p>
      <w:pPr>
        <w:spacing w:after="50"/>
        <w:ind w:left="173" w:hanging="115"/>
      </w:pPr>
      <w:r>
        <w:rPr>
          <w:rFonts w:ascii="Arial" w:hAnsi="Arial"/>
          <w:sz w:val="19"/>
        </w:rPr>
        <w:t>• Aceitar upload de ortomosaico, nuvem de pontos LAS/LAZ, modelo IFC/BIM e levantamento topográfico para elevar a precisão em projetos profissionais.</w:t>
      </w:r>
    </w:p>
    <w:p>
      <w:pPr>
        <w:pStyle w:val="Heading2"/>
      </w:pPr>
      <w:r>
        <w:t>27.4 Trajetória do sol e simulador temporal</w:t>
      </w:r>
    </w:p>
    <w:p>
      <w:pPr>
        <w:spacing w:after="50"/>
        <w:ind w:left="173" w:hanging="115"/>
      </w:pPr>
      <w:r>
        <w:rPr>
          <w:rFonts w:ascii="Arial" w:hAnsi="Arial"/>
          <w:sz w:val="19"/>
        </w:rPr>
        <w:t>• Controle de data e hora com slider: usuário arrasta o relógio e vê a posição do sol, direção dos raios e sombras mudarem em 3D.</w:t>
      </w:r>
    </w:p>
    <w:p>
      <w:pPr>
        <w:spacing w:after="50"/>
        <w:ind w:left="173" w:hanging="115"/>
      </w:pPr>
      <w:r>
        <w:rPr>
          <w:rFonts w:ascii="Arial" w:hAnsi="Arial"/>
          <w:sz w:val="19"/>
        </w:rPr>
        <w:t>• Atalhos para solstícios, equinócios, mês crítico, melhor dia, pior dia, manhã/tarde e animação de 24 horas.</w:t>
      </w:r>
    </w:p>
    <w:p>
      <w:pPr>
        <w:spacing w:after="50"/>
        <w:ind w:left="173" w:hanging="115"/>
      </w:pPr>
      <w:r>
        <w:rPr>
          <w:rFonts w:ascii="Arial" w:hAnsi="Arial"/>
          <w:sz w:val="19"/>
        </w:rPr>
        <w:t>• Cálculo astronômico por latitude, longitude, altitude e timestamp, com modelo reprodutível (por exemplo, SPA/pvlib) e timezone correto.</w:t>
      </w:r>
    </w:p>
    <w:p>
      <w:pPr>
        <w:spacing w:after="50"/>
        <w:ind w:left="173" w:hanging="115"/>
      </w:pPr>
      <w:r>
        <w:rPr>
          <w:rFonts w:ascii="Arial" w:hAnsi="Arial"/>
          <w:sz w:val="19"/>
        </w:rPr>
        <w:t>• Horizonte local e obstáculos devem afetar a incidência, inclusive prédios vizinhos, árvores, platibandas, caixas d'água, sheds, antenas e topografia.</w:t>
      </w:r>
    </w:p>
    <w:p>
      <w:pPr>
        <w:spacing w:after="50"/>
        <w:ind w:left="173" w:hanging="115"/>
      </w:pPr>
      <w:r>
        <w:rPr>
          <w:rFonts w:ascii="Arial" w:hAnsi="Arial"/>
          <w:sz w:val="19"/>
        </w:rPr>
        <w:t>• Ao clicar em um ponto do telhado/terreno, mostrar irradiância estimada, horas equivalentes de sol, sombra anual, azimute, inclinação e perda por sombreamento.</w:t>
      </w:r>
    </w:p>
    <w:p>
      <w:pPr>
        <w:spacing w:after="50"/>
        <w:ind w:left="173" w:hanging="115"/>
      </w:pPr>
      <w:r>
        <w:rPr>
          <w:rFonts w:ascii="Arial" w:hAnsi="Arial"/>
          <w:sz w:val="19"/>
        </w:rPr>
        <w:t>• Gerar visual de sombra horário para datas selecionadas e mapa anual de aptidão solar por pixel/superfície.</w:t>
      </w:r>
    </w:p>
    <w:p>
      <w:pPr>
        <w:pStyle w:val="Heading2"/>
      </w:pPr>
      <w:r>
        <w:t>27.5 Fontes de dados e estratégia de cobertura nacional</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2376"/>
            <w:shd w:fill="EDEDED"/>
            <w:vAlign w:val="center"/>
            <w:tcMar>
              <w:top w:w="80" w:type="dxa"/>
              <w:start w:w="90" w:type="dxa"/>
              <w:bottom w:w="80" w:type="dxa"/>
              <w:end w:w="90" w:type="dxa"/>
            </w:tcMar>
          </w:tcPr>
          <w:p>
            <w:r>
              <w:rPr>
                <w:rFonts w:ascii="Arial" w:hAnsi="Arial"/>
                <w:b/>
                <w:sz w:val="17"/>
              </w:rPr>
              <w:t>Fonte / camada</w:t>
            </w:r>
          </w:p>
        </w:tc>
        <w:tc>
          <w:tcPr>
            <w:tcW w:type="dxa" w:w="4536"/>
            <w:shd w:fill="EDEDED"/>
            <w:vAlign w:val="center"/>
            <w:tcMar>
              <w:top w:w="80" w:type="dxa"/>
              <w:start w:w="90" w:type="dxa"/>
              <w:bottom w:w="80" w:type="dxa"/>
              <w:end w:w="90" w:type="dxa"/>
            </w:tcMar>
          </w:tcPr>
          <w:p>
            <w:r>
              <w:rPr>
                <w:rFonts w:ascii="Arial" w:hAnsi="Arial"/>
                <w:b/>
                <w:sz w:val="17"/>
              </w:rPr>
              <w:t>Uso no módulo</w:t>
            </w:r>
          </w:p>
        </w:tc>
        <w:tc>
          <w:tcPr>
            <w:tcW w:type="dxa" w:w="2736"/>
            <w:shd w:fill="EDEDED"/>
            <w:vAlign w:val="center"/>
            <w:tcMar>
              <w:top w:w="80" w:type="dxa"/>
              <w:start w:w="90" w:type="dxa"/>
              <w:bottom w:w="80" w:type="dxa"/>
              <w:end w:w="90" w:type="dxa"/>
            </w:tcMar>
          </w:tcPr>
          <w:p>
            <w:r>
              <w:rPr>
                <w:rFonts w:ascii="Arial" w:hAnsi="Arial"/>
                <w:b/>
                <w:sz w:val="17"/>
              </w:rPr>
              <w:t>Regra de uso</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Google Solar API — buildingInsights</w:t>
            </w:r>
          </w:p>
        </w:tc>
        <w:tc>
          <w:tcPr>
            <w:tcW w:type="dxa" w:w="4536"/>
            <w:vAlign w:val="top"/>
            <w:tcMar>
              <w:top w:w="80" w:type="dxa"/>
              <w:start w:w="90" w:type="dxa"/>
              <w:bottom w:w="80" w:type="dxa"/>
              <w:end w:w="90" w:type="dxa"/>
            </w:tcMar>
          </w:tcPr>
          <w:p>
            <w:pPr>
              <w:spacing w:after="30"/>
            </w:pPr>
            <w:r>
              <w:rPr>
                <w:rFonts w:ascii="Arial" w:hAnsi="Arial"/>
                <w:sz w:val="16"/>
              </w:rPr>
              <w:t>Centro do edifício, bounding box, segmentos de telhado, pitch/azimute, configurações de painéis, energia DC anual e, quando disponível, arrays existentes detectados [R49][R52][R54].</w:t>
            </w:r>
          </w:p>
        </w:tc>
        <w:tc>
          <w:tcPr>
            <w:tcW w:type="dxa" w:w="2736"/>
            <w:vAlign w:val="top"/>
            <w:tcMar>
              <w:top w:w="80" w:type="dxa"/>
              <w:start w:w="90" w:type="dxa"/>
              <w:bottom w:w="80" w:type="dxa"/>
              <w:end w:w="90" w:type="dxa"/>
            </w:tcMar>
          </w:tcPr>
          <w:p>
            <w:pPr>
              <w:spacing w:after="30"/>
            </w:pPr>
            <w:r>
              <w:rPr>
                <w:rFonts w:ascii="Arial" w:hAnsi="Arial"/>
                <w:sz w:val="16"/>
              </w:rPr>
              <w:t>Usar onde houver cobertura/qualidade suficientes; guardar proveniência e respeitar termos/licença.</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Google Solar API — dataLayers/GeoTIFF</w:t>
            </w:r>
          </w:p>
        </w:tc>
        <w:tc>
          <w:tcPr>
            <w:tcW w:type="dxa" w:w="4536"/>
            <w:vAlign w:val="top"/>
            <w:tcMar>
              <w:top w:w="80" w:type="dxa"/>
              <w:start w:w="90" w:type="dxa"/>
              <w:bottom w:w="80" w:type="dxa"/>
              <w:end w:w="90" w:type="dxa"/>
            </w:tcMar>
          </w:tcPr>
          <w:p>
            <w:pPr>
              <w:spacing w:after="30"/>
            </w:pPr>
            <w:r>
              <w:rPr>
                <w:rFonts w:ascii="Arial" w:hAnsi="Arial"/>
                <w:sz w:val="16"/>
              </w:rPr>
              <w:t>DSM, imagem RGB, máscara, fluxo solar anual/mensal e sombra horária para análise detalhada [R51].</w:t>
            </w:r>
          </w:p>
        </w:tc>
        <w:tc>
          <w:tcPr>
            <w:tcW w:type="dxa" w:w="2736"/>
            <w:vAlign w:val="top"/>
            <w:tcMar>
              <w:top w:w="80" w:type="dxa"/>
              <w:start w:w="90" w:type="dxa"/>
              <w:bottom w:w="80" w:type="dxa"/>
              <w:end w:w="90" w:type="dxa"/>
            </w:tcMar>
          </w:tcPr>
          <w:p>
            <w:pPr>
              <w:spacing w:after="30"/>
            </w:pPr>
            <w:r>
              <w:rPr>
                <w:rFonts w:ascii="Arial" w:hAnsi="Arial"/>
                <w:sz w:val="16"/>
              </w:rPr>
              <w:t>Processamento orientado ao telhado; não assumir que cobre terreno rural.</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Google Photorealistic 3D / Map Tiles</w:t>
            </w:r>
          </w:p>
        </w:tc>
        <w:tc>
          <w:tcPr>
            <w:tcW w:type="dxa" w:w="4536"/>
            <w:vAlign w:val="top"/>
            <w:tcMar>
              <w:top w:w="80" w:type="dxa"/>
              <w:start w:w="90" w:type="dxa"/>
              <w:bottom w:w="80" w:type="dxa"/>
              <w:end w:w="90" w:type="dxa"/>
            </w:tcMar>
          </w:tcPr>
          <w:p>
            <w:pPr>
              <w:spacing w:after="30"/>
            </w:pPr>
            <w:r>
              <w:rPr>
                <w:rFonts w:ascii="Arial" w:hAnsi="Arial"/>
                <w:sz w:val="16"/>
              </w:rPr>
              <w:t>Cena 3D de terreno, prédios e vegetação em áreas cobertas [R55][R56].</w:t>
            </w:r>
          </w:p>
        </w:tc>
        <w:tc>
          <w:tcPr>
            <w:tcW w:type="dxa" w:w="2736"/>
            <w:vAlign w:val="top"/>
            <w:tcMar>
              <w:top w:w="80" w:type="dxa"/>
              <w:start w:w="90" w:type="dxa"/>
              <w:bottom w:w="80" w:type="dxa"/>
              <w:end w:w="90" w:type="dxa"/>
            </w:tcMar>
          </w:tcPr>
          <w:p>
            <w:pPr>
              <w:spacing w:after="30"/>
            </w:pPr>
            <w:r>
              <w:rPr>
                <w:rFonts w:ascii="Arial" w:hAnsi="Arial"/>
                <w:sz w:val="16"/>
              </w:rPr>
              <w:t>Atribuição obrigatória e política de uso/caching por fonte.</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INPE/LABREN — Atlas Brasileiro de Energia Solar</w:t>
            </w:r>
          </w:p>
        </w:tc>
        <w:tc>
          <w:tcPr>
            <w:tcW w:type="dxa" w:w="4536"/>
            <w:vAlign w:val="top"/>
            <w:tcMar>
              <w:top w:w="80" w:type="dxa"/>
              <w:start w:w="90" w:type="dxa"/>
              <w:bottom w:w="80" w:type="dxa"/>
              <w:end w:w="90" w:type="dxa"/>
            </w:tcMar>
          </w:tcPr>
          <w:p>
            <w:pPr>
              <w:spacing w:after="30"/>
            </w:pPr>
            <w:r>
              <w:rPr>
                <w:rFonts w:ascii="Arial" w:hAnsi="Arial"/>
                <w:sz w:val="16"/>
              </w:rPr>
              <w:t>Baseline nacional de irradiação global, direta, difusa e plano inclinado [R58].</w:t>
            </w:r>
          </w:p>
        </w:tc>
        <w:tc>
          <w:tcPr>
            <w:tcW w:type="dxa" w:w="2736"/>
            <w:vAlign w:val="top"/>
            <w:tcMar>
              <w:top w:w="80" w:type="dxa"/>
              <w:start w:w="90" w:type="dxa"/>
              <w:bottom w:w="80" w:type="dxa"/>
              <w:end w:w="90" w:type="dxa"/>
            </w:tcMar>
          </w:tcPr>
          <w:p>
            <w:pPr>
              <w:spacing w:after="30"/>
            </w:pPr>
            <w:r>
              <w:rPr>
                <w:rFonts w:ascii="Arial" w:hAnsi="Arial"/>
                <w:sz w:val="16"/>
              </w:rPr>
              <w:t>Revisar licenciamento para uso comercial; a página do LABREN informa restrições de reprodução/cópia da base para fins comerciais sem autorização.</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Provedor meteorológico licenciado / estações</w:t>
            </w:r>
          </w:p>
        </w:tc>
        <w:tc>
          <w:tcPr>
            <w:tcW w:type="dxa" w:w="4536"/>
            <w:vAlign w:val="top"/>
            <w:tcMar>
              <w:top w:w="80" w:type="dxa"/>
              <w:start w:w="90" w:type="dxa"/>
              <w:bottom w:w="80" w:type="dxa"/>
              <w:end w:w="90" w:type="dxa"/>
            </w:tcMar>
          </w:tcPr>
          <w:p>
            <w:pPr>
              <w:spacing w:after="30"/>
            </w:pPr>
            <w:r>
              <w:rPr>
                <w:rFonts w:ascii="Arial" w:hAnsi="Arial"/>
                <w:sz w:val="16"/>
              </w:rPr>
              <w:t>Temperatura, nuvens, vento, albedo/neve onde aplicável e séries temporais.</w:t>
            </w:r>
          </w:p>
        </w:tc>
        <w:tc>
          <w:tcPr>
            <w:tcW w:type="dxa" w:w="2736"/>
            <w:vAlign w:val="top"/>
            <w:tcMar>
              <w:top w:w="80" w:type="dxa"/>
              <w:start w:w="90" w:type="dxa"/>
              <w:bottom w:w="80" w:type="dxa"/>
              <w:end w:w="90" w:type="dxa"/>
            </w:tcMar>
          </w:tcPr>
          <w:p>
            <w:pPr>
              <w:spacing w:after="30"/>
            </w:pPr>
            <w:r>
              <w:rPr>
                <w:rFonts w:ascii="Arial" w:hAnsi="Arial"/>
                <w:sz w:val="16"/>
              </w:rPr>
              <w:t>Versionar dataset/ano meteorológico; não misturar fontes sem registrar.</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ANEEL — MMGD e pedidos de conexão</w:t>
            </w:r>
          </w:p>
        </w:tc>
        <w:tc>
          <w:tcPr>
            <w:tcW w:type="dxa" w:w="4536"/>
            <w:vAlign w:val="top"/>
            <w:tcMar>
              <w:top w:w="80" w:type="dxa"/>
              <w:start w:w="90" w:type="dxa"/>
              <w:bottom w:w="80" w:type="dxa"/>
              <w:end w:w="90" w:type="dxa"/>
            </w:tcMar>
          </w:tcPr>
          <w:p>
            <w:pPr>
              <w:spacing w:after="30"/>
            </w:pPr>
            <w:r>
              <w:rPr>
                <w:rFonts w:ascii="Arial" w:hAnsi="Arial"/>
                <w:sz w:val="16"/>
              </w:rPr>
              <w:t>Benchmark de sistemas existentes, distribuidora, potência, município e evolução da geração distribuída [R61][R62].</w:t>
            </w:r>
          </w:p>
        </w:tc>
        <w:tc>
          <w:tcPr>
            <w:tcW w:type="dxa" w:w="2736"/>
            <w:vAlign w:val="top"/>
            <w:tcMar>
              <w:top w:w="80" w:type="dxa"/>
              <w:start w:w="90" w:type="dxa"/>
              <w:bottom w:w="80" w:type="dxa"/>
              <w:end w:w="90" w:type="dxa"/>
            </w:tcMar>
          </w:tcPr>
          <w:p>
            <w:pPr>
              <w:spacing w:after="30"/>
            </w:pPr>
            <w:r>
              <w:rPr>
                <w:rFonts w:ascii="Arial" w:hAnsi="Arial"/>
                <w:sz w:val="16"/>
              </w:rPr>
              <w:t>Dados abertos; usar para analytics e validação, não para garantir aprovação de nova conexão.</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ANEEL — BDGD</w:t>
            </w:r>
          </w:p>
        </w:tc>
        <w:tc>
          <w:tcPr>
            <w:tcW w:type="dxa" w:w="4536"/>
            <w:vAlign w:val="top"/>
            <w:tcMar>
              <w:top w:w="80" w:type="dxa"/>
              <w:start w:w="90" w:type="dxa"/>
              <w:bottom w:w="80" w:type="dxa"/>
              <w:end w:w="90" w:type="dxa"/>
            </w:tcMar>
          </w:tcPr>
          <w:p>
            <w:pPr>
              <w:spacing w:after="30"/>
            </w:pPr>
            <w:r>
              <w:rPr>
                <w:rFonts w:ascii="Arial" w:hAnsi="Arial"/>
                <w:sz w:val="16"/>
              </w:rPr>
              <w:t>Rede de distribuição, ativos e contexto elétrico quando a granularidade publicada permitir [R18].</w:t>
            </w:r>
          </w:p>
        </w:tc>
        <w:tc>
          <w:tcPr>
            <w:tcW w:type="dxa" w:w="2736"/>
            <w:vAlign w:val="top"/>
            <w:tcMar>
              <w:top w:w="80" w:type="dxa"/>
              <w:start w:w="90" w:type="dxa"/>
              <w:bottom w:w="80" w:type="dxa"/>
              <w:end w:w="90" w:type="dxa"/>
            </w:tcMar>
          </w:tcPr>
          <w:p>
            <w:pPr>
              <w:spacing w:after="30"/>
            </w:pPr>
            <w:r>
              <w:rPr>
                <w:rFonts w:ascii="Arial" w:hAnsi="Arial"/>
                <w:sz w:val="16"/>
              </w:rPr>
              <w:t>Pré-análise; a capacidade real de conexão depende da distribuidora.</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ANEEL — tarifas TE/TUSD</w:t>
            </w:r>
          </w:p>
        </w:tc>
        <w:tc>
          <w:tcPr>
            <w:tcW w:type="dxa" w:w="4536"/>
            <w:vAlign w:val="top"/>
            <w:tcMar>
              <w:top w:w="80" w:type="dxa"/>
              <w:start w:w="90" w:type="dxa"/>
              <w:bottom w:w="80" w:type="dxa"/>
              <w:end w:w="90" w:type="dxa"/>
            </w:tcMar>
          </w:tcPr>
          <w:p>
            <w:pPr>
              <w:spacing w:after="30"/>
            </w:pPr>
            <w:r>
              <w:rPr>
                <w:rFonts w:ascii="Arial" w:hAnsi="Arial"/>
                <w:sz w:val="16"/>
              </w:rPr>
              <w:t>Tarifas homologadas, classe, subgrupo, modalidade e vigência [R64].</w:t>
            </w:r>
          </w:p>
        </w:tc>
        <w:tc>
          <w:tcPr>
            <w:tcW w:type="dxa" w:w="2736"/>
            <w:vAlign w:val="top"/>
            <w:tcMar>
              <w:top w:w="80" w:type="dxa"/>
              <w:start w:w="90" w:type="dxa"/>
              <w:bottom w:w="80" w:type="dxa"/>
              <w:end w:w="90" w:type="dxa"/>
            </w:tcMar>
          </w:tcPr>
          <w:p>
            <w:pPr>
              <w:spacing w:after="30"/>
            </w:pPr>
            <w:r>
              <w:rPr>
                <w:rFonts w:ascii="Arial" w:hAnsi="Arial"/>
                <w:sz w:val="16"/>
              </w:rPr>
              <w:t>Motor temporal por vigência; conta do cliente prevalece para validar enquadramento real.</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LoteDiretor / RE Rural / Condomínio</w:t>
            </w:r>
          </w:p>
        </w:tc>
        <w:tc>
          <w:tcPr>
            <w:tcW w:type="dxa" w:w="4536"/>
            <w:vAlign w:val="top"/>
            <w:tcMar>
              <w:top w:w="80" w:type="dxa"/>
              <w:start w:w="90" w:type="dxa"/>
              <w:bottom w:w="80" w:type="dxa"/>
              <w:end w:w="90" w:type="dxa"/>
            </w:tcMar>
          </w:tcPr>
          <w:p>
            <w:pPr>
              <w:spacing w:after="30"/>
            </w:pPr>
            <w:r>
              <w:rPr>
                <w:rFonts w:ascii="Arial" w:hAnsi="Arial"/>
                <w:sz w:val="16"/>
              </w:rPr>
              <w:t>Lote, zoneamento, APP, UC, patrimônio, cadastro, uso, cobertura, regras internas, áreas comuns e restrições.</w:t>
            </w:r>
          </w:p>
        </w:tc>
        <w:tc>
          <w:tcPr>
            <w:tcW w:type="dxa" w:w="2736"/>
            <w:vAlign w:val="top"/>
            <w:tcMar>
              <w:top w:w="80" w:type="dxa"/>
              <w:start w:w="90" w:type="dxa"/>
              <w:bottom w:w="80" w:type="dxa"/>
              <w:end w:w="90" w:type="dxa"/>
            </w:tcMar>
          </w:tcPr>
          <w:p>
            <w:pPr>
              <w:spacing w:after="30"/>
            </w:pPr>
            <w:r>
              <w:rPr>
                <w:rFonts w:ascii="Arial" w:hAnsi="Arial"/>
                <w:sz w:val="16"/>
              </w:rPr>
              <w:t>Evitar projeto solar em área incompatível ou sem direito de uso.</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Usuário / integrador</w:t>
            </w:r>
          </w:p>
        </w:tc>
        <w:tc>
          <w:tcPr>
            <w:tcW w:type="dxa" w:w="4536"/>
            <w:vAlign w:val="top"/>
            <w:tcMar>
              <w:top w:w="80" w:type="dxa"/>
              <w:start w:w="90" w:type="dxa"/>
              <w:bottom w:w="80" w:type="dxa"/>
              <w:end w:w="90" w:type="dxa"/>
            </w:tcMar>
          </w:tcPr>
          <w:p>
            <w:pPr>
              <w:spacing w:after="30"/>
            </w:pPr>
            <w:r>
              <w:rPr>
                <w:rFonts w:ascii="Arial" w:hAnsi="Arial"/>
                <w:sz w:val="16"/>
              </w:rPr>
              <w:t>12 contas, curva de carga, fotos, vistoria, modelo do módulo, preços, projeto, medidor, transformador, drone/BIM.</w:t>
            </w:r>
          </w:p>
        </w:tc>
        <w:tc>
          <w:tcPr>
            <w:tcW w:type="dxa" w:w="2736"/>
            <w:vAlign w:val="top"/>
            <w:tcMar>
              <w:top w:w="80" w:type="dxa"/>
              <w:start w:w="90" w:type="dxa"/>
              <w:bottom w:w="80" w:type="dxa"/>
              <w:end w:w="90" w:type="dxa"/>
            </w:tcMar>
          </w:tcPr>
          <w:p>
            <w:pPr>
              <w:spacing w:after="30"/>
            </w:pPr>
            <w:r>
              <w:rPr>
                <w:rFonts w:ascii="Arial" w:hAnsi="Arial"/>
                <w:sz w:val="16"/>
              </w:rPr>
              <w:t>Dados do usuário recebem maior peso quando mais atuais e documentados.</w:t>
            </w:r>
          </w:p>
        </w:tc>
      </w:tr>
    </w:tbl>
    <w:p>
      <w:pPr>
        <w:pStyle w:val="Small"/>
        <w:spacing w:before="60" w:after="120"/>
      </w:pPr>
      <w:r>
        <w:rPr>
          <w:b w:val="0"/>
        </w:rPr>
        <w:t>Nota técnica: Cobertura deve ser explícita. Cada análise deve receber um status como HIGH / MEDIUM / BASE / MODELO PRÓPRIO / LEVANTAMENTO DO USUÁRIO, com data, resolução e limitações [R53].</w:t>
      </w:r>
    </w:p>
    <w:p>
      <w:pPr>
        <w:pStyle w:val="Heading2"/>
      </w:pPr>
      <w:r>
        <w:t>27.6 Por que não copiar literalmente o modelo do Google</w:t>
      </w:r>
    </w:p>
    <w:p>
      <w:pPr>
        <w:spacing w:after="100"/>
      </w:pPr>
      <w:r>
        <w:t>A abordagem do Google é uma excelente referência para telhados, mas o produto nacional precisa ir além. A metodologia atual do Solar API assume módulos de 400 W, eficiência de 20,4%, derate DC/AC de 85%, montagem rente ao telhado e potencial em edificações, com arrays entre 2 kW e 1000 kW; campos e estacionamentos ficam fora do potencial técnico do produto [R50]. O Energia Solar deve usar esses resultados como baseline quando disponíveis, porém recalcular cenários com o módulo, inversor, perdas, orientação e regras selecionadas pelo usuário.</w:t>
      </w:r>
    </w:p>
    <w:p>
      <w:pPr>
        <w:pStyle w:val="Heading2"/>
      </w:pPr>
      <w:r>
        <w:t>27.7 Detector de superfícies e área útil</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232"/>
            <w:shd w:fill="EDEDED"/>
            <w:vAlign w:val="center"/>
            <w:tcMar>
              <w:top w:w="80" w:type="dxa"/>
              <w:start w:w="90" w:type="dxa"/>
              <w:bottom w:w="80" w:type="dxa"/>
              <w:end w:w="90" w:type="dxa"/>
            </w:tcMar>
          </w:tcPr>
          <w:p>
            <w:r>
              <w:rPr>
                <w:rFonts w:ascii="Arial" w:hAnsi="Arial"/>
                <w:b/>
                <w:sz w:val="17"/>
              </w:rPr>
              <w:t>Objeto</w:t>
            </w:r>
          </w:p>
        </w:tc>
        <w:tc>
          <w:tcPr>
            <w:tcW w:type="dxa" w:w="7416"/>
            <w:shd w:fill="EDEDED"/>
            <w:vAlign w:val="center"/>
            <w:tcMar>
              <w:top w:w="80" w:type="dxa"/>
              <w:start w:w="90" w:type="dxa"/>
              <w:bottom w:w="80" w:type="dxa"/>
              <w:end w:w="90" w:type="dxa"/>
            </w:tcMar>
          </w:tcPr>
          <w:p>
            <w:r>
              <w:rPr>
                <w:rFonts w:ascii="Arial" w:hAnsi="Arial"/>
                <w:b/>
                <w:sz w:val="17"/>
              </w:rPr>
              <w:t>O que o motor deve extrair/calcular</w:t>
            </w:r>
          </w:p>
        </w:tc>
      </w:tr>
      <w:tr>
        <w:trPr>
          <w:cantSplit/>
          <w:cantSplit/>
        </w:trPr>
        <w:tc>
          <w:tcPr>
            <w:tcW w:type="dxa" w:w="2232"/>
            <w:vAlign w:val="top"/>
            <w:tcMar>
              <w:top w:w="80" w:type="dxa"/>
              <w:start w:w="90" w:type="dxa"/>
              <w:bottom w:w="80" w:type="dxa"/>
              <w:end w:w="90" w:type="dxa"/>
            </w:tcMar>
          </w:tcPr>
          <w:p>
            <w:pPr>
              <w:spacing w:after="30"/>
            </w:pPr>
            <w:r>
              <w:rPr>
                <w:rFonts w:ascii="Arial" w:hAnsi="Arial"/>
                <w:sz w:val="16"/>
              </w:rPr>
              <w:t>Telhado inclinado</w:t>
            </w:r>
          </w:p>
        </w:tc>
        <w:tc>
          <w:tcPr>
            <w:tcW w:type="dxa" w:w="7416"/>
            <w:vAlign w:val="top"/>
            <w:tcMar>
              <w:top w:w="80" w:type="dxa"/>
              <w:start w:w="90" w:type="dxa"/>
              <w:bottom w:w="80" w:type="dxa"/>
              <w:end w:w="90" w:type="dxa"/>
            </w:tcMar>
          </w:tcPr>
          <w:p>
            <w:pPr>
              <w:spacing w:after="30"/>
            </w:pPr>
            <w:r>
              <w:rPr>
                <w:rFonts w:ascii="Arial" w:hAnsi="Arial"/>
                <w:sz w:val="16"/>
              </w:rPr>
              <w:t>Plano, polígono, área, pitch, azimute, beiral, cumeeira, água do telhado, obstáculos e distância de bordas.</w:t>
            </w:r>
          </w:p>
        </w:tc>
      </w:tr>
      <w:tr>
        <w:trPr>
          <w:cantSplit/>
          <w:cantSplit/>
        </w:trPr>
        <w:tc>
          <w:tcPr>
            <w:tcW w:type="dxa" w:w="2232"/>
            <w:vAlign w:val="top"/>
            <w:tcMar>
              <w:top w:w="80" w:type="dxa"/>
              <w:start w:w="90" w:type="dxa"/>
              <w:bottom w:w="80" w:type="dxa"/>
              <w:end w:w="90" w:type="dxa"/>
            </w:tcMar>
          </w:tcPr>
          <w:p>
            <w:pPr>
              <w:spacing w:after="30"/>
            </w:pPr>
            <w:r>
              <w:rPr>
                <w:rFonts w:ascii="Arial" w:hAnsi="Arial"/>
                <w:sz w:val="16"/>
              </w:rPr>
              <w:t>Telhado plano</w:t>
            </w:r>
          </w:p>
        </w:tc>
        <w:tc>
          <w:tcPr>
            <w:tcW w:type="dxa" w:w="7416"/>
            <w:vAlign w:val="top"/>
            <w:tcMar>
              <w:top w:w="80" w:type="dxa"/>
              <w:start w:w="90" w:type="dxa"/>
              <w:bottom w:w="80" w:type="dxa"/>
              <w:end w:w="90" w:type="dxa"/>
            </w:tcMar>
          </w:tcPr>
          <w:p>
            <w:pPr>
              <w:spacing w:after="30"/>
            </w:pPr>
            <w:r>
              <w:rPr>
                <w:rFonts w:ascii="Arial" w:hAnsi="Arial"/>
                <w:sz w:val="16"/>
              </w:rPr>
              <w:t>Área útil, platibandas, casas de máquinas, shafts, caixas d’água, equipamentos HVAC, corredores de manutenção e inclinação proposta.</w:t>
            </w:r>
          </w:p>
        </w:tc>
      </w:tr>
      <w:tr>
        <w:trPr>
          <w:cantSplit/>
          <w:cantSplit/>
        </w:trPr>
        <w:tc>
          <w:tcPr>
            <w:tcW w:type="dxa" w:w="2232"/>
            <w:vAlign w:val="top"/>
            <w:tcMar>
              <w:top w:w="80" w:type="dxa"/>
              <w:start w:w="90" w:type="dxa"/>
              <w:bottom w:w="80" w:type="dxa"/>
              <w:end w:w="90" w:type="dxa"/>
            </w:tcMar>
          </w:tcPr>
          <w:p>
            <w:pPr>
              <w:spacing w:after="30"/>
            </w:pPr>
            <w:r>
              <w:rPr>
                <w:rFonts w:ascii="Arial" w:hAnsi="Arial"/>
                <w:sz w:val="16"/>
              </w:rPr>
              <w:t>Galpão / shed</w:t>
            </w:r>
          </w:p>
        </w:tc>
        <w:tc>
          <w:tcPr>
            <w:tcW w:type="dxa" w:w="7416"/>
            <w:vAlign w:val="top"/>
            <w:tcMar>
              <w:top w:w="80" w:type="dxa"/>
              <w:start w:w="90" w:type="dxa"/>
              <w:bottom w:w="80" w:type="dxa"/>
              <w:end w:w="90" w:type="dxa"/>
            </w:tcMar>
          </w:tcPr>
          <w:p>
            <w:pPr>
              <w:spacing w:after="30"/>
            </w:pPr>
            <w:r>
              <w:rPr>
                <w:rFonts w:ascii="Arial" w:hAnsi="Arial"/>
                <w:sz w:val="16"/>
              </w:rPr>
              <w:t>Cada água, orientação, sequência de sheds, sombra entre fileiras, capacidade de carga informada e rota elétrica.</w:t>
            </w:r>
          </w:p>
        </w:tc>
      </w:tr>
      <w:tr>
        <w:trPr>
          <w:cantSplit/>
          <w:cantSplit/>
        </w:trPr>
        <w:tc>
          <w:tcPr>
            <w:tcW w:type="dxa" w:w="2232"/>
            <w:vAlign w:val="top"/>
            <w:tcMar>
              <w:top w:w="80" w:type="dxa"/>
              <w:start w:w="90" w:type="dxa"/>
              <w:bottom w:w="80" w:type="dxa"/>
              <w:end w:w="90" w:type="dxa"/>
            </w:tcMar>
          </w:tcPr>
          <w:p>
            <w:pPr>
              <w:spacing w:after="30"/>
            </w:pPr>
            <w:r>
              <w:rPr>
                <w:rFonts w:ascii="Arial" w:hAnsi="Arial"/>
                <w:sz w:val="16"/>
              </w:rPr>
              <w:t>Carport / estacionamento</w:t>
            </w:r>
          </w:p>
        </w:tc>
        <w:tc>
          <w:tcPr>
            <w:tcW w:type="dxa" w:w="7416"/>
            <w:vAlign w:val="top"/>
            <w:tcMar>
              <w:top w:w="80" w:type="dxa"/>
              <w:start w:w="90" w:type="dxa"/>
              <w:bottom w:w="80" w:type="dxa"/>
              <w:end w:w="90" w:type="dxa"/>
            </w:tcMar>
          </w:tcPr>
          <w:p>
            <w:pPr>
              <w:spacing w:after="30"/>
            </w:pPr>
            <w:r>
              <w:rPr>
                <w:rFonts w:ascii="Arial" w:hAnsi="Arial"/>
                <w:sz w:val="16"/>
              </w:rPr>
              <w:t>Vagas, circulação, altura livre, orientação das coberturas, pilares, drenagem e eventual carregamento veicular.</w:t>
            </w:r>
          </w:p>
        </w:tc>
      </w:tr>
      <w:tr>
        <w:trPr>
          <w:cantSplit/>
          <w:cantSplit/>
        </w:trPr>
        <w:tc>
          <w:tcPr>
            <w:tcW w:type="dxa" w:w="2232"/>
            <w:vAlign w:val="top"/>
            <w:tcMar>
              <w:top w:w="80" w:type="dxa"/>
              <w:start w:w="90" w:type="dxa"/>
              <w:bottom w:w="80" w:type="dxa"/>
              <w:end w:w="90" w:type="dxa"/>
            </w:tcMar>
          </w:tcPr>
          <w:p>
            <w:pPr>
              <w:spacing w:after="30"/>
            </w:pPr>
            <w:r>
              <w:rPr>
                <w:rFonts w:ascii="Arial" w:hAnsi="Arial"/>
                <w:sz w:val="16"/>
              </w:rPr>
              <w:t>Terreno</w:t>
            </w:r>
          </w:p>
        </w:tc>
        <w:tc>
          <w:tcPr>
            <w:tcW w:type="dxa" w:w="7416"/>
            <w:vAlign w:val="top"/>
            <w:tcMar>
              <w:top w:w="80" w:type="dxa"/>
              <w:start w:w="90" w:type="dxa"/>
              <w:bottom w:w="80" w:type="dxa"/>
              <w:end w:w="90" w:type="dxa"/>
            </w:tcMar>
          </w:tcPr>
          <w:p>
            <w:pPr>
              <w:spacing w:after="30"/>
            </w:pPr>
            <w:r>
              <w:rPr>
                <w:rFonts w:ascii="Arial" w:hAnsi="Arial"/>
                <w:sz w:val="16"/>
              </w:rPr>
              <w:t>Declividade, orientação, curvas de nível, área contínua, drenagem, acessos, buffers, vegetação/obstáculos e distância até ponto de conexão.</w:t>
            </w:r>
          </w:p>
        </w:tc>
      </w:tr>
      <w:tr>
        <w:trPr>
          <w:cantSplit/>
          <w:cantSplit/>
        </w:trPr>
        <w:tc>
          <w:tcPr>
            <w:tcW w:type="dxa" w:w="2232"/>
            <w:vAlign w:val="top"/>
            <w:tcMar>
              <w:top w:w="80" w:type="dxa"/>
              <w:start w:w="90" w:type="dxa"/>
              <w:bottom w:w="80" w:type="dxa"/>
              <w:end w:w="90" w:type="dxa"/>
            </w:tcMar>
          </w:tcPr>
          <w:p>
            <w:pPr>
              <w:spacing w:after="30"/>
            </w:pPr>
            <w:r>
              <w:rPr>
                <w:rFonts w:ascii="Arial" w:hAnsi="Arial"/>
                <w:sz w:val="16"/>
              </w:rPr>
              <w:t>Edifício em projeto</w:t>
            </w:r>
          </w:p>
        </w:tc>
        <w:tc>
          <w:tcPr>
            <w:tcW w:type="dxa" w:w="7416"/>
            <w:vAlign w:val="top"/>
            <w:tcMar>
              <w:top w:w="80" w:type="dxa"/>
              <w:start w:w="90" w:type="dxa"/>
              <w:bottom w:w="80" w:type="dxa"/>
              <w:end w:w="90" w:type="dxa"/>
            </w:tcMar>
          </w:tcPr>
          <w:p>
            <w:pPr>
              <w:spacing w:after="30"/>
            </w:pPr>
            <w:r>
              <w:rPr>
                <w:rFonts w:ascii="Arial" w:hAnsi="Arial"/>
                <w:sz w:val="16"/>
              </w:rPr>
              <w:t>Importar BIM/IFC ou massa 3D do Imóvel 360 e simular antes da construção.</w:t>
            </w:r>
          </w:p>
        </w:tc>
      </w:tr>
    </w:tbl>
    <w:p>
      <w:pPr>
        <w:pStyle w:val="Heading2"/>
      </w:pPr>
      <w:r>
        <w:t>27.8 Seletor de placas — controle central da interface</w:t>
      </w:r>
    </w:p>
    <w:p>
      <w:pPr>
        <w:spacing w:after="50"/>
        <w:ind w:left="173" w:hanging="115"/>
      </w:pPr>
      <w:r>
        <w:rPr>
          <w:rFonts w:ascii="Arial" w:hAnsi="Arial"/>
          <w:sz w:val="19"/>
        </w:rPr>
        <w:t>• Slider de quantidade: 1 painel até o máximo geometricamente viável; ao mover o controle, atualizar instantaneamente kWp, área ocupada, energia anual, autoconsumo, excedente, economia e payback.</w:t>
      </w:r>
    </w:p>
    <w:p>
      <w:pPr>
        <w:spacing w:after="50"/>
        <w:ind w:left="173" w:hanging="115"/>
      </w:pPr>
      <w:r>
        <w:rPr>
          <w:rFonts w:ascii="Arial" w:hAnsi="Arial"/>
          <w:sz w:val="19"/>
        </w:rPr>
        <w:t>• Alternar objetivo: quantidade de módulos, potência-alvo (kWp), percentual de compensação da conta, limite de investimento, área máxima ou geração anual desejada.</w:t>
      </w:r>
    </w:p>
    <w:p>
      <w:pPr>
        <w:spacing w:after="50"/>
        <w:ind w:left="173" w:hanging="115"/>
      </w:pPr>
      <w:r>
        <w:rPr>
          <w:rFonts w:ascii="Arial" w:hAnsi="Arial"/>
          <w:sz w:val="19"/>
        </w:rPr>
        <w:t>• Biblioteca de equipamentos: fabricante, modelo, potência Wp, dimensões, eficiência, monofacial/bifacial, coeficientes de temperatura, peso, garantia e curva de degradação.</w:t>
      </w:r>
    </w:p>
    <w:p>
      <w:pPr>
        <w:spacing w:after="50"/>
        <w:ind w:left="173" w:hanging="115"/>
      </w:pPr>
      <w:r>
        <w:rPr>
          <w:rFonts w:ascii="Arial" w:hAnsi="Arial"/>
          <w:sz w:val="19"/>
        </w:rPr>
        <w:t>• Modo 'genérico' para estudo inicial e modo 'equipamento real' para orçamento/proposta.</w:t>
      </w:r>
    </w:p>
    <w:p>
      <w:pPr>
        <w:spacing w:after="50"/>
        <w:ind w:left="173" w:hanging="115"/>
      </w:pPr>
      <w:r>
        <w:rPr>
          <w:rFonts w:ascii="Arial" w:hAnsi="Arial"/>
          <w:sz w:val="19"/>
        </w:rPr>
        <w:t>• Orientação portrait/landscape, tilt, azimute, espaçamento, margem, corredor técnico e regra de agrupamento por MPPT.</w:t>
      </w:r>
    </w:p>
    <w:p>
      <w:pPr>
        <w:spacing w:after="50"/>
        <w:ind w:left="173" w:hanging="115"/>
      </w:pPr>
      <w:r>
        <w:rPr>
          <w:rFonts w:ascii="Arial" w:hAnsi="Arial"/>
          <w:sz w:val="19"/>
        </w:rPr>
        <w:t>• Botão 'otimizar': maximizar energia, maximizar economia, minimizar payback, maximizar autoconsumo ou respeitar investimento máximo.</w:t>
      </w:r>
    </w:p>
    <w:p>
      <w:pPr>
        <w:spacing w:after="50"/>
        <w:ind w:left="173" w:hanging="115"/>
      </w:pPr>
      <w:r>
        <w:rPr>
          <w:rFonts w:ascii="Arial" w:hAnsi="Arial"/>
          <w:sz w:val="19"/>
        </w:rPr>
        <w:t>• Modo manual: arrastar, remover, rotacionar e bloquear painéis na cena 3D; validação automática de colisão e área proibida.</w:t>
      </w:r>
    </w:p>
    <w:p>
      <w:pPr>
        <w:spacing w:after="50"/>
        <w:ind w:left="173" w:hanging="115"/>
      </w:pPr>
      <w:r>
        <w:rPr>
          <w:rFonts w:ascii="Arial" w:hAnsi="Arial"/>
          <w:sz w:val="19"/>
        </w:rPr>
        <w:t>• Ranking de cada painel por produtividade: kWh/ano, kWh/kWp, sombra e valor econômico marginal. O último painel adicionado pode ser menos rentável que o primeiro.</w:t>
      </w:r>
    </w:p>
    <w:p>
      <w:pPr>
        <w:pStyle w:val="Heading2"/>
      </w:pPr>
      <w:r>
        <w:t>27.9 Layout automático de telhado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016"/>
            <w:shd w:fill="EDEDED"/>
            <w:vAlign w:val="center"/>
            <w:tcMar>
              <w:top w:w="80" w:type="dxa"/>
              <w:start w:w="90" w:type="dxa"/>
              <w:bottom w:w="80" w:type="dxa"/>
              <w:end w:w="90" w:type="dxa"/>
            </w:tcMar>
          </w:tcPr>
          <w:p>
            <w:r>
              <w:rPr>
                <w:rFonts w:ascii="Arial" w:hAnsi="Arial"/>
                <w:b/>
                <w:sz w:val="17"/>
              </w:rPr>
              <w:t>Etapa</w:t>
            </w:r>
          </w:p>
        </w:tc>
        <w:tc>
          <w:tcPr>
            <w:tcW w:type="dxa" w:w="7632"/>
            <w:shd w:fill="EDEDED"/>
            <w:vAlign w:val="center"/>
            <w:tcMar>
              <w:top w:w="80" w:type="dxa"/>
              <w:start w:w="90" w:type="dxa"/>
              <w:bottom w:w="80" w:type="dxa"/>
              <w:end w:w="90" w:type="dxa"/>
            </w:tcMar>
          </w:tcPr>
          <w:p>
            <w:r>
              <w:rPr>
                <w:rFonts w:ascii="Arial" w:hAnsi="Arial"/>
                <w:b/>
                <w:sz w:val="17"/>
              </w:rPr>
              <w:t>Processamento</w:t>
            </w:r>
          </w:p>
        </w:tc>
      </w:tr>
      <w:tr>
        <w:trPr>
          <w:cantSplit/>
          <w:cantSplit/>
        </w:trPr>
        <w:tc>
          <w:tcPr>
            <w:tcW w:type="dxa" w:w="2016"/>
            <w:vAlign w:val="top"/>
            <w:tcMar>
              <w:top w:w="80" w:type="dxa"/>
              <w:start w:w="90" w:type="dxa"/>
              <w:bottom w:w="80" w:type="dxa"/>
              <w:end w:w="90" w:type="dxa"/>
            </w:tcMar>
          </w:tcPr>
          <w:p>
            <w:pPr>
              <w:spacing w:after="30"/>
            </w:pPr>
            <w:r>
              <w:rPr>
                <w:rFonts w:ascii="Arial" w:hAnsi="Arial"/>
                <w:sz w:val="16"/>
              </w:rPr>
              <w:t>1. Segmentação</w:t>
            </w:r>
          </w:p>
        </w:tc>
        <w:tc>
          <w:tcPr>
            <w:tcW w:type="dxa" w:w="7632"/>
            <w:vAlign w:val="top"/>
            <w:tcMar>
              <w:top w:w="80" w:type="dxa"/>
              <w:start w:w="90" w:type="dxa"/>
              <w:bottom w:w="80" w:type="dxa"/>
              <w:end w:w="90" w:type="dxa"/>
            </w:tcMar>
          </w:tcPr>
          <w:p>
            <w:pPr>
              <w:spacing w:after="30"/>
            </w:pPr>
            <w:r>
              <w:rPr>
                <w:rFonts w:ascii="Arial" w:hAnsi="Arial"/>
                <w:sz w:val="16"/>
              </w:rPr>
              <w:t>Separar faces de telhado e superfícies utilizáveis.</w:t>
            </w:r>
          </w:p>
        </w:tc>
      </w:tr>
      <w:tr>
        <w:trPr>
          <w:cantSplit/>
          <w:cantSplit/>
        </w:trPr>
        <w:tc>
          <w:tcPr>
            <w:tcW w:type="dxa" w:w="2016"/>
            <w:vAlign w:val="top"/>
            <w:tcMar>
              <w:top w:w="80" w:type="dxa"/>
              <w:start w:w="90" w:type="dxa"/>
              <w:bottom w:w="80" w:type="dxa"/>
              <w:end w:w="90" w:type="dxa"/>
            </w:tcMar>
          </w:tcPr>
          <w:p>
            <w:pPr>
              <w:spacing w:after="30"/>
            </w:pPr>
            <w:r>
              <w:rPr>
                <w:rFonts w:ascii="Arial" w:hAnsi="Arial"/>
                <w:sz w:val="16"/>
              </w:rPr>
              <w:t>2. Exclusões</w:t>
            </w:r>
          </w:p>
        </w:tc>
        <w:tc>
          <w:tcPr>
            <w:tcW w:type="dxa" w:w="7632"/>
            <w:vAlign w:val="top"/>
            <w:tcMar>
              <w:top w:w="80" w:type="dxa"/>
              <w:start w:w="90" w:type="dxa"/>
              <w:bottom w:w="80" w:type="dxa"/>
              <w:end w:w="90" w:type="dxa"/>
            </w:tcMar>
          </w:tcPr>
          <w:p>
            <w:pPr>
              <w:spacing w:after="30"/>
            </w:pPr>
            <w:r>
              <w:rPr>
                <w:rFonts w:ascii="Arial" w:hAnsi="Arial"/>
                <w:sz w:val="16"/>
              </w:rPr>
              <w:t>Aplicar obstáculos, bordas, corredores, áreas de manutenção, regras locais e zonas manuais.</w:t>
            </w:r>
          </w:p>
        </w:tc>
      </w:tr>
      <w:tr>
        <w:trPr>
          <w:cantSplit/>
          <w:cantSplit/>
        </w:trPr>
        <w:tc>
          <w:tcPr>
            <w:tcW w:type="dxa" w:w="2016"/>
            <w:vAlign w:val="top"/>
            <w:tcMar>
              <w:top w:w="80" w:type="dxa"/>
              <w:start w:w="90" w:type="dxa"/>
              <w:bottom w:w="80" w:type="dxa"/>
              <w:end w:w="90" w:type="dxa"/>
            </w:tcMar>
          </w:tcPr>
          <w:p>
            <w:pPr>
              <w:spacing w:after="30"/>
            </w:pPr>
            <w:r>
              <w:rPr>
                <w:rFonts w:ascii="Arial" w:hAnsi="Arial"/>
                <w:sz w:val="16"/>
              </w:rPr>
              <w:t>3. Irradiância</w:t>
            </w:r>
          </w:p>
        </w:tc>
        <w:tc>
          <w:tcPr>
            <w:tcW w:type="dxa" w:w="7632"/>
            <w:vAlign w:val="top"/>
            <w:tcMar>
              <w:top w:w="80" w:type="dxa"/>
              <w:start w:w="90" w:type="dxa"/>
              <w:bottom w:w="80" w:type="dxa"/>
              <w:end w:w="90" w:type="dxa"/>
            </w:tcMar>
          </w:tcPr>
          <w:p>
            <w:pPr>
              <w:spacing w:after="30"/>
            </w:pPr>
            <w:r>
              <w:rPr>
                <w:rFonts w:ascii="Arial" w:hAnsi="Arial"/>
                <w:sz w:val="16"/>
              </w:rPr>
              <w:t>Calcular/ler insolação por superfície e ranquear regiões.</w:t>
            </w:r>
          </w:p>
        </w:tc>
      </w:tr>
      <w:tr>
        <w:trPr>
          <w:cantSplit/>
          <w:cantSplit/>
        </w:trPr>
        <w:tc>
          <w:tcPr>
            <w:tcW w:type="dxa" w:w="2016"/>
            <w:vAlign w:val="top"/>
            <w:tcMar>
              <w:top w:w="80" w:type="dxa"/>
              <w:start w:w="90" w:type="dxa"/>
              <w:bottom w:w="80" w:type="dxa"/>
              <w:end w:w="90" w:type="dxa"/>
            </w:tcMar>
          </w:tcPr>
          <w:p>
            <w:pPr>
              <w:spacing w:after="30"/>
            </w:pPr>
            <w:r>
              <w:rPr>
                <w:rFonts w:ascii="Arial" w:hAnsi="Arial"/>
                <w:sz w:val="16"/>
              </w:rPr>
              <w:t>4. Packing</w:t>
            </w:r>
          </w:p>
        </w:tc>
        <w:tc>
          <w:tcPr>
            <w:tcW w:type="dxa" w:w="7632"/>
            <w:vAlign w:val="top"/>
            <w:tcMar>
              <w:top w:w="80" w:type="dxa"/>
              <w:start w:w="90" w:type="dxa"/>
              <w:bottom w:w="80" w:type="dxa"/>
              <w:end w:w="90" w:type="dxa"/>
            </w:tcMar>
          </w:tcPr>
          <w:p>
            <w:pPr>
              <w:spacing w:after="30"/>
            </w:pPr>
            <w:r>
              <w:rPr>
                <w:rFonts w:ascii="Arial" w:hAnsi="Arial"/>
                <w:sz w:val="16"/>
              </w:rPr>
              <w:t>Preencher com módulo selecionado em portrait/landscape respeitando dimensões reais.</w:t>
            </w:r>
          </w:p>
        </w:tc>
      </w:tr>
      <w:tr>
        <w:trPr>
          <w:cantSplit/>
          <w:cantSplit/>
        </w:trPr>
        <w:tc>
          <w:tcPr>
            <w:tcW w:type="dxa" w:w="2016"/>
            <w:vAlign w:val="top"/>
            <w:tcMar>
              <w:top w:w="80" w:type="dxa"/>
              <w:start w:w="90" w:type="dxa"/>
              <w:bottom w:w="80" w:type="dxa"/>
              <w:end w:w="90" w:type="dxa"/>
            </w:tcMar>
          </w:tcPr>
          <w:p>
            <w:pPr>
              <w:spacing w:after="30"/>
            </w:pPr>
            <w:r>
              <w:rPr>
                <w:rFonts w:ascii="Arial" w:hAnsi="Arial"/>
                <w:sz w:val="16"/>
              </w:rPr>
              <w:t>5. Elétrica</w:t>
            </w:r>
          </w:p>
        </w:tc>
        <w:tc>
          <w:tcPr>
            <w:tcW w:type="dxa" w:w="7632"/>
            <w:vAlign w:val="top"/>
            <w:tcMar>
              <w:top w:w="80" w:type="dxa"/>
              <w:start w:w="90" w:type="dxa"/>
              <w:bottom w:w="80" w:type="dxa"/>
              <w:end w:w="90" w:type="dxa"/>
            </w:tcMar>
          </w:tcPr>
          <w:p>
            <w:pPr>
              <w:spacing w:after="30"/>
            </w:pPr>
            <w:r>
              <w:rPr>
                <w:rFonts w:ascii="Arial" w:hAnsi="Arial"/>
                <w:sz w:val="16"/>
              </w:rPr>
              <w:t>Agrupar strings/MPPT, limitar tensão/corrente e dimensionar razão DC/AC.</w:t>
            </w:r>
          </w:p>
        </w:tc>
      </w:tr>
      <w:tr>
        <w:trPr>
          <w:cantSplit/>
          <w:cantSplit/>
        </w:trPr>
        <w:tc>
          <w:tcPr>
            <w:tcW w:type="dxa" w:w="2016"/>
            <w:vAlign w:val="top"/>
            <w:tcMar>
              <w:top w:w="80" w:type="dxa"/>
              <w:start w:w="90" w:type="dxa"/>
              <w:bottom w:w="80" w:type="dxa"/>
              <w:end w:w="90" w:type="dxa"/>
            </w:tcMar>
          </w:tcPr>
          <w:p>
            <w:pPr>
              <w:spacing w:after="30"/>
            </w:pPr>
            <w:r>
              <w:rPr>
                <w:rFonts w:ascii="Arial" w:hAnsi="Arial"/>
                <w:sz w:val="16"/>
              </w:rPr>
              <w:t>6. Otimização</w:t>
            </w:r>
          </w:p>
        </w:tc>
        <w:tc>
          <w:tcPr>
            <w:tcW w:type="dxa" w:w="7632"/>
            <w:vAlign w:val="top"/>
            <w:tcMar>
              <w:top w:w="80" w:type="dxa"/>
              <w:start w:w="90" w:type="dxa"/>
              <w:bottom w:w="80" w:type="dxa"/>
              <w:end w:w="90" w:type="dxa"/>
            </w:tcMar>
          </w:tcPr>
          <w:p>
            <w:pPr>
              <w:spacing w:after="30"/>
            </w:pPr>
            <w:r>
              <w:rPr>
                <w:rFonts w:ascii="Arial" w:hAnsi="Arial"/>
                <w:sz w:val="16"/>
              </w:rPr>
              <w:t>Testar configurações e escolher a que atende ao objetivo do usuário.</w:t>
            </w:r>
          </w:p>
        </w:tc>
      </w:tr>
      <w:tr>
        <w:trPr>
          <w:cantSplit/>
          <w:cantSplit/>
        </w:trPr>
        <w:tc>
          <w:tcPr>
            <w:tcW w:type="dxa" w:w="2016"/>
            <w:vAlign w:val="top"/>
            <w:tcMar>
              <w:top w:w="80" w:type="dxa"/>
              <w:start w:w="90" w:type="dxa"/>
              <w:bottom w:w="80" w:type="dxa"/>
              <w:end w:w="90" w:type="dxa"/>
            </w:tcMar>
          </w:tcPr>
          <w:p>
            <w:pPr>
              <w:spacing w:after="30"/>
            </w:pPr>
            <w:r>
              <w:rPr>
                <w:rFonts w:ascii="Arial" w:hAnsi="Arial"/>
                <w:sz w:val="16"/>
              </w:rPr>
              <w:t>7. Validação</w:t>
            </w:r>
          </w:p>
        </w:tc>
        <w:tc>
          <w:tcPr>
            <w:tcW w:type="dxa" w:w="7632"/>
            <w:vAlign w:val="top"/>
            <w:tcMar>
              <w:top w:w="80" w:type="dxa"/>
              <w:start w:w="90" w:type="dxa"/>
              <w:bottom w:w="80" w:type="dxa"/>
              <w:end w:w="90" w:type="dxa"/>
            </w:tcMar>
          </w:tcPr>
          <w:p>
            <w:pPr>
              <w:spacing w:after="30"/>
            </w:pPr>
            <w:r>
              <w:rPr>
                <w:rFonts w:ascii="Arial" w:hAnsi="Arial"/>
                <w:sz w:val="16"/>
              </w:rPr>
              <w:t>Detectar sombra excessiva, colisões, clipping, inversor fora de faixa e premissas faltantes.</w:t>
            </w:r>
          </w:p>
        </w:tc>
      </w:tr>
    </w:tbl>
    <w:p>
      <w:pPr>
        <w:pStyle w:val="Heading2"/>
      </w:pPr>
      <w:r>
        <w:t>27.10 Usinas em solo, fazendas e grandes terrenos</w:t>
      </w:r>
    </w:p>
    <w:p>
      <w:pPr>
        <w:spacing w:after="50"/>
        <w:ind w:left="173" w:hanging="115"/>
      </w:pPr>
      <w:r>
        <w:rPr>
          <w:rFonts w:ascii="Arial" w:hAnsi="Arial"/>
          <w:sz w:val="19"/>
        </w:rPr>
        <w:t>• Tratar terreno como polígono de projeto e subtrair APP, Reserva Legal quando aplicável, corpos d’água, UCs, Terras Indígenas, quilombolas, servidões, faixas de domínio, mineração, patrimônio, risco, áreas de preservação e demais restrições vindas do LoteDiretor/RE Rural.</w:t>
      </w:r>
    </w:p>
    <w:p>
      <w:pPr>
        <w:spacing w:after="50"/>
        <w:ind w:left="173" w:hanging="115"/>
      </w:pPr>
      <w:r>
        <w:rPr>
          <w:rFonts w:ascii="Arial" w:hAnsi="Arial"/>
          <w:sz w:val="19"/>
        </w:rPr>
        <w:t>• Mapa de aptidão por declividade, orientação, sombra topográfica, drenagem, acesso, distância de rede e custo de terraplenagem.</w:t>
      </w:r>
    </w:p>
    <w:p>
      <w:pPr>
        <w:spacing w:after="50"/>
        <w:ind w:left="173" w:hanging="115"/>
      </w:pPr>
      <w:r>
        <w:rPr>
          <w:rFonts w:ascii="Arial" w:hAnsi="Arial"/>
          <w:sz w:val="19"/>
        </w:rPr>
        <w:t>• Layout de mesas fixas, trackers de um eixo, módulos bifaciais, espaçamento de fileiras, GCR, backtracking, albedo e sombra entre fileiras.</w:t>
      </w:r>
    </w:p>
    <w:p>
      <w:pPr>
        <w:spacing w:after="50"/>
        <w:ind w:left="173" w:hanging="115"/>
      </w:pPr>
      <w:r>
        <w:rPr>
          <w:rFonts w:ascii="Arial" w:hAnsi="Arial"/>
          <w:sz w:val="19"/>
        </w:rPr>
        <w:t>• Dimensionar corredores internos, vias de serviço, cercamento, inversores/skids, subestação/transformação, áreas de reserva e expansão.</w:t>
      </w:r>
    </w:p>
    <w:p>
      <w:pPr>
        <w:spacing w:after="50"/>
        <w:ind w:left="173" w:hanging="115"/>
      </w:pPr>
      <w:r>
        <w:rPr>
          <w:rFonts w:ascii="Arial" w:hAnsi="Arial"/>
          <w:sz w:val="19"/>
        </w:rPr>
        <w:t>• Calcular potência por hectare a partir do layout real, nunca por uma constante fixa universal.</w:t>
      </w:r>
    </w:p>
    <w:p>
      <w:pPr>
        <w:spacing w:after="50"/>
        <w:ind w:left="173" w:hanging="115"/>
      </w:pPr>
      <w:r>
        <w:rPr>
          <w:rFonts w:ascii="Arial" w:hAnsi="Arial"/>
          <w:sz w:val="19"/>
        </w:rPr>
        <w:t>• Gerar cenários de 75 kW, faixas de minigeração e projetos maiores sem misturar enquadramentos regulatórios; o motor regulatório define o regime aplicável na data-base [R59][R60].</w:t>
      </w:r>
    </w:p>
    <w:p>
      <w:pPr>
        <w:spacing w:after="50"/>
        <w:ind w:left="173" w:hanging="115"/>
      </w:pPr>
      <w:r>
        <w:rPr>
          <w:rFonts w:ascii="Arial" w:hAnsi="Arial"/>
          <w:sz w:val="19"/>
        </w:rPr>
        <w:t>• Para conexão, mostrar rede e distância indicativa quando houver dado, mas marcar capacidade/parecer de acesso como 'a confirmar com distribuidora'.</w:t>
      </w:r>
    </w:p>
    <w:p>
      <w:pPr>
        <w:pStyle w:val="Heading2"/>
      </w:pPr>
      <w:r>
        <w:t>27.11 Modelagem física da geração</w:t>
      </w:r>
    </w:p>
    <w:p>
      <w:pPr>
        <w:spacing w:after="100"/>
      </w:pPr>
      <w:r>
        <w:t>O cálculo deve operar preferencialmente em passo horário ou sub-horário e manter um modo rápido para interação. O resultado anual simplificado nunca deve substituir o cálculo detalhado quando o usuário gerar proposta técnica.</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088"/>
            <w:shd w:fill="EDEDED"/>
            <w:vAlign w:val="center"/>
            <w:tcMar>
              <w:top w:w="80" w:type="dxa"/>
              <w:start w:w="90" w:type="dxa"/>
              <w:bottom w:w="80" w:type="dxa"/>
              <w:end w:w="90" w:type="dxa"/>
            </w:tcMar>
          </w:tcPr>
          <w:p>
            <w:r>
              <w:rPr>
                <w:rFonts w:ascii="Arial" w:hAnsi="Arial"/>
                <w:b/>
                <w:sz w:val="17"/>
              </w:rPr>
              <w:t>Componente</w:t>
            </w:r>
          </w:p>
        </w:tc>
        <w:tc>
          <w:tcPr>
            <w:tcW w:type="dxa" w:w="7560"/>
            <w:shd w:fill="EDEDED"/>
            <w:vAlign w:val="center"/>
            <w:tcMar>
              <w:top w:w="80" w:type="dxa"/>
              <w:start w:w="90" w:type="dxa"/>
              <w:bottom w:w="80" w:type="dxa"/>
              <w:end w:w="90" w:type="dxa"/>
            </w:tcMar>
          </w:tcPr>
          <w:p>
            <w:r>
              <w:rPr>
                <w:rFonts w:ascii="Arial" w:hAnsi="Arial"/>
                <w:b/>
                <w:sz w:val="17"/>
              </w:rPr>
              <w:t>Variáveis mínimas</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Recurso solar</w:t>
            </w:r>
          </w:p>
        </w:tc>
        <w:tc>
          <w:tcPr>
            <w:tcW w:type="dxa" w:w="7560"/>
            <w:vAlign w:val="top"/>
            <w:tcMar>
              <w:top w:w="80" w:type="dxa"/>
              <w:start w:w="90" w:type="dxa"/>
              <w:bottom w:w="80" w:type="dxa"/>
              <w:end w:w="90" w:type="dxa"/>
            </w:tcMar>
          </w:tcPr>
          <w:p>
            <w:pPr>
              <w:spacing w:after="30"/>
            </w:pPr>
            <w:r>
              <w:rPr>
                <w:rFonts w:ascii="Arial" w:hAnsi="Arial"/>
                <w:sz w:val="16"/>
              </w:rPr>
              <w:t>GHI, DNI, DHI/POA, hora solar, orientação, inclinação, horizonte e sombra.</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Temperatura</w:t>
            </w:r>
          </w:p>
        </w:tc>
        <w:tc>
          <w:tcPr>
            <w:tcW w:type="dxa" w:w="7560"/>
            <w:vAlign w:val="top"/>
            <w:tcMar>
              <w:top w:w="80" w:type="dxa"/>
              <w:start w:w="90" w:type="dxa"/>
              <w:bottom w:w="80" w:type="dxa"/>
              <w:end w:w="90" w:type="dxa"/>
            </w:tcMar>
          </w:tcPr>
          <w:p>
            <w:pPr>
              <w:spacing w:after="30"/>
            </w:pPr>
            <w:r>
              <w:rPr>
                <w:rFonts w:ascii="Arial" w:hAnsi="Arial"/>
                <w:sz w:val="16"/>
              </w:rPr>
              <w:t>Temperatura ambiente/célula, vento quando disponível e coeficiente térmico do módulo.</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Módulo</w:t>
            </w:r>
          </w:p>
        </w:tc>
        <w:tc>
          <w:tcPr>
            <w:tcW w:type="dxa" w:w="7560"/>
            <w:vAlign w:val="top"/>
            <w:tcMar>
              <w:top w:w="80" w:type="dxa"/>
              <w:start w:w="90" w:type="dxa"/>
              <w:bottom w:w="80" w:type="dxa"/>
              <w:end w:w="90" w:type="dxa"/>
            </w:tcMar>
          </w:tcPr>
          <w:p>
            <w:pPr>
              <w:spacing w:after="30"/>
            </w:pPr>
            <w:r>
              <w:rPr>
                <w:rFonts w:ascii="Arial" w:hAnsi="Arial"/>
                <w:sz w:val="16"/>
              </w:rPr>
              <w:t>Wp STC, eficiência, área, tecnologia, bifacialidade, mismatch e degradação.</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Array</w:t>
            </w:r>
          </w:p>
        </w:tc>
        <w:tc>
          <w:tcPr>
            <w:tcW w:type="dxa" w:w="7560"/>
            <w:vAlign w:val="top"/>
            <w:tcMar>
              <w:top w:w="80" w:type="dxa"/>
              <w:start w:w="90" w:type="dxa"/>
              <w:bottom w:w="80" w:type="dxa"/>
              <w:end w:w="90" w:type="dxa"/>
            </w:tcMar>
          </w:tcPr>
          <w:p>
            <w:pPr>
              <w:spacing w:after="30"/>
            </w:pPr>
            <w:r>
              <w:rPr>
                <w:rFonts w:ascii="Arial" w:hAnsi="Arial"/>
                <w:sz w:val="16"/>
              </w:rPr>
              <w:t>Quantidade, tilt, azimute, trackers, GCR, espaçamento e perdas por sombra.</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Inversor</w:t>
            </w:r>
          </w:p>
        </w:tc>
        <w:tc>
          <w:tcPr>
            <w:tcW w:type="dxa" w:w="7560"/>
            <w:vAlign w:val="top"/>
            <w:tcMar>
              <w:top w:w="80" w:type="dxa"/>
              <w:start w:w="90" w:type="dxa"/>
              <w:bottom w:w="80" w:type="dxa"/>
              <w:end w:w="90" w:type="dxa"/>
            </w:tcMar>
          </w:tcPr>
          <w:p>
            <w:pPr>
              <w:spacing w:after="30"/>
            </w:pPr>
            <w:r>
              <w:rPr>
                <w:rFonts w:ascii="Arial" w:hAnsi="Arial"/>
                <w:sz w:val="16"/>
              </w:rPr>
              <w:t>Potência AC, eficiência/curva, MPPT, tensão/corrente, clipping e disponibilidade.</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Perdas</w:t>
            </w:r>
          </w:p>
        </w:tc>
        <w:tc>
          <w:tcPr>
            <w:tcW w:type="dxa" w:w="7560"/>
            <w:vAlign w:val="top"/>
            <w:tcMar>
              <w:top w:w="80" w:type="dxa"/>
              <w:start w:w="90" w:type="dxa"/>
              <w:bottom w:w="80" w:type="dxa"/>
              <w:end w:w="90" w:type="dxa"/>
            </w:tcMar>
          </w:tcPr>
          <w:p>
            <w:pPr>
              <w:spacing w:after="30"/>
            </w:pPr>
            <w:r>
              <w:rPr>
                <w:rFonts w:ascii="Arial" w:hAnsi="Arial"/>
                <w:sz w:val="16"/>
              </w:rPr>
              <w:t>Sujeira, cabos, mismatch, conexões, indisponibilidade, transformador, degradação, neve apenas onde relevante.</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Validação</w:t>
            </w:r>
          </w:p>
        </w:tc>
        <w:tc>
          <w:tcPr>
            <w:tcW w:type="dxa" w:w="7560"/>
            <w:vAlign w:val="top"/>
            <w:tcMar>
              <w:top w:w="80" w:type="dxa"/>
              <w:start w:w="90" w:type="dxa"/>
              <w:bottom w:w="80" w:type="dxa"/>
              <w:end w:w="90" w:type="dxa"/>
            </w:tcMar>
          </w:tcPr>
          <w:p>
            <w:pPr>
              <w:spacing w:after="30"/>
            </w:pPr>
            <w:r>
              <w:rPr>
                <w:rFonts w:ascii="Arial" w:hAnsi="Arial"/>
                <w:sz w:val="16"/>
              </w:rPr>
              <w:t>Comparação com PVWatts V8 ou outro modelo independente quando aplicável, e com geração medida em ativos semelhantes [R57].</w:t>
            </w:r>
          </w:p>
        </w:tc>
      </w:tr>
    </w:tbl>
    <w:p>
      <w:pPr>
        <w:spacing w:after="100"/>
      </w:pPr>
      <w:r>
        <w:t>Indicadores técnicos: kWp DC, kW AC, razão DC/AC, kWh/ano, kWh/kWp/ano, produção mensal, produção horária, performance ratio, capacity factor, clipping, perda por sombra, perda térmica, perda total, área ocupada e produtividade por painel.</w:t>
      </w:r>
    </w:p>
    <w:p>
      <w:pPr>
        <w:pStyle w:val="Heading2"/>
      </w:pPr>
      <w:r>
        <w:t>27.12 Consumo, conta de energia e curva de carga</w:t>
      </w:r>
    </w:p>
    <w:p>
      <w:pPr>
        <w:spacing w:after="50"/>
        <w:ind w:left="173" w:hanging="115"/>
      </w:pPr>
      <w:r>
        <w:rPr>
          <w:rFonts w:ascii="Arial" w:hAnsi="Arial"/>
          <w:sz w:val="19"/>
        </w:rPr>
        <w:t>• Upload de 1 a 12+ contas em PDF/imagem, com OCR e extração assistida de distribuidora, unidade consumidora, grupo/subgrupo, modalidade, demanda, consumo por posto, impostos e bandeiras quando documentados.</w:t>
      </w:r>
    </w:p>
    <w:p>
      <w:pPr>
        <w:spacing w:after="50"/>
        <w:ind w:left="173" w:hanging="115"/>
      </w:pPr>
      <w:r>
        <w:rPr>
          <w:rFonts w:ascii="Arial" w:hAnsi="Arial"/>
          <w:sz w:val="19"/>
        </w:rPr>
        <w:t>• Entrada manual de consumo mensal para usuários sem conta digital.</w:t>
      </w:r>
    </w:p>
    <w:p>
      <w:pPr>
        <w:spacing w:after="50"/>
        <w:ind w:left="173" w:hanging="115"/>
      </w:pPr>
      <w:r>
        <w:rPr>
          <w:rFonts w:ascii="Arial" w:hAnsi="Arial"/>
          <w:sz w:val="19"/>
        </w:rPr>
        <w:t>• Importar curva de carga de medidor/EMS/CSV para empresas, indústrias e condomínios.</w:t>
      </w:r>
    </w:p>
    <w:p>
      <w:pPr>
        <w:spacing w:after="50"/>
        <w:ind w:left="173" w:hanging="115"/>
      </w:pPr>
      <w:r>
        <w:rPr>
          <w:rFonts w:ascii="Arial" w:hAnsi="Arial"/>
          <w:sz w:val="19"/>
        </w:rPr>
        <w:t>• Construir perfil horário estimado por tipologia quando o usuário só tiver kWh mensais; marcar claramente como estimado.</w:t>
      </w:r>
    </w:p>
    <w:p>
      <w:pPr>
        <w:spacing w:after="50"/>
        <w:ind w:left="173" w:hanging="115"/>
      </w:pPr>
      <w:r>
        <w:rPr>
          <w:rFonts w:ascii="Arial" w:hAnsi="Arial"/>
          <w:sz w:val="19"/>
        </w:rPr>
        <w:t>• Separar autoconsumo instantâneo, energia injetada, energia compensada, energia comprada e consumo não compensável conforme regime vigente.</w:t>
      </w:r>
    </w:p>
    <w:p>
      <w:pPr>
        <w:spacing w:after="50"/>
        <w:ind w:left="173" w:hanging="115"/>
      </w:pPr>
      <w:r>
        <w:rPr>
          <w:rFonts w:ascii="Arial" w:hAnsi="Arial"/>
          <w:sz w:val="19"/>
        </w:rPr>
        <w:t>• Simular crescimento de carga: ar-condicionado, veículo elétrico, bomba, piscina, elevador, expansão industrial ou novos blocos.</w:t>
      </w:r>
    </w:p>
    <w:p>
      <w:pPr>
        <w:pStyle w:val="Heading2"/>
      </w:pPr>
      <w:r>
        <w:t>27.13 Motor tarifário e regulatório brasileiro</w:t>
      </w:r>
    </w:p>
    <w:p>
      <w:pPr>
        <w:spacing w:after="100"/>
      </w:pPr>
      <w:r>
        <w:t>O cálculo de economia não pode ser 'geração × tarifa'. Ele deve usar um motor temporal de faturamento. A Lei 14.300/2022 institui o marco legal da micro/minigeração e do SCEE, enquanto a Resolução Normativa ANEEL 1.000/2021 e o PRODIST disciplinam conexão e prestação do serviço [R59][R60][R63]. Como as regras, tarifas e transições mudam, cada cenário deve registrar a versão regulatória e a vigência usada.</w:t>
      </w:r>
    </w:p>
    <w:p>
      <w:pPr>
        <w:spacing w:after="50"/>
        <w:ind w:left="173" w:hanging="115"/>
      </w:pPr>
      <w:r>
        <w:rPr>
          <w:rFonts w:ascii="Arial" w:hAnsi="Arial"/>
          <w:sz w:val="19"/>
        </w:rPr>
        <w:t>• Identificar distribuidora por endereço/UC e validar com a conta do usuário.</w:t>
      </w:r>
    </w:p>
    <w:p>
      <w:pPr>
        <w:spacing w:after="50"/>
        <w:ind w:left="173" w:hanging="115"/>
      </w:pPr>
      <w:r>
        <w:rPr>
          <w:rFonts w:ascii="Arial" w:hAnsi="Arial"/>
          <w:sz w:val="19"/>
        </w:rPr>
        <w:t>• Carregar TE/TUSD e vigências a partir dos dados abertos da ANEEL, complementando tributos/bandeiras/encargos conforme fonte apropriada e conta real [R64].</w:t>
      </w:r>
    </w:p>
    <w:p>
      <w:pPr>
        <w:spacing w:after="50"/>
        <w:ind w:left="173" w:hanging="115"/>
      </w:pPr>
      <w:r>
        <w:rPr>
          <w:rFonts w:ascii="Arial" w:hAnsi="Arial"/>
          <w:sz w:val="19"/>
        </w:rPr>
        <w:t>• Classificar grupo/subgrupo, modalidade tarifária, classe/subclasse e posto horário.</w:t>
      </w:r>
    </w:p>
    <w:p>
      <w:pPr>
        <w:spacing w:after="50"/>
        <w:ind w:left="173" w:hanging="115"/>
      </w:pPr>
      <w:r>
        <w:rPr>
          <w:rFonts w:ascii="Arial" w:hAnsi="Arial"/>
          <w:sz w:val="19"/>
        </w:rPr>
        <w:t>• Modelar autoconsumo local, compensação, excedente/créditos e modalidades permitidas pelo SCEE conforme a legislação vigente.</w:t>
      </w:r>
    </w:p>
    <w:p>
      <w:pPr>
        <w:spacing w:after="50"/>
        <w:ind w:left="173" w:hanging="115"/>
      </w:pPr>
      <w:r>
        <w:rPr>
          <w:rFonts w:ascii="Arial" w:hAnsi="Arial"/>
          <w:sz w:val="19"/>
        </w:rPr>
        <w:t>• Considerar custo de disponibilidade/demanda, demanda contratada, geração coincidente e condições específicas de média/alta tensão.</w:t>
      </w:r>
    </w:p>
    <w:p>
      <w:pPr>
        <w:spacing w:after="50"/>
        <w:ind w:left="173" w:hanging="115"/>
      </w:pPr>
      <w:r>
        <w:rPr>
          <w:rFonts w:ascii="Arial" w:hAnsi="Arial"/>
          <w:sz w:val="19"/>
        </w:rPr>
        <w:t>• Gerar memória de cálculo da conta 'sem solar' e 'com solar' mês a mês.</w:t>
      </w:r>
    </w:p>
    <w:p>
      <w:pPr>
        <w:spacing w:after="50"/>
        <w:ind w:left="173" w:hanging="115"/>
      </w:pPr>
      <w:r>
        <w:rPr>
          <w:rFonts w:ascii="Arial" w:hAnsi="Arial"/>
          <w:sz w:val="19"/>
        </w:rPr>
        <w:t>• Nunca prometer economia exata se faltarem conta, perfil de carga, regra da distribuidora ou enquadramento regulatório.</w:t>
      </w:r>
    </w:p>
    <w:p>
      <w:pPr>
        <w:pStyle w:val="Heading2"/>
      </w:pPr>
      <w:r>
        <w:t>27.14 Conexão elétrica e viabilidade de rede</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880"/>
            <w:shd w:fill="EDEDED"/>
            <w:vAlign w:val="center"/>
            <w:tcMar>
              <w:top w:w="80" w:type="dxa"/>
              <w:start w:w="90" w:type="dxa"/>
              <w:bottom w:w="80" w:type="dxa"/>
              <w:end w:w="90" w:type="dxa"/>
            </w:tcMar>
          </w:tcPr>
          <w:p>
            <w:r>
              <w:rPr>
                <w:rFonts w:ascii="Arial" w:hAnsi="Arial"/>
                <w:b/>
                <w:sz w:val="17"/>
              </w:rPr>
              <w:t>Pergunta</w:t>
            </w:r>
          </w:p>
        </w:tc>
        <w:tc>
          <w:tcPr>
            <w:tcW w:type="dxa" w:w="6768"/>
            <w:shd w:fill="EDEDED"/>
            <w:vAlign w:val="center"/>
            <w:tcMar>
              <w:top w:w="80" w:type="dxa"/>
              <w:start w:w="90" w:type="dxa"/>
              <w:bottom w:w="80" w:type="dxa"/>
              <w:end w:w="90" w:type="dxa"/>
            </w:tcMar>
          </w:tcPr>
          <w:p>
            <w:r>
              <w:rPr>
                <w:rFonts w:ascii="Arial" w:hAnsi="Arial"/>
                <w:b/>
                <w:sz w:val="17"/>
              </w:rPr>
              <w:t>Resposta do módulo</w:t>
            </w:r>
          </w:p>
        </w:tc>
      </w:tr>
      <w:tr>
        <w:trPr>
          <w:cantSplit/>
          <w:cantSplit/>
        </w:trPr>
        <w:tc>
          <w:tcPr>
            <w:tcW w:type="dxa" w:w="2880"/>
            <w:vAlign w:val="top"/>
            <w:tcMar>
              <w:top w:w="80" w:type="dxa"/>
              <w:start w:w="90" w:type="dxa"/>
              <w:bottom w:w="80" w:type="dxa"/>
              <w:end w:w="90" w:type="dxa"/>
            </w:tcMar>
          </w:tcPr>
          <w:p>
            <w:pPr>
              <w:spacing w:after="30"/>
            </w:pPr>
            <w:r>
              <w:rPr>
                <w:rFonts w:ascii="Arial" w:hAnsi="Arial"/>
                <w:sz w:val="16"/>
              </w:rPr>
              <w:t>Qual distribuidora atende?</w:t>
            </w:r>
          </w:p>
        </w:tc>
        <w:tc>
          <w:tcPr>
            <w:tcW w:type="dxa" w:w="6768"/>
            <w:vAlign w:val="top"/>
            <w:tcMar>
              <w:top w:w="80" w:type="dxa"/>
              <w:start w:w="90" w:type="dxa"/>
              <w:bottom w:w="80" w:type="dxa"/>
              <w:end w:w="90" w:type="dxa"/>
            </w:tcMar>
          </w:tcPr>
          <w:p>
            <w:pPr>
              <w:spacing w:after="30"/>
            </w:pPr>
            <w:r>
              <w:rPr>
                <w:rFonts w:ascii="Arial" w:hAnsi="Arial"/>
                <w:sz w:val="16"/>
              </w:rPr>
              <w:t>Resolver territorialmente e confirmar pela conta/UC.</w:t>
            </w:r>
          </w:p>
        </w:tc>
      </w:tr>
      <w:tr>
        <w:trPr>
          <w:cantSplit/>
          <w:cantSplit/>
        </w:trPr>
        <w:tc>
          <w:tcPr>
            <w:tcW w:type="dxa" w:w="2880"/>
            <w:vAlign w:val="top"/>
            <w:tcMar>
              <w:top w:w="80" w:type="dxa"/>
              <w:start w:w="90" w:type="dxa"/>
              <w:bottom w:w="80" w:type="dxa"/>
              <w:end w:w="90" w:type="dxa"/>
            </w:tcMar>
          </w:tcPr>
          <w:p>
            <w:pPr>
              <w:spacing w:after="30"/>
            </w:pPr>
            <w:r>
              <w:rPr>
                <w:rFonts w:ascii="Arial" w:hAnsi="Arial"/>
                <w:sz w:val="16"/>
              </w:rPr>
              <w:t>Onde está a rede?</w:t>
            </w:r>
          </w:p>
        </w:tc>
        <w:tc>
          <w:tcPr>
            <w:tcW w:type="dxa" w:w="6768"/>
            <w:vAlign w:val="top"/>
            <w:tcMar>
              <w:top w:w="80" w:type="dxa"/>
              <w:start w:w="90" w:type="dxa"/>
              <w:bottom w:w="80" w:type="dxa"/>
              <w:end w:w="90" w:type="dxa"/>
            </w:tcMar>
          </w:tcPr>
          <w:p>
            <w:pPr>
              <w:spacing w:after="30"/>
            </w:pPr>
            <w:r>
              <w:rPr>
                <w:rFonts w:ascii="Arial" w:hAnsi="Arial"/>
                <w:sz w:val="16"/>
              </w:rPr>
              <w:t>Usar BDGD e outras fontes autorizadas quando a precisão permitir.</w:t>
            </w:r>
          </w:p>
        </w:tc>
      </w:tr>
      <w:tr>
        <w:trPr>
          <w:cantSplit/>
          <w:cantSplit/>
        </w:trPr>
        <w:tc>
          <w:tcPr>
            <w:tcW w:type="dxa" w:w="2880"/>
            <w:vAlign w:val="top"/>
            <w:tcMar>
              <w:top w:w="80" w:type="dxa"/>
              <w:start w:w="90" w:type="dxa"/>
              <w:bottom w:w="80" w:type="dxa"/>
              <w:end w:w="90" w:type="dxa"/>
            </w:tcMar>
          </w:tcPr>
          <w:p>
            <w:pPr>
              <w:spacing w:after="30"/>
            </w:pPr>
            <w:r>
              <w:rPr>
                <w:rFonts w:ascii="Arial" w:hAnsi="Arial"/>
                <w:sz w:val="16"/>
              </w:rPr>
              <w:t>Qual distância ao ativo de rede?</w:t>
            </w:r>
          </w:p>
        </w:tc>
        <w:tc>
          <w:tcPr>
            <w:tcW w:type="dxa" w:w="6768"/>
            <w:vAlign w:val="top"/>
            <w:tcMar>
              <w:top w:w="80" w:type="dxa"/>
              <w:start w:w="90" w:type="dxa"/>
              <w:bottom w:w="80" w:type="dxa"/>
              <w:end w:w="90" w:type="dxa"/>
            </w:tcMar>
          </w:tcPr>
          <w:p>
            <w:pPr>
              <w:spacing w:after="30"/>
            </w:pPr>
            <w:r>
              <w:rPr>
                <w:rFonts w:ascii="Arial" w:hAnsi="Arial"/>
                <w:sz w:val="16"/>
              </w:rPr>
              <w:t>Calcular indicativamente até rede/transformador/subestação, registrando fonte e data.</w:t>
            </w:r>
          </w:p>
        </w:tc>
      </w:tr>
      <w:tr>
        <w:trPr>
          <w:cantSplit/>
          <w:cantSplit/>
        </w:trPr>
        <w:tc>
          <w:tcPr>
            <w:tcW w:type="dxa" w:w="2880"/>
            <w:vAlign w:val="top"/>
            <w:tcMar>
              <w:top w:w="80" w:type="dxa"/>
              <w:start w:w="90" w:type="dxa"/>
              <w:bottom w:w="80" w:type="dxa"/>
              <w:end w:w="90" w:type="dxa"/>
            </w:tcMar>
          </w:tcPr>
          <w:p>
            <w:pPr>
              <w:spacing w:after="30"/>
            </w:pPr>
            <w:r>
              <w:rPr>
                <w:rFonts w:ascii="Arial" w:hAnsi="Arial"/>
                <w:sz w:val="16"/>
              </w:rPr>
              <w:t>A rede comporta o sistema?</w:t>
            </w:r>
          </w:p>
        </w:tc>
        <w:tc>
          <w:tcPr>
            <w:tcW w:type="dxa" w:w="6768"/>
            <w:vAlign w:val="top"/>
            <w:tcMar>
              <w:top w:w="80" w:type="dxa"/>
              <w:start w:w="90" w:type="dxa"/>
              <w:bottom w:w="80" w:type="dxa"/>
              <w:end w:w="90" w:type="dxa"/>
            </w:tcMar>
          </w:tcPr>
          <w:p>
            <w:pPr>
              <w:spacing w:after="30"/>
            </w:pPr>
            <w:r>
              <w:rPr>
                <w:rFonts w:ascii="Arial" w:hAnsi="Arial"/>
                <w:sz w:val="16"/>
              </w:rPr>
              <w:t>Somente indicar sinais de risco/capacidade quando houver dado. Parecer/acesso da distribuidora continua decisivo.</w:t>
            </w:r>
          </w:p>
        </w:tc>
      </w:tr>
      <w:tr>
        <w:trPr>
          <w:cantSplit/>
          <w:cantSplit/>
        </w:trPr>
        <w:tc>
          <w:tcPr>
            <w:tcW w:type="dxa" w:w="2880"/>
            <w:vAlign w:val="top"/>
            <w:tcMar>
              <w:top w:w="80" w:type="dxa"/>
              <w:start w:w="90" w:type="dxa"/>
              <w:bottom w:w="80" w:type="dxa"/>
              <w:end w:w="90" w:type="dxa"/>
            </w:tcMar>
          </w:tcPr>
          <w:p>
            <w:pPr>
              <w:spacing w:after="30"/>
            </w:pPr>
            <w:r>
              <w:rPr>
                <w:rFonts w:ascii="Arial" w:hAnsi="Arial"/>
                <w:sz w:val="16"/>
              </w:rPr>
              <w:t>Há pedidos/conexões semelhantes na região?</w:t>
            </w:r>
          </w:p>
        </w:tc>
        <w:tc>
          <w:tcPr>
            <w:tcW w:type="dxa" w:w="6768"/>
            <w:vAlign w:val="top"/>
            <w:tcMar>
              <w:top w:w="80" w:type="dxa"/>
              <w:start w:w="90" w:type="dxa"/>
              <w:bottom w:w="80" w:type="dxa"/>
              <w:end w:w="90" w:type="dxa"/>
            </w:tcMar>
          </w:tcPr>
          <w:p>
            <w:pPr>
              <w:spacing w:after="30"/>
            </w:pPr>
            <w:r>
              <w:rPr>
                <w:rFonts w:ascii="Arial" w:hAnsi="Arial"/>
                <w:sz w:val="16"/>
              </w:rPr>
              <w:t>Explorar dados MMGD e pedidos de conexão da ANEEL como contexto [R61][R62].</w:t>
            </w:r>
          </w:p>
        </w:tc>
      </w:tr>
      <w:tr>
        <w:trPr>
          <w:cantSplit/>
          <w:cantSplit/>
        </w:trPr>
        <w:tc>
          <w:tcPr>
            <w:tcW w:type="dxa" w:w="2880"/>
            <w:vAlign w:val="top"/>
            <w:tcMar>
              <w:top w:w="80" w:type="dxa"/>
              <w:start w:w="90" w:type="dxa"/>
              <w:bottom w:w="80" w:type="dxa"/>
              <w:end w:w="90" w:type="dxa"/>
            </w:tcMar>
          </w:tcPr>
          <w:p>
            <w:pPr>
              <w:spacing w:after="30"/>
            </w:pPr>
            <w:r>
              <w:rPr>
                <w:rFonts w:ascii="Arial" w:hAnsi="Arial"/>
                <w:sz w:val="16"/>
              </w:rPr>
              <w:t>Qual regime se aplica?</w:t>
            </w:r>
          </w:p>
        </w:tc>
        <w:tc>
          <w:tcPr>
            <w:tcW w:type="dxa" w:w="6768"/>
            <w:vAlign w:val="top"/>
            <w:tcMar>
              <w:top w:w="80" w:type="dxa"/>
              <w:start w:w="90" w:type="dxa"/>
              <w:bottom w:w="80" w:type="dxa"/>
              <w:end w:w="90" w:type="dxa"/>
            </w:tcMar>
          </w:tcPr>
          <w:p>
            <w:pPr>
              <w:spacing w:after="30"/>
            </w:pPr>
            <w:r>
              <w:rPr>
                <w:rFonts w:ascii="Arial" w:hAnsi="Arial"/>
                <w:sz w:val="16"/>
              </w:rPr>
              <w:t>Motor regulatório classifica potência, modalidade e data-base; alertar quando estudo elétrico formal é necessário.</w:t>
            </w:r>
          </w:p>
        </w:tc>
      </w:tr>
    </w:tbl>
    <w:p>
      <w:pPr>
        <w:pStyle w:val="Heading2"/>
      </w:pPr>
      <w:r>
        <w:t>27.15 Inversor, strings, bateria e carregamento veicular</w:t>
      </w:r>
    </w:p>
    <w:p>
      <w:pPr>
        <w:spacing w:after="50"/>
        <w:ind w:left="173" w:hanging="115"/>
      </w:pPr>
      <w:r>
        <w:rPr>
          <w:rFonts w:ascii="Arial" w:hAnsi="Arial"/>
          <w:sz w:val="19"/>
        </w:rPr>
        <w:t>• Selecionar inversor central/string/microinversor conforme biblioteca de equipamentos e validar faixa MPPT, Voc, Isc, temperatura e clipping.</w:t>
      </w:r>
    </w:p>
    <w:p>
      <w:pPr>
        <w:spacing w:after="50"/>
        <w:ind w:left="173" w:hanging="115"/>
      </w:pPr>
      <w:r>
        <w:rPr>
          <w:rFonts w:ascii="Arial" w:hAnsi="Arial"/>
          <w:sz w:val="19"/>
        </w:rPr>
        <w:t>• Dimensionar strings automaticamente e mostrar diagrama unifilar preliminar, sem substituir projeto elétrico assinado.</w:t>
      </w:r>
    </w:p>
    <w:p>
      <w:pPr>
        <w:spacing w:after="50"/>
        <w:ind w:left="173" w:hanging="115"/>
      </w:pPr>
      <w:r>
        <w:rPr>
          <w:rFonts w:ascii="Arial" w:hAnsi="Arial"/>
          <w:sz w:val="19"/>
        </w:rPr>
        <w:t>• Simular bateria por kWh/kW, round-trip efficiency, DoD, ciclos, reserva, peak shaving, backup e arbitragem tarifária quando aplicável.</w:t>
      </w:r>
    </w:p>
    <w:p>
      <w:pPr>
        <w:spacing w:after="50"/>
        <w:ind w:left="173" w:hanging="115"/>
      </w:pPr>
      <w:r>
        <w:rPr>
          <w:rFonts w:ascii="Arial" w:hAnsi="Arial"/>
          <w:sz w:val="19"/>
        </w:rPr>
        <w:t>• Carregador de veículo elétrico pode entrar como nova carga e/ou estratégia de autoconsumo.</w:t>
      </w:r>
    </w:p>
    <w:p>
      <w:pPr>
        <w:spacing w:after="50"/>
        <w:ind w:left="173" w:hanging="115"/>
      </w:pPr>
      <w:r>
        <w:rPr>
          <w:rFonts w:ascii="Arial" w:hAnsi="Arial"/>
          <w:sz w:val="19"/>
        </w:rPr>
        <w:t>• Para condomínio, simular geração em área comum, múltiplos medidores e cenários de alocação, sempre passando pelo motor regulatório e pelas regras do módulo Condomínio.</w:t>
      </w:r>
    </w:p>
    <w:p>
      <w:pPr>
        <w:pStyle w:val="Heading2"/>
      </w:pPr>
      <w:r>
        <w:t>27.16 Estrutura, incêndio e compatibilização técnica</w:t>
      </w:r>
    </w:p>
    <w:p>
      <w:pPr>
        <w:spacing w:after="50"/>
        <w:ind w:left="173" w:hanging="115"/>
      </w:pPr>
      <w:r>
        <w:rPr>
          <w:rFonts w:ascii="Arial" w:hAnsi="Arial"/>
          <w:sz w:val="19"/>
        </w:rPr>
        <w:t>• Pré-check estrutural por material de cobertura, idade, vãos, peso adicional, vento e informações do projeto/vistoria. Resultado: 'sem dado', 'aparentemente compatível', 'requer verificação' — nunca laudo estrutural automático.</w:t>
      </w:r>
    </w:p>
    <w:p>
      <w:pPr>
        <w:spacing w:after="50"/>
        <w:ind w:left="173" w:hanging="115"/>
      </w:pPr>
      <w:r>
        <w:rPr>
          <w:rFonts w:ascii="Arial" w:hAnsi="Arial"/>
          <w:sz w:val="19"/>
        </w:rPr>
        <w:t>• Fluxo para anexar ART/RRT, memorial, projeto elétrico, estrutural, prevenção contra incêndio e aprovações.</w:t>
      </w:r>
    </w:p>
    <w:p>
      <w:pPr>
        <w:spacing w:after="50"/>
        <w:ind w:left="173" w:hanging="115"/>
      </w:pPr>
      <w:r>
        <w:rPr>
          <w:rFonts w:ascii="Arial" w:hAnsi="Arial"/>
          <w:sz w:val="19"/>
        </w:rPr>
        <w:t>• Regras ABNT, Corpo de Bombeiros, distribuidora e município devem ser parametrizadas por versão/localidade; não hardcodear um afastamento único nacional.</w:t>
      </w:r>
    </w:p>
    <w:p>
      <w:pPr>
        <w:spacing w:after="50"/>
        <w:ind w:left="173" w:hanging="115"/>
      </w:pPr>
      <w:r>
        <w:rPr>
          <w:rFonts w:ascii="Arial" w:hAnsi="Arial"/>
          <w:sz w:val="19"/>
        </w:rPr>
        <w:t>• Integração com patrimônio/tombamento e fachada do LoteDiretor: telhado em área protegida pode exigir autorização específica.</w:t>
      </w:r>
    </w:p>
    <w:p>
      <w:pPr>
        <w:spacing w:after="50"/>
        <w:ind w:left="173" w:hanging="115"/>
      </w:pPr>
      <w:r>
        <w:rPr>
          <w:rFonts w:ascii="Arial" w:hAnsi="Arial"/>
          <w:sz w:val="19"/>
        </w:rPr>
        <w:t>• Integração com Condomínio: obra em cobertura comum, fachada ou infraestrutura comum pode depender de convenção, assembleia e responsável técnico.</w:t>
      </w:r>
    </w:p>
    <w:p>
      <w:pPr>
        <w:pStyle w:val="Heading2"/>
      </w:pPr>
      <w:r>
        <w:t>27.17 Simulador financeiro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088"/>
            <w:shd w:fill="EDEDED"/>
            <w:vAlign w:val="center"/>
            <w:tcMar>
              <w:top w:w="80" w:type="dxa"/>
              <w:start w:w="90" w:type="dxa"/>
              <w:bottom w:w="80" w:type="dxa"/>
              <w:end w:w="90" w:type="dxa"/>
            </w:tcMar>
          </w:tcPr>
          <w:p>
            <w:r>
              <w:rPr>
                <w:rFonts w:ascii="Arial" w:hAnsi="Arial"/>
                <w:b/>
                <w:sz w:val="17"/>
              </w:rPr>
              <w:t>Entrada</w:t>
            </w:r>
          </w:p>
        </w:tc>
        <w:tc>
          <w:tcPr>
            <w:tcW w:type="dxa" w:w="7560"/>
            <w:shd w:fill="EDEDED"/>
            <w:vAlign w:val="center"/>
            <w:tcMar>
              <w:top w:w="80" w:type="dxa"/>
              <w:start w:w="90" w:type="dxa"/>
              <w:bottom w:w="80" w:type="dxa"/>
              <w:end w:w="90" w:type="dxa"/>
            </w:tcMar>
          </w:tcPr>
          <w:p>
            <w:r>
              <w:rPr>
                <w:rFonts w:ascii="Arial" w:hAnsi="Arial"/>
                <w:b/>
                <w:sz w:val="17"/>
              </w:rPr>
              <w:t>Exemplos</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CAPEX</w:t>
            </w:r>
          </w:p>
        </w:tc>
        <w:tc>
          <w:tcPr>
            <w:tcW w:type="dxa" w:w="7560"/>
            <w:vAlign w:val="top"/>
            <w:tcMar>
              <w:top w:w="80" w:type="dxa"/>
              <w:start w:w="90" w:type="dxa"/>
              <w:bottom w:w="80" w:type="dxa"/>
              <w:end w:w="90" w:type="dxa"/>
            </w:tcMar>
          </w:tcPr>
          <w:p>
            <w:pPr>
              <w:spacing w:after="30"/>
            </w:pPr>
            <w:r>
              <w:rPr>
                <w:rFonts w:ascii="Arial" w:hAnsi="Arial"/>
                <w:sz w:val="16"/>
              </w:rPr>
              <w:t>Módulos, inversores, estrutura, cabos, proteções, mão de obra, engenharia, homologação, obra civil, reforço estrutural, transformador, bateria.</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OPEX</w:t>
            </w:r>
          </w:p>
        </w:tc>
        <w:tc>
          <w:tcPr>
            <w:tcW w:type="dxa" w:w="7560"/>
            <w:vAlign w:val="top"/>
            <w:tcMar>
              <w:top w:w="80" w:type="dxa"/>
              <w:start w:w="90" w:type="dxa"/>
              <w:bottom w:w="80" w:type="dxa"/>
              <w:end w:w="90" w:type="dxa"/>
            </w:tcMar>
          </w:tcPr>
          <w:p>
            <w:pPr>
              <w:spacing w:after="30"/>
            </w:pPr>
            <w:r>
              <w:rPr>
                <w:rFonts w:ascii="Arial" w:hAnsi="Arial"/>
                <w:sz w:val="16"/>
              </w:rPr>
              <w:t>Limpeza, inspeção, seguro, monitoramento, manutenção, reposição de inversor, aluguel/arrendamento da área.</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Receita/economia</w:t>
            </w:r>
          </w:p>
        </w:tc>
        <w:tc>
          <w:tcPr>
            <w:tcW w:type="dxa" w:w="7560"/>
            <w:vAlign w:val="top"/>
            <w:tcMar>
              <w:top w:w="80" w:type="dxa"/>
              <w:start w:w="90" w:type="dxa"/>
              <w:bottom w:w="80" w:type="dxa"/>
              <w:end w:w="90" w:type="dxa"/>
            </w:tcMar>
          </w:tcPr>
          <w:p>
            <w:pPr>
              <w:spacing w:after="30"/>
            </w:pPr>
            <w:r>
              <w:rPr>
                <w:rFonts w:ascii="Arial" w:hAnsi="Arial"/>
                <w:sz w:val="16"/>
              </w:rPr>
              <w:t>Compra evitada, compensação/créditos, demanda, peak shaving, autoconsumo e outras receitas legalmente aplicáveis.</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Financiamento</w:t>
            </w:r>
          </w:p>
        </w:tc>
        <w:tc>
          <w:tcPr>
            <w:tcW w:type="dxa" w:w="7560"/>
            <w:vAlign w:val="top"/>
            <w:tcMar>
              <w:top w:w="80" w:type="dxa"/>
              <w:start w:w="90" w:type="dxa"/>
              <w:bottom w:w="80" w:type="dxa"/>
              <w:end w:w="90" w:type="dxa"/>
            </w:tcMar>
          </w:tcPr>
          <w:p>
            <w:pPr>
              <w:spacing w:after="30"/>
            </w:pPr>
            <w:r>
              <w:rPr>
                <w:rFonts w:ascii="Arial" w:hAnsi="Arial"/>
                <w:sz w:val="16"/>
              </w:rPr>
              <w:t>Entrada, prazo, juros, carência, amortização, custo de capital.</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Horizonte</w:t>
            </w:r>
          </w:p>
        </w:tc>
        <w:tc>
          <w:tcPr>
            <w:tcW w:type="dxa" w:w="7560"/>
            <w:vAlign w:val="top"/>
            <w:tcMar>
              <w:top w:w="80" w:type="dxa"/>
              <w:start w:w="90" w:type="dxa"/>
              <w:bottom w:w="80" w:type="dxa"/>
              <w:end w:w="90" w:type="dxa"/>
            </w:tcMar>
          </w:tcPr>
          <w:p>
            <w:pPr>
              <w:spacing w:after="30"/>
            </w:pPr>
            <w:r>
              <w:rPr>
                <w:rFonts w:ascii="Arial" w:hAnsi="Arial"/>
                <w:sz w:val="16"/>
              </w:rPr>
              <w:t>20–30 anos configurável, degradação, inflação, reajuste tarifário e cenários.</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Saídas</w:t>
            </w:r>
          </w:p>
        </w:tc>
        <w:tc>
          <w:tcPr>
            <w:tcW w:type="dxa" w:w="7560"/>
            <w:vAlign w:val="top"/>
            <w:tcMar>
              <w:top w:w="80" w:type="dxa"/>
              <w:start w:w="90" w:type="dxa"/>
              <w:bottom w:w="80" w:type="dxa"/>
              <w:end w:w="90" w:type="dxa"/>
            </w:tcMar>
          </w:tcPr>
          <w:p>
            <w:pPr>
              <w:spacing w:after="30"/>
            </w:pPr>
            <w:r>
              <w:rPr>
                <w:rFonts w:ascii="Arial" w:hAnsi="Arial"/>
                <w:sz w:val="16"/>
              </w:rPr>
              <w:t>Payback simples/descontado, VPL, TIR, LCOE, economia acumulada, fluxo de caixa anual e sensibilidade.</w:t>
            </w:r>
          </w:p>
        </w:tc>
      </w:tr>
    </w:tbl>
    <w:p>
      <w:pPr>
        <w:pStyle w:val="Small"/>
        <w:spacing w:before="60" w:after="120"/>
      </w:pPr>
      <w:r>
        <w:rPr>
          <w:b w:val="0"/>
        </w:rPr>
        <w:t>Nota técnica: A projeção financeira deve apresentar cenário base, conservador e otimista; nunca usar crescimento tarifário arbitrário sem deixar a premissa visível.</w:t>
      </w:r>
    </w:p>
    <w:p>
      <w:pPr>
        <w:pStyle w:val="Heading2"/>
      </w:pPr>
      <w:r>
        <w:t>27.18 Redução de conta, autonomia e carbono</w:t>
      </w:r>
    </w:p>
    <w:p>
      <w:pPr>
        <w:spacing w:after="50"/>
        <w:ind w:left="173" w:hanging="115"/>
      </w:pPr>
      <w:r>
        <w:rPr>
          <w:rFonts w:ascii="Arial" w:hAnsi="Arial"/>
          <w:sz w:val="19"/>
        </w:rPr>
        <w:t>• Redução de conta: separar percentual de kWh gerado, percentual autoconsumido e percentual de R$ efetivamente evitado. Esses três números não são equivalentes.</w:t>
      </w:r>
    </w:p>
    <w:p>
      <w:pPr>
        <w:spacing w:after="50"/>
        <w:ind w:left="173" w:hanging="115"/>
      </w:pPr>
      <w:r>
        <w:rPr>
          <w:rFonts w:ascii="Arial" w:hAnsi="Arial"/>
          <w:sz w:val="19"/>
        </w:rPr>
        <w:t>• Autonomia energética: mostrar quanto da carga é atendida pelo solar e, com bateria, horas/dias de backup segundo cargas críticas configuradas.</w:t>
      </w:r>
    </w:p>
    <w:p>
      <w:pPr>
        <w:spacing w:after="50"/>
        <w:ind w:left="173" w:hanging="115"/>
      </w:pPr>
      <w:r>
        <w:rPr>
          <w:rFonts w:ascii="Arial" w:hAnsi="Arial"/>
          <w:sz w:val="19"/>
        </w:rPr>
        <w:t>• CO₂ evitado: usar fator de emissão versionado e fonte identificada; exibir como estimativa, não como crédito de carbono certificado.</w:t>
      </w:r>
    </w:p>
    <w:p>
      <w:pPr>
        <w:spacing w:after="50"/>
        <w:ind w:left="173" w:hanging="115"/>
      </w:pPr>
      <w:r>
        <w:rPr>
          <w:rFonts w:ascii="Arial" w:hAnsi="Arial"/>
          <w:sz w:val="19"/>
        </w:rPr>
        <w:t>• Indicadores por ano e acumulados: MWh gerados, R$ economizados, tCO₂e estimadas, árvores equivalentes apenas como visual opcional e claramente metodológico.</w:t>
      </w:r>
    </w:p>
    <w:p>
      <w:pPr>
        <w:pStyle w:val="Heading2"/>
      </w:pPr>
      <w:r>
        <w:t>27.19 Comparador de cenários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376"/>
            <w:shd w:fill="EDEDED"/>
            <w:vAlign w:val="center"/>
            <w:tcMar>
              <w:top w:w="80" w:type="dxa"/>
              <w:start w:w="90" w:type="dxa"/>
              <w:bottom w:w="80" w:type="dxa"/>
              <w:end w:w="90" w:type="dxa"/>
            </w:tcMar>
          </w:tcPr>
          <w:p>
            <w:r>
              <w:rPr>
                <w:rFonts w:ascii="Arial" w:hAnsi="Arial"/>
                <w:b/>
                <w:sz w:val="17"/>
              </w:rPr>
              <w:t>Cenário</w:t>
            </w:r>
          </w:p>
        </w:tc>
        <w:tc>
          <w:tcPr>
            <w:tcW w:type="dxa" w:w="7272"/>
            <w:shd w:fill="EDEDED"/>
            <w:vAlign w:val="center"/>
            <w:tcMar>
              <w:top w:w="80" w:type="dxa"/>
              <w:start w:w="90" w:type="dxa"/>
              <w:bottom w:w="80" w:type="dxa"/>
              <w:end w:w="90" w:type="dxa"/>
            </w:tcMar>
          </w:tcPr>
          <w:p>
            <w:r>
              <w:rPr>
                <w:rFonts w:ascii="Arial" w:hAnsi="Arial"/>
                <w:b/>
                <w:sz w:val="17"/>
              </w:rPr>
              <w:t>Exemplo de pergunta</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Máximo técnico</w:t>
            </w:r>
          </w:p>
        </w:tc>
        <w:tc>
          <w:tcPr>
            <w:tcW w:type="dxa" w:w="7272"/>
            <w:vAlign w:val="top"/>
            <w:tcMar>
              <w:top w:w="80" w:type="dxa"/>
              <w:start w:w="90" w:type="dxa"/>
              <w:bottom w:w="80" w:type="dxa"/>
              <w:end w:w="90" w:type="dxa"/>
            </w:tcMar>
          </w:tcPr>
          <w:p>
            <w:pPr>
              <w:spacing w:after="30"/>
            </w:pPr>
            <w:r>
              <w:rPr>
                <w:rFonts w:ascii="Arial" w:hAnsi="Arial"/>
                <w:sz w:val="16"/>
              </w:rPr>
              <w:t>Quantos módulos cabem se eu ocupar toda área solarmente útil?</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100% da energia anual</w:t>
            </w:r>
          </w:p>
        </w:tc>
        <w:tc>
          <w:tcPr>
            <w:tcW w:type="dxa" w:w="7272"/>
            <w:vAlign w:val="top"/>
            <w:tcMar>
              <w:top w:w="80" w:type="dxa"/>
              <w:start w:w="90" w:type="dxa"/>
              <w:bottom w:w="80" w:type="dxa"/>
              <w:end w:w="90" w:type="dxa"/>
            </w:tcMar>
          </w:tcPr>
          <w:p>
            <w:pPr>
              <w:spacing w:after="30"/>
            </w:pPr>
            <w:r>
              <w:rPr>
                <w:rFonts w:ascii="Arial" w:hAnsi="Arial"/>
                <w:sz w:val="16"/>
              </w:rPr>
              <w:t>Qual sistema produz energia anual próxima ao meu consumo, sem afirmar que zerará a conta?</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Máximo autoconsumo</w:t>
            </w:r>
          </w:p>
        </w:tc>
        <w:tc>
          <w:tcPr>
            <w:tcW w:type="dxa" w:w="7272"/>
            <w:vAlign w:val="top"/>
            <w:tcMar>
              <w:top w:w="80" w:type="dxa"/>
              <w:start w:w="90" w:type="dxa"/>
              <w:bottom w:w="80" w:type="dxa"/>
              <w:end w:w="90" w:type="dxa"/>
            </w:tcMar>
          </w:tcPr>
          <w:p>
            <w:pPr>
              <w:spacing w:after="30"/>
            </w:pPr>
            <w:r>
              <w:rPr>
                <w:rFonts w:ascii="Arial" w:hAnsi="Arial"/>
                <w:sz w:val="16"/>
              </w:rPr>
              <w:t>Qual tamanho reduz exportação e melhora retorno para meu perfil horário?</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Investimento limitado</w:t>
            </w:r>
          </w:p>
        </w:tc>
        <w:tc>
          <w:tcPr>
            <w:tcW w:type="dxa" w:w="7272"/>
            <w:vAlign w:val="top"/>
            <w:tcMar>
              <w:top w:w="80" w:type="dxa"/>
              <w:start w:w="90" w:type="dxa"/>
              <w:bottom w:w="80" w:type="dxa"/>
              <w:end w:w="90" w:type="dxa"/>
            </w:tcMar>
          </w:tcPr>
          <w:p>
            <w:pPr>
              <w:spacing w:after="30"/>
            </w:pPr>
            <w:r>
              <w:rPr>
                <w:rFonts w:ascii="Arial" w:hAnsi="Arial"/>
                <w:sz w:val="16"/>
              </w:rPr>
              <w:t>Tenho R$ 40 mil: qual combinação entrega melhor VPL/produção?</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Payback mínimo</w:t>
            </w:r>
          </w:p>
        </w:tc>
        <w:tc>
          <w:tcPr>
            <w:tcW w:type="dxa" w:w="7272"/>
            <w:vAlign w:val="top"/>
            <w:tcMar>
              <w:top w:w="80" w:type="dxa"/>
              <w:start w:w="90" w:type="dxa"/>
              <w:bottom w:w="80" w:type="dxa"/>
              <w:end w:w="90" w:type="dxa"/>
            </w:tcMar>
          </w:tcPr>
          <w:p>
            <w:pPr>
              <w:spacing w:after="30"/>
            </w:pPr>
            <w:r>
              <w:rPr>
                <w:rFonts w:ascii="Arial" w:hAnsi="Arial"/>
                <w:sz w:val="16"/>
              </w:rPr>
              <w:t>Qual tamanho deixa de melhorar o retorno marginal?</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Bateria</w:t>
            </w:r>
          </w:p>
        </w:tc>
        <w:tc>
          <w:tcPr>
            <w:tcW w:type="dxa" w:w="7272"/>
            <w:vAlign w:val="top"/>
            <w:tcMar>
              <w:top w:w="80" w:type="dxa"/>
              <w:start w:w="90" w:type="dxa"/>
              <w:bottom w:w="80" w:type="dxa"/>
              <w:end w:w="90" w:type="dxa"/>
            </w:tcMar>
          </w:tcPr>
          <w:p>
            <w:pPr>
              <w:spacing w:after="30"/>
            </w:pPr>
            <w:r>
              <w:rPr>
                <w:rFonts w:ascii="Arial" w:hAnsi="Arial"/>
                <w:sz w:val="16"/>
              </w:rPr>
              <w:t>Solar puro vs. solar + 10/20/40 kWh.</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Equipamentos</w:t>
            </w:r>
          </w:p>
        </w:tc>
        <w:tc>
          <w:tcPr>
            <w:tcW w:type="dxa" w:w="7272"/>
            <w:vAlign w:val="top"/>
            <w:tcMar>
              <w:top w:w="80" w:type="dxa"/>
              <w:start w:w="90" w:type="dxa"/>
              <w:bottom w:w="80" w:type="dxa"/>
              <w:end w:w="90" w:type="dxa"/>
            </w:tcMar>
          </w:tcPr>
          <w:p>
            <w:pPr>
              <w:spacing w:after="30"/>
            </w:pPr>
            <w:r>
              <w:rPr>
                <w:rFonts w:ascii="Arial" w:hAnsi="Arial"/>
                <w:sz w:val="16"/>
              </w:rPr>
              <w:t>Módulo 550 W vs. 585 W; inversor A vs. B; fixo vs. tracker.</w:t>
            </w:r>
          </w:p>
        </w:tc>
      </w:tr>
      <w:tr>
        <w:trPr>
          <w:cantSplit/>
          <w:cantSplit/>
        </w:trPr>
        <w:tc>
          <w:tcPr>
            <w:tcW w:type="dxa" w:w="2376"/>
            <w:vAlign w:val="top"/>
            <w:tcMar>
              <w:top w:w="80" w:type="dxa"/>
              <w:start w:w="90" w:type="dxa"/>
              <w:bottom w:w="80" w:type="dxa"/>
              <w:end w:w="90" w:type="dxa"/>
            </w:tcMar>
          </w:tcPr>
          <w:p>
            <w:pPr>
              <w:spacing w:after="30"/>
            </w:pPr>
            <w:r>
              <w:rPr>
                <w:rFonts w:ascii="Arial" w:hAnsi="Arial"/>
                <w:sz w:val="16"/>
              </w:rPr>
              <w:t>Expansão</w:t>
            </w:r>
          </w:p>
        </w:tc>
        <w:tc>
          <w:tcPr>
            <w:tcW w:type="dxa" w:w="7272"/>
            <w:vAlign w:val="top"/>
            <w:tcMar>
              <w:top w:w="80" w:type="dxa"/>
              <w:start w:w="90" w:type="dxa"/>
              <w:bottom w:w="80" w:type="dxa"/>
              <w:end w:w="90" w:type="dxa"/>
            </w:tcMar>
          </w:tcPr>
          <w:p>
            <w:pPr>
              <w:spacing w:after="30"/>
            </w:pPr>
            <w:r>
              <w:rPr>
                <w:rFonts w:ascii="Arial" w:hAnsi="Arial"/>
                <w:sz w:val="16"/>
              </w:rPr>
              <w:t>Instalação hoje + ampliação futura sem refazer toda infraestrutura.</w:t>
            </w:r>
          </w:p>
        </w:tc>
      </w:tr>
    </w:tbl>
    <w:p>
      <w:pPr>
        <w:pStyle w:val="Heading2"/>
      </w:pPr>
      <w:r>
        <w:t>27.20 Chat IA Solar</w:t>
      </w:r>
    </w:p>
    <w:p>
      <w:pPr>
        <w:spacing w:after="100"/>
      </w:pPr>
      <w:r>
        <w:t>O chat deve operar sobre o cenário atual e conseguir alterar a simulação por linguagem natural. Respostas numéricas devem sempre apontar o cenário, equipamento, fonte climática, tarifa e data-base.</w:t>
      </w:r>
    </w:p>
    <w:p>
      <w:pPr>
        <w:spacing w:after="50"/>
        <w:ind w:left="173" w:hanging="115"/>
      </w:pPr>
      <w:r>
        <w:rPr>
          <w:rFonts w:ascii="Arial" w:hAnsi="Arial"/>
          <w:sz w:val="19"/>
        </w:rPr>
        <w:t>• “Tenho uma conta de R$ 780. Quantas placas preciso?”</w:t>
      </w:r>
    </w:p>
    <w:p>
      <w:pPr>
        <w:spacing w:after="50"/>
        <w:ind w:left="173" w:hanging="115"/>
      </w:pPr>
      <w:r>
        <w:rPr>
          <w:rFonts w:ascii="Arial" w:hAnsi="Arial"/>
          <w:sz w:val="19"/>
        </w:rPr>
        <w:t>• “Se eu instalar 18 módulos de 585 W, quanto gero por mês e quanto economizo?”</w:t>
      </w:r>
    </w:p>
    <w:p>
      <w:pPr>
        <w:spacing w:after="50"/>
        <w:ind w:left="173" w:hanging="115"/>
      </w:pPr>
      <w:r>
        <w:rPr>
          <w:rFonts w:ascii="Arial" w:hAnsi="Arial"/>
          <w:sz w:val="19"/>
        </w:rPr>
        <w:t>• “Mostre as sombras entre 15h e 17h em junho.”</w:t>
      </w:r>
    </w:p>
    <w:p>
      <w:pPr>
        <w:spacing w:after="50"/>
        <w:ind w:left="173" w:hanging="115"/>
      </w:pPr>
      <w:r>
        <w:rPr>
          <w:rFonts w:ascii="Arial" w:hAnsi="Arial"/>
          <w:sz w:val="19"/>
        </w:rPr>
        <w:t>• “Qual face do telhado tem melhor produtividade?”</w:t>
      </w:r>
    </w:p>
    <w:p>
      <w:pPr>
        <w:spacing w:after="50"/>
        <w:ind w:left="173" w:hanging="115"/>
      </w:pPr>
      <w:r>
        <w:rPr>
          <w:rFonts w:ascii="Arial" w:hAnsi="Arial"/>
          <w:sz w:val="19"/>
        </w:rPr>
        <w:t>• “Remova os quatro painéis com pior insolação e recalcule o payback.”</w:t>
      </w:r>
    </w:p>
    <w:p>
      <w:pPr>
        <w:spacing w:after="50"/>
        <w:ind w:left="173" w:hanging="115"/>
      </w:pPr>
      <w:r>
        <w:rPr>
          <w:rFonts w:ascii="Arial" w:hAnsi="Arial"/>
          <w:sz w:val="19"/>
        </w:rPr>
        <w:t>• “Tenho R$ 60 mil. Otimize para maior VPL em 20 anos.”</w:t>
      </w:r>
    </w:p>
    <w:p>
      <w:pPr>
        <w:spacing w:after="50"/>
        <w:ind w:left="173" w:hanging="115"/>
      </w:pPr>
      <w:r>
        <w:rPr>
          <w:rFonts w:ascii="Arial" w:hAnsi="Arial"/>
          <w:sz w:val="19"/>
        </w:rPr>
        <w:t>• “Neste terreno rural, quantos MWp cabem depois de excluir APP e áreas com declividade acima do limite do projeto?”</w:t>
      </w:r>
    </w:p>
    <w:p>
      <w:pPr>
        <w:spacing w:after="50"/>
        <w:ind w:left="173" w:hanging="115"/>
      </w:pPr>
      <w:r>
        <w:rPr>
          <w:rFonts w:ascii="Arial" w:hAnsi="Arial"/>
          <w:sz w:val="19"/>
        </w:rPr>
        <w:t>• “O condomínio pode usar esse telhado comum?” — o chat cruza o módulo Condomínio e cita convenção/ata quando houver.</w:t>
      </w:r>
    </w:p>
    <w:p>
      <w:pPr>
        <w:spacing w:after="50"/>
        <w:ind w:left="173" w:hanging="115"/>
      </w:pPr>
      <w:r>
        <w:rPr>
          <w:rFonts w:ascii="Arial" w:hAnsi="Arial"/>
          <w:sz w:val="19"/>
        </w:rPr>
        <w:t>• “A rede suporta?” — responder com o que os dados permitem e separar claramente pré-análise de parecer da distribuidora.</w:t>
      </w:r>
    </w:p>
    <w:p>
      <w:pPr>
        <w:spacing w:after="50"/>
        <w:ind w:left="173" w:hanging="115"/>
      </w:pPr>
      <w:r>
        <w:rPr>
          <w:rFonts w:ascii="Arial" w:hAnsi="Arial"/>
          <w:sz w:val="19"/>
        </w:rPr>
        <w:t>• “Compare sistema fixo e tracker de um eixo.”</w:t>
      </w:r>
    </w:p>
    <w:p>
      <w:pPr>
        <w:pStyle w:val="Heading2"/>
      </w:pPr>
      <w:r>
        <w:t>27.21 Relatório Energia Solar 360 — composição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936"/>
            <w:shd w:fill="EDEDED"/>
            <w:vAlign w:val="center"/>
            <w:tcMar>
              <w:top w:w="80" w:type="dxa"/>
              <w:start w:w="90" w:type="dxa"/>
              <w:bottom w:w="80" w:type="dxa"/>
              <w:end w:w="90" w:type="dxa"/>
            </w:tcMar>
          </w:tcPr>
          <w:p>
            <w:r>
              <w:rPr>
                <w:rFonts w:ascii="Arial" w:hAnsi="Arial"/>
                <w:b/>
                <w:sz w:val="17"/>
              </w:rPr>
              <w:t>Bloco</w:t>
            </w:r>
          </w:p>
        </w:tc>
        <w:tc>
          <w:tcPr>
            <w:tcW w:type="dxa" w:w="8712"/>
            <w:shd w:fill="EDEDED"/>
            <w:vAlign w:val="center"/>
            <w:tcMar>
              <w:top w:w="80" w:type="dxa"/>
              <w:start w:w="90" w:type="dxa"/>
              <w:bottom w:w="80" w:type="dxa"/>
              <w:end w:w="90" w:type="dxa"/>
            </w:tcMar>
          </w:tcPr>
          <w:p>
            <w:r>
              <w:rPr>
                <w:rFonts w:ascii="Arial" w:hAnsi="Arial"/>
                <w:b/>
                <w:sz w:val="17"/>
              </w:rPr>
              <w:t>Conteúdo</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1</w:t>
            </w:r>
          </w:p>
        </w:tc>
        <w:tc>
          <w:tcPr>
            <w:tcW w:type="dxa" w:w="8712"/>
            <w:vAlign w:val="top"/>
            <w:tcMar>
              <w:top w:w="80" w:type="dxa"/>
              <w:start w:w="90" w:type="dxa"/>
              <w:bottom w:w="80" w:type="dxa"/>
              <w:end w:w="90" w:type="dxa"/>
            </w:tcMar>
          </w:tcPr>
          <w:p>
            <w:pPr>
              <w:spacing w:after="30"/>
            </w:pPr>
            <w:r>
              <w:rPr>
                <w:rFonts w:ascii="Arial" w:hAnsi="Arial"/>
                <w:sz w:val="16"/>
              </w:rPr>
              <w:t>Identificação do imóvel, coordenadas, lote/edificação e usuário responsável.</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2</w:t>
            </w:r>
          </w:p>
        </w:tc>
        <w:tc>
          <w:tcPr>
            <w:tcW w:type="dxa" w:w="8712"/>
            <w:vAlign w:val="top"/>
            <w:tcMar>
              <w:top w:w="80" w:type="dxa"/>
              <w:start w:w="90" w:type="dxa"/>
              <w:bottom w:w="80" w:type="dxa"/>
              <w:end w:w="90" w:type="dxa"/>
            </w:tcMar>
          </w:tcPr>
          <w:p>
            <w:pPr>
              <w:spacing w:after="30"/>
            </w:pPr>
            <w:r>
              <w:rPr>
                <w:rFonts w:ascii="Arial" w:hAnsi="Arial"/>
                <w:sz w:val="16"/>
              </w:rPr>
              <w:t>Cobertura e qualidade das fontes: imagem/modelo, data, resolução e limitações.</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3</w:t>
            </w:r>
          </w:p>
        </w:tc>
        <w:tc>
          <w:tcPr>
            <w:tcW w:type="dxa" w:w="8712"/>
            <w:vAlign w:val="top"/>
            <w:tcMar>
              <w:top w:w="80" w:type="dxa"/>
              <w:start w:w="90" w:type="dxa"/>
              <w:bottom w:w="80" w:type="dxa"/>
              <w:end w:w="90" w:type="dxa"/>
            </w:tcMar>
          </w:tcPr>
          <w:p>
            <w:pPr>
              <w:spacing w:after="30"/>
            </w:pPr>
            <w:r>
              <w:rPr>
                <w:rFonts w:ascii="Arial" w:hAnsi="Arial"/>
                <w:sz w:val="16"/>
              </w:rPr>
              <w:t>Snapshot 2D/3D do imóvel e superfícies analisadas.</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4</w:t>
            </w:r>
          </w:p>
        </w:tc>
        <w:tc>
          <w:tcPr>
            <w:tcW w:type="dxa" w:w="8712"/>
            <w:vAlign w:val="top"/>
            <w:tcMar>
              <w:top w:w="80" w:type="dxa"/>
              <w:start w:w="90" w:type="dxa"/>
              <w:bottom w:w="80" w:type="dxa"/>
              <w:end w:w="90" w:type="dxa"/>
            </w:tcMar>
          </w:tcPr>
          <w:p>
            <w:pPr>
              <w:spacing w:after="30"/>
            </w:pPr>
            <w:r>
              <w:rPr>
                <w:rFonts w:ascii="Arial" w:hAnsi="Arial"/>
                <w:sz w:val="16"/>
              </w:rPr>
              <w:t>Geometria de telhado/terreno: áreas, pitch, azimute, declividade, obstáculos e área útil.</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5</w:t>
            </w:r>
          </w:p>
        </w:tc>
        <w:tc>
          <w:tcPr>
            <w:tcW w:type="dxa" w:w="8712"/>
            <w:vAlign w:val="top"/>
            <w:tcMar>
              <w:top w:w="80" w:type="dxa"/>
              <w:start w:w="90" w:type="dxa"/>
              <w:bottom w:w="80" w:type="dxa"/>
              <w:end w:w="90" w:type="dxa"/>
            </w:tcMar>
          </w:tcPr>
          <w:p>
            <w:pPr>
              <w:spacing w:after="30"/>
            </w:pPr>
            <w:r>
              <w:rPr>
                <w:rFonts w:ascii="Arial" w:hAnsi="Arial"/>
                <w:sz w:val="16"/>
              </w:rPr>
              <w:t>Trajetória solar e mapas de sombra/insolação.</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6</w:t>
            </w:r>
          </w:p>
        </w:tc>
        <w:tc>
          <w:tcPr>
            <w:tcW w:type="dxa" w:w="8712"/>
            <w:vAlign w:val="top"/>
            <w:tcMar>
              <w:top w:w="80" w:type="dxa"/>
              <w:start w:w="90" w:type="dxa"/>
              <w:bottom w:w="80" w:type="dxa"/>
              <w:end w:w="90" w:type="dxa"/>
            </w:tcMar>
          </w:tcPr>
          <w:p>
            <w:pPr>
              <w:spacing w:after="30"/>
            </w:pPr>
            <w:r>
              <w:rPr>
                <w:rFonts w:ascii="Arial" w:hAnsi="Arial"/>
                <w:sz w:val="16"/>
              </w:rPr>
              <w:t>Equipamentos selecionados e fichas técnicas.</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7</w:t>
            </w:r>
          </w:p>
        </w:tc>
        <w:tc>
          <w:tcPr>
            <w:tcW w:type="dxa" w:w="8712"/>
            <w:vAlign w:val="top"/>
            <w:tcMar>
              <w:top w:w="80" w:type="dxa"/>
              <w:start w:w="90" w:type="dxa"/>
              <w:bottom w:w="80" w:type="dxa"/>
              <w:end w:w="90" w:type="dxa"/>
            </w:tcMar>
          </w:tcPr>
          <w:p>
            <w:pPr>
              <w:spacing w:after="30"/>
            </w:pPr>
            <w:r>
              <w:rPr>
                <w:rFonts w:ascii="Arial" w:hAnsi="Arial"/>
                <w:sz w:val="16"/>
              </w:rPr>
              <w:t>Layout de painéis, quantidade, kWp, strings, inversores e áreas excluídas.</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8</w:t>
            </w:r>
          </w:p>
        </w:tc>
        <w:tc>
          <w:tcPr>
            <w:tcW w:type="dxa" w:w="8712"/>
            <w:vAlign w:val="top"/>
            <w:tcMar>
              <w:top w:w="80" w:type="dxa"/>
              <w:start w:w="90" w:type="dxa"/>
              <w:bottom w:w="80" w:type="dxa"/>
              <w:end w:w="90" w:type="dxa"/>
            </w:tcMar>
          </w:tcPr>
          <w:p>
            <w:pPr>
              <w:spacing w:after="30"/>
            </w:pPr>
            <w:r>
              <w:rPr>
                <w:rFonts w:ascii="Arial" w:hAnsi="Arial"/>
                <w:sz w:val="16"/>
              </w:rPr>
              <w:t>Geração mensal e anual, yield, perdas e performance ratio.</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9</w:t>
            </w:r>
          </w:p>
        </w:tc>
        <w:tc>
          <w:tcPr>
            <w:tcW w:type="dxa" w:w="8712"/>
            <w:vAlign w:val="top"/>
            <w:tcMar>
              <w:top w:w="80" w:type="dxa"/>
              <w:start w:w="90" w:type="dxa"/>
              <w:bottom w:w="80" w:type="dxa"/>
              <w:end w:w="90" w:type="dxa"/>
            </w:tcMar>
          </w:tcPr>
          <w:p>
            <w:pPr>
              <w:spacing w:after="30"/>
            </w:pPr>
            <w:r>
              <w:rPr>
                <w:rFonts w:ascii="Arial" w:hAnsi="Arial"/>
                <w:sz w:val="16"/>
              </w:rPr>
              <w:t>Consumo histórico, perfil de carga e premissas de crescimento.</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10</w:t>
            </w:r>
          </w:p>
        </w:tc>
        <w:tc>
          <w:tcPr>
            <w:tcW w:type="dxa" w:w="8712"/>
            <w:vAlign w:val="top"/>
            <w:tcMar>
              <w:top w:w="80" w:type="dxa"/>
              <w:start w:w="90" w:type="dxa"/>
              <w:bottom w:w="80" w:type="dxa"/>
              <w:end w:w="90" w:type="dxa"/>
            </w:tcMar>
          </w:tcPr>
          <w:p>
            <w:pPr>
              <w:spacing w:after="30"/>
            </w:pPr>
            <w:r>
              <w:rPr>
                <w:rFonts w:ascii="Arial" w:hAnsi="Arial"/>
                <w:sz w:val="16"/>
              </w:rPr>
              <w:t>Autoconsumo, injeção, compensação e energia comprada.</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11</w:t>
            </w:r>
          </w:p>
        </w:tc>
        <w:tc>
          <w:tcPr>
            <w:tcW w:type="dxa" w:w="8712"/>
            <w:vAlign w:val="top"/>
            <w:tcMar>
              <w:top w:w="80" w:type="dxa"/>
              <w:start w:w="90" w:type="dxa"/>
              <w:bottom w:w="80" w:type="dxa"/>
              <w:end w:w="90" w:type="dxa"/>
            </w:tcMar>
          </w:tcPr>
          <w:p>
            <w:pPr>
              <w:spacing w:after="30"/>
            </w:pPr>
            <w:r>
              <w:rPr>
                <w:rFonts w:ascii="Arial" w:hAnsi="Arial"/>
                <w:sz w:val="16"/>
              </w:rPr>
              <w:t>Distribuidora, tarifa, regra SCEE e versão regulatória.</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12</w:t>
            </w:r>
          </w:p>
        </w:tc>
        <w:tc>
          <w:tcPr>
            <w:tcW w:type="dxa" w:w="8712"/>
            <w:vAlign w:val="top"/>
            <w:tcMar>
              <w:top w:w="80" w:type="dxa"/>
              <w:start w:w="90" w:type="dxa"/>
              <w:bottom w:w="80" w:type="dxa"/>
              <w:end w:w="90" w:type="dxa"/>
            </w:tcMar>
          </w:tcPr>
          <w:p>
            <w:pPr>
              <w:spacing w:after="30"/>
            </w:pPr>
            <w:r>
              <w:rPr>
                <w:rFonts w:ascii="Arial" w:hAnsi="Arial"/>
                <w:sz w:val="16"/>
              </w:rPr>
              <w:t>Conta antes/depois e memória de cálculo.</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13</w:t>
            </w:r>
          </w:p>
        </w:tc>
        <w:tc>
          <w:tcPr>
            <w:tcW w:type="dxa" w:w="8712"/>
            <w:vAlign w:val="top"/>
            <w:tcMar>
              <w:top w:w="80" w:type="dxa"/>
              <w:start w:w="90" w:type="dxa"/>
              <w:bottom w:w="80" w:type="dxa"/>
              <w:end w:w="90" w:type="dxa"/>
            </w:tcMar>
          </w:tcPr>
          <w:p>
            <w:pPr>
              <w:spacing w:after="30"/>
            </w:pPr>
            <w:r>
              <w:rPr>
                <w:rFonts w:ascii="Arial" w:hAnsi="Arial"/>
                <w:sz w:val="16"/>
              </w:rPr>
              <w:t>CAPEX/OPEX, payback, VPL, TIR, LCOE e fluxo de caixa.</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14</w:t>
            </w:r>
          </w:p>
        </w:tc>
        <w:tc>
          <w:tcPr>
            <w:tcW w:type="dxa" w:w="8712"/>
            <w:vAlign w:val="top"/>
            <w:tcMar>
              <w:top w:w="80" w:type="dxa"/>
              <w:start w:w="90" w:type="dxa"/>
              <w:bottom w:w="80" w:type="dxa"/>
              <w:end w:w="90" w:type="dxa"/>
            </w:tcMar>
          </w:tcPr>
          <w:p>
            <w:pPr>
              <w:spacing w:after="30"/>
            </w:pPr>
            <w:r>
              <w:rPr>
                <w:rFonts w:ascii="Arial" w:hAnsi="Arial"/>
                <w:sz w:val="16"/>
              </w:rPr>
              <w:t>Cenários alternativos e análise de sensibilidade.</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15</w:t>
            </w:r>
          </w:p>
        </w:tc>
        <w:tc>
          <w:tcPr>
            <w:tcW w:type="dxa" w:w="8712"/>
            <w:vAlign w:val="top"/>
            <w:tcMar>
              <w:top w:w="80" w:type="dxa"/>
              <w:start w:w="90" w:type="dxa"/>
              <w:bottom w:w="80" w:type="dxa"/>
              <w:end w:w="90" w:type="dxa"/>
            </w:tcMar>
          </w:tcPr>
          <w:p>
            <w:pPr>
              <w:spacing w:after="30"/>
            </w:pPr>
            <w:r>
              <w:rPr>
                <w:rFonts w:ascii="Arial" w:hAnsi="Arial"/>
                <w:sz w:val="16"/>
              </w:rPr>
              <w:t>Rede/conexão: distância, ativos de referência, riscos e itens a confirmar.</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16</w:t>
            </w:r>
          </w:p>
        </w:tc>
        <w:tc>
          <w:tcPr>
            <w:tcW w:type="dxa" w:w="8712"/>
            <w:vAlign w:val="top"/>
            <w:tcMar>
              <w:top w:w="80" w:type="dxa"/>
              <w:start w:w="90" w:type="dxa"/>
              <w:bottom w:w="80" w:type="dxa"/>
              <w:end w:w="90" w:type="dxa"/>
            </w:tcMar>
          </w:tcPr>
          <w:p>
            <w:pPr>
              <w:spacing w:after="30"/>
            </w:pPr>
            <w:r>
              <w:rPr>
                <w:rFonts w:ascii="Arial" w:hAnsi="Arial"/>
                <w:sz w:val="16"/>
              </w:rPr>
              <w:t>Estrutura, incêndio, patrimônio, condomínio, zoneamento e outras condicionantes.</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17</w:t>
            </w:r>
          </w:p>
        </w:tc>
        <w:tc>
          <w:tcPr>
            <w:tcW w:type="dxa" w:w="8712"/>
            <w:vAlign w:val="top"/>
            <w:tcMar>
              <w:top w:w="80" w:type="dxa"/>
              <w:start w:w="90" w:type="dxa"/>
              <w:bottom w:w="80" w:type="dxa"/>
              <w:end w:w="90" w:type="dxa"/>
            </w:tcMar>
          </w:tcPr>
          <w:p>
            <w:pPr>
              <w:spacing w:after="30"/>
            </w:pPr>
            <w:r>
              <w:rPr>
                <w:rFonts w:ascii="Arial" w:hAnsi="Arial"/>
                <w:sz w:val="16"/>
              </w:rPr>
              <w:t>Para solo: restrições ambientais/fundiárias, acesso, terraplenagem e implantação.</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18</w:t>
            </w:r>
          </w:p>
        </w:tc>
        <w:tc>
          <w:tcPr>
            <w:tcW w:type="dxa" w:w="8712"/>
            <w:vAlign w:val="top"/>
            <w:tcMar>
              <w:top w:w="80" w:type="dxa"/>
              <w:start w:w="90" w:type="dxa"/>
              <w:bottom w:w="80" w:type="dxa"/>
              <w:end w:w="90" w:type="dxa"/>
            </w:tcMar>
          </w:tcPr>
          <w:p>
            <w:pPr>
              <w:spacing w:after="30"/>
            </w:pPr>
            <w:r>
              <w:rPr>
                <w:rFonts w:ascii="Arial" w:hAnsi="Arial"/>
                <w:sz w:val="16"/>
              </w:rPr>
              <w:t>Bateria/backup/EV quando aplicável.</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19</w:t>
            </w:r>
          </w:p>
        </w:tc>
        <w:tc>
          <w:tcPr>
            <w:tcW w:type="dxa" w:w="8712"/>
            <w:vAlign w:val="top"/>
            <w:tcMar>
              <w:top w:w="80" w:type="dxa"/>
              <w:start w:w="90" w:type="dxa"/>
              <w:bottom w:w="80" w:type="dxa"/>
              <w:end w:w="90" w:type="dxa"/>
            </w:tcMar>
          </w:tcPr>
          <w:p>
            <w:pPr>
              <w:spacing w:after="30"/>
            </w:pPr>
            <w:r>
              <w:rPr>
                <w:rFonts w:ascii="Arial" w:hAnsi="Arial"/>
                <w:sz w:val="16"/>
              </w:rPr>
              <w:t>CO₂ evitado estimado e metodologia.</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20</w:t>
            </w:r>
          </w:p>
        </w:tc>
        <w:tc>
          <w:tcPr>
            <w:tcW w:type="dxa" w:w="8712"/>
            <w:vAlign w:val="top"/>
            <w:tcMar>
              <w:top w:w="80" w:type="dxa"/>
              <w:start w:w="90" w:type="dxa"/>
              <w:bottom w:w="80" w:type="dxa"/>
              <w:end w:w="90" w:type="dxa"/>
            </w:tcMar>
          </w:tcPr>
          <w:p>
            <w:pPr>
              <w:spacing w:after="30"/>
            </w:pPr>
            <w:r>
              <w:rPr>
                <w:rFonts w:ascii="Arial" w:hAnsi="Arial"/>
                <w:sz w:val="16"/>
              </w:rPr>
              <w:t>Riscos, pendências de vistoria, documentos faltantes e próximos passos.</w:t>
            </w:r>
          </w:p>
        </w:tc>
      </w:tr>
      <w:tr>
        <w:trPr>
          <w:cantSplit/>
          <w:cantSplit/>
        </w:trPr>
        <w:tc>
          <w:tcPr>
            <w:tcW w:type="dxa" w:w="936"/>
            <w:vAlign w:val="top"/>
            <w:tcMar>
              <w:top w:w="80" w:type="dxa"/>
              <w:start w:w="90" w:type="dxa"/>
              <w:bottom w:w="80" w:type="dxa"/>
              <w:end w:w="90" w:type="dxa"/>
            </w:tcMar>
          </w:tcPr>
          <w:p>
            <w:pPr>
              <w:spacing w:after="30"/>
            </w:pPr>
            <w:r>
              <w:rPr>
                <w:rFonts w:ascii="Arial" w:hAnsi="Arial"/>
                <w:sz w:val="16"/>
              </w:rPr>
              <w:t>21</w:t>
            </w:r>
          </w:p>
        </w:tc>
        <w:tc>
          <w:tcPr>
            <w:tcW w:type="dxa" w:w="8712"/>
            <w:vAlign w:val="top"/>
            <w:tcMar>
              <w:top w:w="80" w:type="dxa"/>
              <w:start w:w="90" w:type="dxa"/>
              <w:bottom w:w="80" w:type="dxa"/>
              <w:end w:w="90" w:type="dxa"/>
            </w:tcMar>
          </w:tcPr>
          <w:p>
            <w:pPr>
              <w:spacing w:after="30"/>
            </w:pPr>
            <w:r>
              <w:rPr>
                <w:rFonts w:ascii="Arial" w:hAnsi="Arial"/>
                <w:sz w:val="16"/>
              </w:rPr>
              <w:t>Evidências: URLs/fontes, hashes, timestamps, versão do motor e inputs do cenário.</w:t>
            </w:r>
          </w:p>
        </w:tc>
      </w:tr>
    </w:tbl>
    <w:p>
      <w:pPr>
        <w:pStyle w:val="Heading2"/>
      </w:pPr>
      <w:r>
        <w:t>27.22 Integração com os demais módulos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088"/>
            <w:shd w:fill="EDEDED"/>
            <w:vAlign w:val="center"/>
            <w:tcMar>
              <w:top w:w="80" w:type="dxa"/>
              <w:start w:w="90" w:type="dxa"/>
              <w:bottom w:w="80" w:type="dxa"/>
              <w:end w:w="90" w:type="dxa"/>
            </w:tcMar>
          </w:tcPr>
          <w:p>
            <w:r>
              <w:rPr>
                <w:rFonts w:ascii="Arial" w:hAnsi="Arial"/>
                <w:b/>
                <w:sz w:val="17"/>
              </w:rPr>
              <w:t>Módulo</w:t>
            </w:r>
          </w:p>
        </w:tc>
        <w:tc>
          <w:tcPr>
            <w:tcW w:type="dxa" w:w="7560"/>
            <w:shd w:fill="EDEDED"/>
            <w:vAlign w:val="center"/>
            <w:tcMar>
              <w:top w:w="80" w:type="dxa"/>
              <w:start w:w="90" w:type="dxa"/>
              <w:bottom w:w="80" w:type="dxa"/>
              <w:end w:w="90" w:type="dxa"/>
            </w:tcMar>
          </w:tcPr>
          <w:p>
            <w:r>
              <w:rPr>
                <w:rFonts w:ascii="Arial" w:hAnsi="Arial"/>
                <w:b/>
                <w:sz w:val="17"/>
              </w:rPr>
              <w:t>Integração</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LoteDiretor</w:t>
            </w:r>
          </w:p>
        </w:tc>
        <w:tc>
          <w:tcPr>
            <w:tcW w:type="dxa" w:w="7560"/>
            <w:vAlign w:val="top"/>
            <w:tcMar>
              <w:top w:w="80" w:type="dxa"/>
              <w:start w:w="90" w:type="dxa"/>
              <w:bottom w:w="80" w:type="dxa"/>
              <w:end w:w="90" w:type="dxa"/>
            </w:tcMar>
          </w:tcPr>
          <w:p>
            <w:pPr>
              <w:spacing w:after="30"/>
            </w:pPr>
            <w:r>
              <w:rPr>
                <w:rFonts w:ascii="Arial" w:hAnsi="Arial"/>
                <w:sz w:val="16"/>
              </w:rPr>
              <w:t>Endereço/lote, edifício, zoneamento, patrimônio, risco, infraestrutura, rede, aprovação e contexto municipal.</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Imóvel 360</w:t>
            </w:r>
          </w:p>
        </w:tc>
        <w:tc>
          <w:tcPr>
            <w:tcW w:type="dxa" w:w="7560"/>
            <w:vAlign w:val="top"/>
            <w:tcMar>
              <w:top w:w="80" w:type="dxa"/>
              <w:start w:w="90" w:type="dxa"/>
              <w:bottom w:w="80" w:type="dxa"/>
              <w:end w:w="90" w:type="dxa"/>
            </w:tcMar>
          </w:tcPr>
          <w:p>
            <w:pPr>
              <w:spacing w:after="30"/>
            </w:pPr>
            <w:r>
              <w:rPr>
                <w:rFonts w:ascii="Arial" w:hAnsi="Arial"/>
                <w:sz w:val="16"/>
              </w:rPr>
              <w:t>Ficha do ativo, empreendimentos, prospecção, CRM, relatório, mercado e comunicação com proprietário/cliente.</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RE Rural</w:t>
            </w:r>
          </w:p>
        </w:tc>
        <w:tc>
          <w:tcPr>
            <w:tcW w:type="dxa" w:w="7560"/>
            <w:vAlign w:val="top"/>
            <w:tcMar>
              <w:top w:w="80" w:type="dxa"/>
              <w:start w:w="90" w:type="dxa"/>
              <w:bottom w:w="80" w:type="dxa"/>
              <w:end w:w="90" w:type="dxa"/>
            </w:tcMar>
          </w:tcPr>
          <w:p>
            <w:pPr>
              <w:spacing w:after="30"/>
            </w:pPr>
            <w:r>
              <w:rPr>
                <w:rFonts w:ascii="Arial" w:hAnsi="Arial"/>
                <w:sz w:val="16"/>
              </w:rPr>
              <w:t>CAR/SIGEF/SNCR, APP, Reserva Legal, UCs, Terras Indígenas, embargos, relevo, acesso e análise de fazendas/glebas.</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Condomínio</w:t>
            </w:r>
          </w:p>
        </w:tc>
        <w:tc>
          <w:tcPr>
            <w:tcW w:type="dxa" w:w="7560"/>
            <w:vAlign w:val="top"/>
            <w:tcMar>
              <w:top w:w="80" w:type="dxa"/>
              <w:start w:w="90" w:type="dxa"/>
              <w:bottom w:w="80" w:type="dxa"/>
              <w:end w:w="90" w:type="dxa"/>
            </w:tcMar>
          </w:tcPr>
          <w:p>
            <w:pPr>
              <w:spacing w:after="30"/>
            </w:pPr>
            <w:r>
              <w:rPr>
                <w:rFonts w:ascii="Arial" w:hAnsi="Arial"/>
                <w:sz w:val="16"/>
              </w:rPr>
              <w:t>Direito de uso da cobertura/área comum, convenção, atas, quórum, reformas, contratos e rateio.</w:t>
            </w:r>
          </w:p>
        </w:tc>
      </w:tr>
      <w:tr>
        <w:trPr>
          <w:cantSplit/>
          <w:cantSplit/>
        </w:trPr>
        <w:tc>
          <w:tcPr>
            <w:tcW w:type="dxa" w:w="2088"/>
            <w:vAlign w:val="top"/>
            <w:tcMar>
              <w:top w:w="80" w:type="dxa"/>
              <w:start w:w="90" w:type="dxa"/>
              <w:bottom w:w="80" w:type="dxa"/>
              <w:end w:w="90" w:type="dxa"/>
            </w:tcMar>
          </w:tcPr>
          <w:p>
            <w:pPr>
              <w:spacing w:after="30"/>
            </w:pPr>
            <w:r>
              <w:rPr>
                <w:rFonts w:ascii="Arial" w:hAnsi="Arial"/>
                <w:sz w:val="16"/>
              </w:rPr>
              <w:t>Energia Solar</w:t>
            </w:r>
          </w:p>
        </w:tc>
        <w:tc>
          <w:tcPr>
            <w:tcW w:type="dxa" w:w="7560"/>
            <w:vAlign w:val="top"/>
            <w:tcMar>
              <w:top w:w="80" w:type="dxa"/>
              <w:start w:w="90" w:type="dxa"/>
              <w:bottom w:w="80" w:type="dxa"/>
              <w:end w:w="90" w:type="dxa"/>
            </w:tcMar>
          </w:tcPr>
          <w:p>
            <w:pPr>
              <w:spacing w:after="30"/>
            </w:pPr>
            <w:r>
              <w:rPr>
                <w:rFonts w:ascii="Arial" w:hAnsi="Arial"/>
                <w:sz w:val="16"/>
              </w:rPr>
              <w:t>Adiciona potencial solar, projeto preliminar, geração, conta, rede, economia e cenário financeiro ao mesmo imóvel.</w:t>
            </w:r>
          </w:p>
        </w:tc>
      </w:tr>
    </w:tbl>
    <w:p>
      <w:pPr>
        <w:pStyle w:val="Heading2"/>
      </w:pPr>
      <w:r>
        <w:t>27.23 Arquitetura técnica recomendada</w:t>
      </w:r>
    </w:p>
    <w:p>
      <w:pPr>
        <w:jc w:val="center"/>
      </w:pPr>
      <w:r>
        <w:drawing>
          <wp:inline xmlns:a="http://schemas.openxmlformats.org/drawingml/2006/main" xmlns:pic="http://schemas.openxmlformats.org/drawingml/2006/picture">
            <wp:extent cx="6172200" cy="3780473"/>
            <wp:docPr id="5" name="Picture 5" descr="Figura 8 — Arquitetura híbrida: fontes geoespaciais + gêmeo digital 3D + motor fotovoltaico + motor tarifário/regulatório." title="Figura 8 — Arquitetura híbrida: fontes geoespaciais + gêmeo digital 3D + motor fotovoltaico + motor tarifário/regulatóri"/>
            <wp:cNvGraphicFramePr>
              <a:graphicFrameLocks noChangeAspect="1"/>
            </wp:cNvGraphicFramePr>
            <a:graphic>
              <a:graphicData uri="http://schemas.openxmlformats.org/drawingml/2006/picture">
                <pic:pic>
                  <pic:nvPicPr>
                    <pic:cNvPr id="0" name="solar_architecture.png"/>
                    <pic:cNvPicPr/>
                  </pic:nvPicPr>
                  <pic:blipFill>
                    <a:blip r:embed="rId14"/>
                    <a:stretch>
                      <a:fillRect/>
                    </a:stretch>
                  </pic:blipFill>
                  <pic:spPr>
                    <a:xfrm>
                      <a:off x="0" y="0"/>
                      <a:ext cx="6172200" cy="3780473"/>
                    </a:xfrm>
                    <a:prstGeom prst="rect"/>
                  </pic:spPr>
                </pic:pic>
              </a:graphicData>
            </a:graphic>
          </wp:inline>
        </w:drawing>
      </w:r>
    </w:p>
    <w:p>
      <w:pPr>
        <w:pStyle w:val="CaptionLD"/>
        <w:jc w:val="center"/>
      </w:pPr>
      <w:r>
        <w:t>Figura 8 — Arquitetura híbrida: fontes geoespaciais + gêmeo digital 3D + motor fotovoltaico + motor tarifário/regulatório.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448"/>
            <w:shd w:fill="EDEDED"/>
            <w:vAlign w:val="center"/>
            <w:tcMar>
              <w:top w:w="80" w:type="dxa"/>
              <w:start w:w="90" w:type="dxa"/>
              <w:bottom w:w="80" w:type="dxa"/>
              <w:end w:w="90" w:type="dxa"/>
            </w:tcMar>
          </w:tcPr>
          <w:p>
            <w:r>
              <w:rPr>
                <w:rFonts w:ascii="Arial" w:hAnsi="Arial"/>
                <w:b/>
                <w:sz w:val="17"/>
              </w:rPr>
              <w:t>Componente</w:t>
            </w:r>
          </w:p>
        </w:tc>
        <w:tc>
          <w:tcPr>
            <w:tcW w:type="dxa" w:w="7200"/>
            <w:shd w:fill="EDEDED"/>
            <w:vAlign w:val="center"/>
            <w:tcMar>
              <w:top w:w="80" w:type="dxa"/>
              <w:start w:w="90" w:type="dxa"/>
              <w:bottom w:w="80" w:type="dxa"/>
              <w:end w:w="90" w:type="dxa"/>
            </w:tcMar>
          </w:tcPr>
          <w:p>
            <w:r>
              <w:rPr>
                <w:rFonts w:ascii="Arial" w:hAnsi="Arial"/>
                <w:b/>
                <w:sz w:val="17"/>
              </w:rPr>
              <w:t>Responsabilidade</w:t>
            </w:r>
          </w:p>
        </w:tc>
      </w:tr>
      <w:tr>
        <w:trPr>
          <w:cantSplit/>
          <w:cantSplit/>
        </w:trPr>
        <w:tc>
          <w:tcPr>
            <w:tcW w:type="dxa" w:w="2448"/>
            <w:vAlign w:val="top"/>
            <w:tcMar>
              <w:top w:w="80" w:type="dxa"/>
              <w:start w:w="90" w:type="dxa"/>
              <w:bottom w:w="80" w:type="dxa"/>
              <w:end w:w="90" w:type="dxa"/>
            </w:tcMar>
          </w:tcPr>
          <w:p>
            <w:pPr>
              <w:spacing w:after="30"/>
            </w:pPr>
            <w:r>
              <w:rPr>
                <w:rFonts w:ascii="Arial" w:hAnsi="Arial"/>
                <w:sz w:val="16"/>
              </w:rPr>
              <w:t>solar-api-adapter</w:t>
            </w:r>
          </w:p>
        </w:tc>
        <w:tc>
          <w:tcPr>
            <w:tcW w:type="dxa" w:w="7200"/>
            <w:vAlign w:val="top"/>
            <w:tcMar>
              <w:top w:w="80" w:type="dxa"/>
              <w:start w:w="90" w:type="dxa"/>
              <w:bottom w:w="80" w:type="dxa"/>
              <w:end w:w="90" w:type="dxa"/>
            </w:tcMar>
          </w:tcPr>
          <w:p>
            <w:pPr>
              <w:spacing w:after="30"/>
            </w:pPr>
            <w:r>
              <w:rPr>
                <w:rFonts w:ascii="Arial" w:hAnsi="Arial"/>
                <w:sz w:val="16"/>
              </w:rPr>
              <w:t>Google Solar API: buildingInsights, dataLayers, GeoTIFF, detected arrays; política de fallback.</w:t>
            </w:r>
          </w:p>
        </w:tc>
      </w:tr>
      <w:tr>
        <w:trPr>
          <w:cantSplit/>
          <w:cantSplit/>
        </w:trPr>
        <w:tc>
          <w:tcPr>
            <w:tcW w:type="dxa" w:w="2448"/>
            <w:vAlign w:val="top"/>
            <w:tcMar>
              <w:top w:w="80" w:type="dxa"/>
              <w:start w:w="90" w:type="dxa"/>
              <w:bottom w:w="80" w:type="dxa"/>
              <w:end w:w="90" w:type="dxa"/>
            </w:tcMar>
          </w:tcPr>
          <w:p>
            <w:pPr>
              <w:spacing w:after="30"/>
            </w:pPr>
            <w:r>
              <w:rPr>
                <w:rFonts w:ascii="Arial" w:hAnsi="Arial"/>
                <w:sz w:val="16"/>
              </w:rPr>
              <w:t>solar-3d-service</w:t>
            </w:r>
          </w:p>
        </w:tc>
        <w:tc>
          <w:tcPr>
            <w:tcW w:type="dxa" w:w="7200"/>
            <w:vAlign w:val="top"/>
            <w:tcMar>
              <w:top w:w="80" w:type="dxa"/>
              <w:start w:w="90" w:type="dxa"/>
              <w:bottom w:w="80" w:type="dxa"/>
              <w:end w:w="90" w:type="dxa"/>
            </w:tcMar>
          </w:tcPr>
          <w:p>
            <w:pPr>
              <w:spacing w:after="30"/>
            </w:pPr>
            <w:r>
              <w:rPr>
                <w:rFonts w:ascii="Arial" w:hAnsi="Arial"/>
                <w:sz w:val="16"/>
              </w:rPr>
              <w:t>Terreno/DSM, meshes, footprints, BIM/drone, obstáculos, horizonte, clipping e cena 3D.</w:t>
            </w:r>
          </w:p>
        </w:tc>
      </w:tr>
      <w:tr>
        <w:trPr>
          <w:cantSplit/>
          <w:cantSplit/>
        </w:trPr>
        <w:tc>
          <w:tcPr>
            <w:tcW w:type="dxa" w:w="2448"/>
            <w:vAlign w:val="top"/>
            <w:tcMar>
              <w:top w:w="80" w:type="dxa"/>
              <w:start w:w="90" w:type="dxa"/>
              <w:bottom w:w="80" w:type="dxa"/>
              <w:end w:w="90" w:type="dxa"/>
            </w:tcMar>
          </w:tcPr>
          <w:p>
            <w:pPr>
              <w:spacing w:after="30"/>
            </w:pPr>
            <w:r>
              <w:rPr>
                <w:rFonts w:ascii="Arial" w:hAnsi="Arial"/>
                <w:sz w:val="16"/>
              </w:rPr>
              <w:t>solar-physics (Python)</w:t>
            </w:r>
          </w:p>
        </w:tc>
        <w:tc>
          <w:tcPr>
            <w:tcW w:type="dxa" w:w="7200"/>
            <w:vAlign w:val="top"/>
            <w:tcMar>
              <w:top w:w="80" w:type="dxa"/>
              <w:start w:w="90" w:type="dxa"/>
              <w:bottom w:w="80" w:type="dxa"/>
              <w:end w:w="90" w:type="dxa"/>
            </w:tcMar>
          </w:tcPr>
          <w:p>
            <w:pPr>
              <w:spacing w:after="30"/>
            </w:pPr>
            <w:r>
              <w:rPr>
                <w:rFonts w:ascii="Arial" w:hAnsi="Arial"/>
                <w:sz w:val="16"/>
              </w:rPr>
              <w:t>pvlib/numpy/rasterio/shapely ou equivalente; posição solar, transposição, temperatura, perdas e energia horária.</w:t>
            </w:r>
          </w:p>
        </w:tc>
      </w:tr>
      <w:tr>
        <w:trPr>
          <w:cantSplit/>
          <w:cantSplit/>
        </w:trPr>
        <w:tc>
          <w:tcPr>
            <w:tcW w:type="dxa" w:w="2448"/>
            <w:vAlign w:val="top"/>
            <w:tcMar>
              <w:top w:w="80" w:type="dxa"/>
              <w:start w:w="90" w:type="dxa"/>
              <w:bottom w:w="80" w:type="dxa"/>
              <w:end w:w="90" w:type="dxa"/>
            </w:tcMar>
          </w:tcPr>
          <w:p>
            <w:pPr>
              <w:spacing w:after="30"/>
            </w:pPr>
            <w:r>
              <w:rPr>
                <w:rFonts w:ascii="Arial" w:hAnsi="Arial"/>
                <w:sz w:val="16"/>
              </w:rPr>
              <w:t>layout-optimizer</w:t>
            </w:r>
          </w:p>
        </w:tc>
        <w:tc>
          <w:tcPr>
            <w:tcW w:type="dxa" w:w="7200"/>
            <w:vAlign w:val="top"/>
            <w:tcMar>
              <w:top w:w="80" w:type="dxa"/>
              <w:start w:w="90" w:type="dxa"/>
              <w:bottom w:w="80" w:type="dxa"/>
              <w:end w:w="90" w:type="dxa"/>
            </w:tcMar>
          </w:tcPr>
          <w:p>
            <w:pPr>
              <w:spacing w:after="30"/>
            </w:pPr>
            <w:r>
              <w:rPr>
                <w:rFonts w:ascii="Arial" w:hAnsi="Arial"/>
                <w:sz w:val="16"/>
              </w:rPr>
              <w:t>Packing de módulos, exclusões, strings, GCR, trackers e objetivos multi-cenário.</w:t>
            </w:r>
          </w:p>
        </w:tc>
      </w:tr>
      <w:tr>
        <w:trPr>
          <w:cantSplit/>
          <w:cantSplit/>
        </w:trPr>
        <w:tc>
          <w:tcPr>
            <w:tcW w:type="dxa" w:w="2448"/>
            <w:vAlign w:val="top"/>
            <w:tcMar>
              <w:top w:w="80" w:type="dxa"/>
              <w:start w:w="90" w:type="dxa"/>
              <w:bottom w:w="80" w:type="dxa"/>
              <w:end w:w="90" w:type="dxa"/>
            </w:tcMar>
          </w:tcPr>
          <w:p>
            <w:pPr>
              <w:spacing w:after="30"/>
            </w:pPr>
            <w:r>
              <w:rPr>
                <w:rFonts w:ascii="Arial" w:hAnsi="Arial"/>
                <w:sz w:val="16"/>
              </w:rPr>
              <w:t>equipment-catalog</w:t>
            </w:r>
          </w:p>
        </w:tc>
        <w:tc>
          <w:tcPr>
            <w:tcW w:type="dxa" w:w="7200"/>
            <w:vAlign w:val="top"/>
            <w:tcMar>
              <w:top w:w="80" w:type="dxa"/>
              <w:start w:w="90" w:type="dxa"/>
              <w:bottom w:w="80" w:type="dxa"/>
              <w:end w:w="90" w:type="dxa"/>
            </w:tcMar>
          </w:tcPr>
          <w:p>
            <w:pPr>
              <w:spacing w:after="30"/>
            </w:pPr>
            <w:r>
              <w:rPr>
                <w:rFonts w:ascii="Arial" w:hAnsi="Arial"/>
                <w:sz w:val="16"/>
              </w:rPr>
              <w:t>Módulos, inversores, baterias, trackers e versões de ficha técnica/preço.</w:t>
            </w:r>
          </w:p>
        </w:tc>
      </w:tr>
      <w:tr>
        <w:trPr>
          <w:cantSplit/>
          <w:cantSplit/>
        </w:trPr>
        <w:tc>
          <w:tcPr>
            <w:tcW w:type="dxa" w:w="2448"/>
            <w:vAlign w:val="top"/>
            <w:tcMar>
              <w:top w:w="80" w:type="dxa"/>
              <w:start w:w="90" w:type="dxa"/>
              <w:bottom w:w="80" w:type="dxa"/>
              <w:end w:w="90" w:type="dxa"/>
            </w:tcMar>
          </w:tcPr>
          <w:p>
            <w:pPr>
              <w:spacing w:after="30"/>
            </w:pPr>
            <w:r>
              <w:rPr>
                <w:rFonts w:ascii="Arial" w:hAnsi="Arial"/>
                <w:sz w:val="16"/>
              </w:rPr>
              <w:t>load-billing-engine</w:t>
            </w:r>
          </w:p>
        </w:tc>
        <w:tc>
          <w:tcPr>
            <w:tcW w:type="dxa" w:w="7200"/>
            <w:vAlign w:val="top"/>
            <w:tcMar>
              <w:top w:w="80" w:type="dxa"/>
              <w:start w:w="90" w:type="dxa"/>
              <w:bottom w:w="80" w:type="dxa"/>
              <w:end w:w="90" w:type="dxa"/>
            </w:tcMar>
          </w:tcPr>
          <w:p>
            <w:pPr>
              <w:spacing w:after="30"/>
            </w:pPr>
            <w:r>
              <w:rPr>
                <w:rFonts w:ascii="Arial" w:hAnsi="Arial"/>
                <w:sz w:val="16"/>
              </w:rPr>
              <w:t>OCR de contas, curvas de carga, consumo, tarifas TE/TUSD e faturamento antes/depois.</w:t>
            </w:r>
          </w:p>
        </w:tc>
      </w:tr>
      <w:tr>
        <w:trPr>
          <w:cantSplit/>
          <w:cantSplit/>
        </w:trPr>
        <w:tc>
          <w:tcPr>
            <w:tcW w:type="dxa" w:w="2448"/>
            <w:vAlign w:val="top"/>
            <w:tcMar>
              <w:top w:w="80" w:type="dxa"/>
              <w:start w:w="90" w:type="dxa"/>
              <w:bottom w:w="80" w:type="dxa"/>
              <w:end w:w="90" w:type="dxa"/>
            </w:tcMar>
          </w:tcPr>
          <w:p>
            <w:pPr>
              <w:spacing w:after="30"/>
            </w:pPr>
            <w:r>
              <w:rPr>
                <w:rFonts w:ascii="Arial" w:hAnsi="Arial"/>
                <w:sz w:val="16"/>
              </w:rPr>
              <w:t>regulatory-engine</w:t>
            </w:r>
          </w:p>
        </w:tc>
        <w:tc>
          <w:tcPr>
            <w:tcW w:type="dxa" w:w="7200"/>
            <w:vAlign w:val="top"/>
            <w:tcMar>
              <w:top w:w="80" w:type="dxa"/>
              <w:start w:w="90" w:type="dxa"/>
              <w:bottom w:w="80" w:type="dxa"/>
              <w:end w:w="90" w:type="dxa"/>
            </w:tcMar>
          </w:tcPr>
          <w:p>
            <w:pPr>
              <w:spacing w:after="30"/>
            </w:pPr>
            <w:r>
              <w:rPr>
                <w:rFonts w:ascii="Arial" w:hAnsi="Arial"/>
                <w:sz w:val="16"/>
              </w:rPr>
              <w:t>Lei 14.300, REN 1000, PRODIST e regras vigentes por data/distribuidora.</w:t>
            </w:r>
          </w:p>
        </w:tc>
      </w:tr>
      <w:tr>
        <w:trPr>
          <w:cantSplit/>
          <w:cantSplit/>
        </w:trPr>
        <w:tc>
          <w:tcPr>
            <w:tcW w:type="dxa" w:w="2448"/>
            <w:vAlign w:val="top"/>
            <w:tcMar>
              <w:top w:w="80" w:type="dxa"/>
              <w:start w:w="90" w:type="dxa"/>
              <w:bottom w:w="80" w:type="dxa"/>
              <w:end w:w="90" w:type="dxa"/>
            </w:tcMar>
          </w:tcPr>
          <w:p>
            <w:pPr>
              <w:spacing w:after="30"/>
            </w:pPr>
            <w:r>
              <w:rPr>
                <w:rFonts w:ascii="Arial" w:hAnsi="Arial"/>
                <w:sz w:val="16"/>
              </w:rPr>
              <w:t>grid-precheck</w:t>
            </w:r>
          </w:p>
        </w:tc>
        <w:tc>
          <w:tcPr>
            <w:tcW w:type="dxa" w:w="7200"/>
            <w:vAlign w:val="top"/>
            <w:tcMar>
              <w:top w:w="80" w:type="dxa"/>
              <w:start w:w="90" w:type="dxa"/>
              <w:bottom w:w="80" w:type="dxa"/>
              <w:end w:w="90" w:type="dxa"/>
            </w:tcMar>
          </w:tcPr>
          <w:p>
            <w:pPr>
              <w:spacing w:after="30"/>
            </w:pPr>
            <w:r>
              <w:rPr>
                <w:rFonts w:ascii="Arial" w:hAnsi="Arial"/>
                <w:sz w:val="16"/>
              </w:rPr>
              <w:t>BDGD, distâncias, contexto de conexão, pedidos MMGD e alertas de incerteza.</w:t>
            </w:r>
          </w:p>
        </w:tc>
      </w:tr>
      <w:tr>
        <w:trPr>
          <w:cantSplit/>
          <w:cantSplit/>
        </w:trPr>
        <w:tc>
          <w:tcPr>
            <w:tcW w:type="dxa" w:w="2448"/>
            <w:vAlign w:val="top"/>
            <w:tcMar>
              <w:top w:w="80" w:type="dxa"/>
              <w:start w:w="90" w:type="dxa"/>
              <w:bottom w:w="80" w:type="dxa"/>
              <w:end w:w="90" w:type="dxa"/>
            </w:tcMar>
          </w:tcPr>
          <w:p>
            <w:pPr>
              <w:spacing w:after="30"/>
            </w:pPr>
            <w:r>
              <w:rPr>
                <w:rFonts w:ascii="Arial" w:hAnsi="Arial"/>
                <w:sz w:val="16"/>
              </w:rPr>
              <w:t>solar-worker</w:t>
            </w:r>
          </w:p>
        </w:tc>
        <w:tc>
          <w:tcPr>
            <w:tcW w:type="dxa" w:w="7200"/>
            <w:vAlign w:val="top"/>
            <w:tcMar>
              <w:top w:w="80" w:type="dxa"/>
              <w:start w:w="90" w:type="dxa"/>
              <w:bottom w:w="80" w:type="dxa"/>
              <w:end w:w="90" w:type="dxa"/>
            </w:tcMar>
          </w:tcPr>
          <w:p>
            <w:pPr>
              <w:spacing w:after="30"/>
            </w:pPr>
            <w:r>
              <w:rPr>
                <w:rFonts w:ascii="Arial" w:hAnsi="Arial"/>
                <w:sz w:val="16"/>
              </w:rPr>
              <w:t>Jobs pesados: raster, sombra horária, otimização, simulações de 20–30 anos.</w:t>
            </w:r>
          </w:p>
        </w:tc>
      </w:tr>
      <w:tr>
        <w:trPr>
          <w:cantSplit/>
          <w:cantSplit/>
        </w:trPr>
        <w:tc>
          <w:tcPr>
            <w:tcW w:type="dxa" w:w="2448"/>
            <w:vAlign w:val="top"/>
            <w:tcMar>
              <w:top w:w="80" w:type="dxa"/>
              <w:start w:w="90" w:type="dxa"/>
              <w:bottom w:w="80" w:type="dxa"/>
              <w:end w:w="90" w:type="dxa"/>
            </w:tcMar>
          </w:tcPr>
          <w:p>
            <w:pPr>
              <w:spacing w:after="30"/>
            </w:pPr>
            <w:r>
              <w:rPr>
                <w:rFonts w:ascii="Arial" w:hAnsi="Arial"/>
                <w:sz w:val="16"/>
              </w:rPr>
              <w:t>PostGIS + object storage</w:t>
            </w:r>
          </w:p>
        </w:tc>
        <w:tc>
          <w:tcPr>
            <w:tcW w:type="dxa" w:w="7200"/>
            <w:vAlign w:val="top"/>
            <w:tcMar>
              <w:top w:w="80" w:type="dxa"/>
              <w:start w:w="90" w:type="dxa"/>
              <w:bottom w:w="80" w:type="dxa"/>
              <w:end w:w="90" w:type="dxa"/>
            </w:tcMar>
          </w:tcPr>
          <w:p>
            <w:pPr>
              <w:spacing w:after="30"/>
            </w:pPr>
            <w:r>
              <w:rPr>
                <w:rFonts w:ascii="Arial" w:hAnsi="Arial"/>
                <w:sz w:val="16"/>
              </w:rPr>
              <w:t>Sites, superfícies, layouts, geometrias, COG/rasters, documentos, cenários e evidências.</w:t>
            </w:r>
          </w:p>
        </w:tc>
      </w:tr>
      <w:tr>
        <w:trPr>
          <w:cantSplit/>
          <w:cantSplit/>
        </w:trPr>
        <w:tc>
          <w:tcPr>
            <w:tcW w:type="dxa" w:w="2448"/>
            <w:vAlign w:val="top"/>
            <w:tcMar>
              <w:top w:w="80" w:type="dxa"/>
              <w:start w:w="90" w:type="dxa"/>
              <w:bottom w:w="80" w:type="dxa"/>
              <w:end w:w="90" w:type="dxa"/>
            </w:tcMar>
          </w:tcPr>
          <w:p>
            <w:pPr>
              <w:spacing w:after="30"/>
            </w:pPr>
            <w:r>
              <w:rPr>
                <w:rFonts w:ascii="Arial" w:hAnsi="Arial"/>
                <w:sz w:val="16"/>
              </w:rPr>
              <w:t>API Gateway</w:t>
            </w:r>
          </w:p>
        </w:tc>
        <w:tc>
          <w:tcPr>
            <w:tcW w:type="dxa" w:w="7200"/>
            <w:vAlign w:val="top"/>
            <w:tcMar>
              <w:top w:w="80" w:type="dxa"/>
              <w:start w:w="90" w:type="dxa"/>
              <w:bottom w:w="80" w:type="dxa"/>
              <w:end w:w="90" w:type="dxa"/>
            </w:tcMar>
          </w:tcPr>
          <w:p>
            <w:pPr>
              <w:spacing w:after="30"/>
            </w:pPr>
            <w:r>
              <w:rPr>
                <w:rFonts w:ascii="Arial" w:hAnsi="Arial"/>
                <w:sz w:val="16"/>
              </w:rPr>
              <w:t>Contratos únicos para web/mobile/relatório; autenticação, rate limit, auditoria e tenant.</w:t>
            </w:r>
          </w:p>
        </w:tc>
      </w:tr>
      <w:tr>
        <w:trPr>
          <w:cantSplit/>
          <w:cantSplit/>
        </w:trPr>
        <w:tc>
          <w:tcPr>
            <w:tcW w:type="dxa" w:w="2448"/>
            <w:vAlign w:val="top"/>
            <w:tcMar>
              <w:top w:w="80" w:type="dxa"/>
              <w:start w:w="90" w:type="dxa"/>
              <w:bottom w:w="80" w:type="dxa"/>
              <w:end w:w="90" w:type="dxa"/>
            </w:tcMar>
          </w:tcPr>
          <w:p>
            <w:pPr>
              <w:spacing w:after="30"/>
            </w:pPr>
            <w:r>
              <w:rPr>
                <w:rFonts w:ascii="Arial" w:hAnsi="Arial"/>
                <w:sz w:val="16"/>
              </w:rPr>
              <w:t>Renderer 3D</w:t>
            </w:r>
          </w:p>
        </w:tc>
        <w:tc>
          <w:tcPr>
            <w:tcW w:type="dxa" w:w="7200"/>
            <w:vAlign w:val="top"/>
            <w:tcMar>
              <w:top w:w="80" w:type="dxa"/>
              <w:start w:w="90" w:type="dxa"/>
              <w:bottom w:w="80" w:type="dxa"/>
              <w:end w:w="90" w:type="dxa"/>
            </w:tcMar>
          </w:tcPr>
          <w:p>
            <w:pPr>
              <w:spacing w:after="30"/>
            </w:pPr>
            <w:r>
              <w:rPr>
                <w:rFonts w:ascii="Arial" w:hAnsi="Arial"/>
                <w:sz w:val="16"/>
              </w:rPr>
              <w:t>CesiumJS/Google 3D ou renderer compatível, com painéis como objetos 3D e atribuições exigidas.</w:t>
            </w:r>
          </w:p>
        </w:tc>
      </w:tr>
    </w:tbl>
    <w:p>
      <w:pPr>
        <w:pStyle w:val="Heading2"/>
      </w:pPr>
      <w:r>
        <w:t>27.24 Modelo de dados recomendado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736"/>
            <w:shd w:fill="EDEDED"/>
            <w:vAlign w:val="center"/>
            <w:tcMar>
              <w:top w:w="80" w:type="dxa"/>
              <w:start w:w="90" w:type="dxa"/>
              <w:bottom w:w="80" w:type="dxa"/>
              <w:end w:w="90" w:type="dxa"/>
            </w:tcMar>
          </w:tcPr>
          <w:p>
            <w:r>
              <w:rPr>
                <w:rFonts w:ascii="Arial" w:hAnsi="Arial"/>
                <w:b/>
                <w:sz w:val="17"/>
              </w:rPr>
              <w:t>Entidade / tabela</w:t>
            </w:r>
          </w:p>
        </w:tc>
        <w:tc>
          <w:tcPr>
            <w:tcW w:type="dxa" w:w="6912"/>
            <w:shd w:fill="EDEDED"/>
            <w:vAlign w:val="center"/>
            <w:tcMar>
              <w:top w:w="80" w:type="dxa"/>
              <w:start w:w="90" w:type="dxa"/>
              <w:bottom w:w="80" w:type="dxa"/>
              <w:end w:w="90" w:type="dxa"/>
            </w:tcMar>
          </w:tcPr>
          <w:p>
            <w:r>
              <w:rPr>
                <w:rFonts w:ascii="Arial" w:hAnsi="Arial"/>
                <w:b/>
                <w:sz w:val="17"/>
              </w:rPr>
              <w:t>Campos essenciais</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solar.site</w:t>
            </w:r>
          </w:p>
        </w:tc>
        <w:tc>
          <w:tcPr>
            <w:tcW w:type="dxa" w:w="6912"/>
            <w:vAlign w:val="top"/>
            <w:tcMar>
              <w:top w:w="80" w:type="dxa"/>
              <w:start w:w="90" w:type="dxa"/>
              <w:bottom w:w="80" w:type="dxa"/>
              <w:end w:w="90" w:type="dxa"/>
            </w:tcMar>
          </w:tcPr>
          <w:p>
            <w:pPr>
              <w:spacing w:after="30"/>
            </w:pPr>
            <w:r>
              <w:rPr>
                <w:rFonts w:ascii="Arial" w:hAnsi="Arial"/>
                <w:sz w:val="16"/>
              </w:rPr>
              <w:t>property_id, geometry, site_type, lat/lng, timezone, elevation, source_quality.</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solar.imagery_dataset</w:t>
            </w:r>
          </w:p>
        </w:tc>
        <w:tc>
          <w:tcPr>
            <w:tcW w:type="dxa" w:w="6912"/>
            <w:vAlign w:val="top"/>
            <w:tcMar>
              <w:top w:w="80" w:type="dxa"/>
              <w:start w:w="90" w:type="dxa"/>
              <w:bottom w:w="80" w:type="dxa"/>
              <w:end w:w="90" w:type="dxa"/>
            </w:tcMar>
          </w:tcPr>
          <w:p>
            <w:pPr>
              <w:spacing w:after="30"/>
            </w:pPr>
            <w:r>
              <w:rPr>
                <w:rFonts w:ascii="Arial" w:hAnsi="Arial"/>
                <w:sz w:val="16"/>
              </w:rPr>
              <w:t>provider, imagery_date, processed_date, resolution, coverage, license_policy, uri/hash.</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solar.surface</w:t>
            </w:r>
          </w:p>
        </w:tc>
        <w:tc>
          <w:tcPr>
            <w:tcW w:type="dxa" w:w="6912"/>
            <w:vAlign w:val="top"/>
            <w:tcMar>
              <w:top w:w="80" w:type="dxa"/>
              <w:start w:w="90" w:type="dxa"/>
              <w:bottom w:w="80" w:type="dxa"/>
              <w:end w:w="90" w:type="dxa"/>
            </w:tcMar>
          </w:tcPr>
          <w:p>
            <w:pPr>
              <w:spacing w:after="30"/>
            </w:pPr>
            <w:r>
              <w:rPr>
                <w:rFonts w:ascii="Arial" w:hAnsi="Arial"/>
                <w:sz w:val="16"/>
              </w:rPr>
              <w:t>site_id, type, geom_2d/mesh_ref, area, pitch, azimuth, usable_area, exclusions.</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solar.irradiance_dataset</w:t>
            </w:r>
          </w:p>
        </w:tc>
        <w:tc>
          <w:tcPr>
            <w:tcW w:type="dxa" w:w="6912"/>
            <w:vAlign w:val="top"/>
            <w:tcMar>
              <w:top w:w="80" w:type="dxa"/>
              <w:start w:w="90" w:type="dxa"/>
              <w:bottom w:w="80" w:type="dxa"/>
              <w:end w:w="90" w:type="dxa"/>
            </w:tcMar>
          </w:tcPr>
          <w:p>
            <w:pPr>
              <w:spacing w:after="30"/>
            </w:pPr>
            <w:r>
              <w:rPr>
                <w:rFonts w:ascii="Arial" w:hAnsi="Arial"/>
                <w:sz w:val="16"/>
              </w:rPr>
              <w:t>provider, temporal_resolution, period, GHI/DNI/DHI/POA refs, quality.</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solar.horizon_shadow</w:t>
            </w:r>
          </w:p>
        </w:tc>
        <w:tc>
          <w:tcPr>
            <w:tcW w:type="dxa" w:w="6912"/>
            <w:vAlign w:val="top"/>
            <w:tcMar>
              <w:top w:w="80" w:type="dxa"/>
              <w:start w:w="90" w:type="dxa"/>
              <w:bottom w:w="80" w:type="dxa"/>
              <w:end w:w="90" w:type="dxa"/>
            </w:tcMar>
          </w:tcPr>
          <w:p>
            <w:pPr>
              <w:spacing w:after="30"/>
            </w:pPr>
            <w:r>
              <w:rPr>
                <w:rFonts w:ascii="Arial" w:hAnsi="Arial"/>
                <w:sz w:val="16"/>
              </w:rPr>
              <w:t>surface/site, horizon_profile, shade_raster, annual_sun, model_version.</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solar.module_model</w:t>
            </w:r>
          </w:p>
        </w:tc>
        <w:tc>
          <w:tcPr>
            <w:tcW w:type="dxa" w:w="6912"/>
            <w:vAlign w:val="top"/>
            <w:tcMar>
              <w:top w:w="80" w:type="dxa"/>
              <w:start w:w="90" w:type="dxa"/>
              <w:bottom w:w="80" w:type="dxa"/>
              <w:end w:w="90" w:type="dxa"/>
            </w:tcMar>
          </w:tcPr>
          <w:p>
            <w:pPr>
              <w:spacing w:after="30"/>
            </w:pPr>
            <w:r>
              <w:rPr>
                <w:rFonts w:ascii="Arial" w:hAnsi="Arial"/>
                <w:sz w:val="16"/>
              </w:rPr>
              <w:t>manufacturer, model, Wp, dimensions, efficiency, bifacial, temp_coeff, warranty.</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solar.inverter_model</w:t>
            </w:r>
          </w:p>
        </w:tc>
        <w:tc>
          <w:tcPr>
            <w:tcW w:type="dxa" w:w="6912"/>
            <w:vAlign w:val="top"/>
            <w:tcMar>
              <w:top w:w="80" w:type="dxa"/>
              <w:start w:w="90" w:type="dxa"/>
              <w:bottom w:w="80" w:type="dxa"/>
              <w:end w:w="90" w:type="dxa"/>
            </w:tcMar>
          </w:tcPr>
          <w:p>
            <w:pPr>
              <w:spacing w:after="30"/>
            </w:pPr>
            <w:r>
              <w:rPr>
                <w:rFonts w:ascii="Arial" w:hAnsi="Arial"/>
                <w:sz w:val="16"/>
              </w:rPr>
              <w:t>manufacturer, model, kW_ac, MPPT ranges, efficiency curve, limits.</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solar.battery_model</w:t>
            </w:r>
          </w:p>
        </w:tc>
        <w:tc>
          <w:tcPr>
            <w:tcW w:type="dxa" w:w="6912"/>
            <w:vAlign w:val="top"/>
            <w:tcMar>
              <w:top w:w="80" w:type="dxa"/>
              <w:start w:w="90" w:type="dxa"/>
              <w:bottom w:w="80" w:type="dxa"/>
              <w:end w:w="90" w:type="dxa"/>
            </w:tcMar>
          </w:tcPr>
          <w:p>
            <w:pPr>
              <w:spacing w:after="30"/>
            </w:pPr>
            <w:r>
              <w:rPr>
                <w:rFonts w:ascii="Arial" w:hAnsi="Arial"/>
                <w:sz w:val="16"/>
              </w:rPr>
              <w:t>kWh, kW, roundtrip_efficiency, DoD, cycles, warranty.</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solar.scenario</w:t>
            </w:r>
          </w:p>
        </w:tc>
        <w:tc>
          <w:tcPr>
            <w:tcW w:type="dxa" w:w="6912"/>
            <w:vAlign w:val="top"/>
            <w:tcMar>
              <w:top w:w="80" w:type="dxa"/>
              <w:start w:w="90" w:type="dxa"/>
              <w:bottom w:w="80" w:type="dxa"/>
              <w:end w:w="90" w:type="dxa"/>
            </w:tcMar>
          </w:tcPr>
          <w:p>
            <w:pPr>
              <w:spacing w:after="30"/>
            </w:pPr>
            <w:r>
              <w:rPr>
                <w:rFonts w:ascii="Arial" w:hAnsi="Arial"/>
                <w:sz w:val="16"/>
              </w:rPr>
              <w:t>site_id, objective, module/inverter/battery, tariff_version, load_profile, status.</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solar.panel_instance</w:t>
            </w:r>
          </w:p>
        </w:tc>
        <w:tc>
          <w:tcPr>
            <w:tcW w:type="dxa" w:w="6912"/>
            <w:vAlign w:val="top"/>
            <w:tcMar>
              <w:top w:w="80" w:type="dxa"/>
              <w:start w:w="90" w:type="dxa"/>
              <w:bottom w:w="80" w:type="dxa"/>
              <w:end w:w="90" w:type="dxa"/>
            </w:tcMar>
          </w:tcPr>
          <w:p>
            <w:pPr>
              <w:spacing w:after="30"/>
            </w:pPr>
            <w:r>
              <w:rPr>
                <w:rFonts w:ascii="Arial" w:hAnsi="Arial"/>
                <w:sz w:val="16"/>
              </w:rPr>
              <w:t>scenario_id, surface_id, xyz/rotation, rank, yearly_kwh, shade_loss.</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solar.electrical_design</w:t>
            </w:r>
          </w:p>
        </w:tc>
        <w:tc>
          <w:tcPr>
            <w:tcW w:type="dxa" w:w="6912"/>
            <w:vAlign w:val="top"/>
            <w:tcMar>
              <w:top w:w="80" w:type="dxa"/>
              <w:start w:w="90" w:type="dxa"/>
              <w:bottom w:w="80" w:type="dxa"/>
              <w:end w:w="90" w:type="dxa"/>
            </w:tcMar>
          </w:tcPr>
          <w:p>
            <w:pPr>
              <w:spacing w:after="30"/>
            </w:pPr>
            <w:r>
              <w:rPr>
                <w:rFonts w:ascii="Arial" w:hAnsi="Arial"/>
                <w:sz w:val="16"/>
              </w:rPr>
              <w:t>strings, MPPT, dc_ac_ratio, cable_loss, transformer, notes.</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solar.energy_result</w:t>
            </w:r>
          </w:p>
        </w:tc>
        <w:tc>
          <w:tcPr>
            <w:tcW w:type="dxa" w:w="6912"/>
            <w:vAlign w:val="top"/>
            <w:tcMar>
              <w:top w:w="80" w:type="dxa"/>
              <w:start w:w="90" w:type="dxa"/>
              <w:bottom w:w="80" w:type="dxa"/>
              <w:end w:w="90" w:type="dxa"/>
            </w:tcMar>
          </w:tcPr>
          <w:p>
            <w:pPr>
              <w:spacing w:after="30"/>
            </w:pPr>
            <w:r>
              <w:rPr>
                <w:rFonts w:ascii="Arial" w:hAnsi="Arial"/>
                <w:sz w:val="16"/>
              </w:rPr>
              <w:t>hour/month/year, dc/ac kWh, losses, export, self_consumption, clipping.</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solar.tariff_version</w:t>
            </w:r>
          </w:p>
        </w:tc>
        <w:tc>
          <w:tcPr>
            <w:tcW w:type="dxa" w:w="6912"/>
            <w:vAlign w:val="top"/>
            <w:tcMar>
              <w:top w:w="80" w:type="dxa"/>
              <w:start w:w="90" w:type="dxa"/>
              <w:bottom w:w="80" w:type="dxa"/>
              <w:end w:w="90" w:type="dxa"/>
            </w:tcMar>
          </w:tcPr>
          <w:p>
            <w:pPr>
              <w:spacing w:after="30"/>
            </w:pPr>
            <w:r>
              <w:rPr>
                <w:rFonts w:ascii="Arial" w:hAnsi="Arial"/>
                <w:sz w:val="16"/>
              </w:rPr>
              <w:t>distributor, class, subgroup, modality, TE, TUSD, validity, source.</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solar.load_profile</w:t>
            </w:r>
          </w:p>
        </w:tc>
        <w:tc>
          <w:tcPr>
            <w:tcW w:type="dxa" w:w="6912"/>
            <w:vAlign w:val="top"/>
            <w:tcMar>
              <w:top w:w="80" w:type="dxa"/>
              <w:start w:w="90" w:type="dxa"/>
              <w:bottom w:w="80" w:type="dxa"/>
              <w:end w:w="90" w:type="dxa"/>
            </w:tcMar>
          </w:tcPr>
          <w:p>
            <w:pPr>
              <w:spacing w:after="30"/>
            </w:pPr>
            <w:r>
              <w:rPr>
                <w:rFonts w:ascii="Arial" w:hAnsi="Arial"/>
                <w:sz w:val="16"/>
              </w:rPr>
              <w:t>source, interval, kWh, peak, confidence.</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solar.cashflow</w:t>
            </w:r>
          </w:p>
        </w:tc>
        <w:tc>
          <w:tcPr>
            <w:tcW w:type="dxa" w:w="6912"/>
            <w:vAlign w:val="top"/>
            <w:tcMar>
              <w:top w:w="80" w:type="dxa"/>
              <w:start w:w="90" w:type="dxa"/>
              <w:bottom w:w="80" w:type="dxa"/>
              <w:end w:w="90" w:type="dxa"/>
            </w:tcMar>
          </w:tcPr>
          <w:p>
            <w:pPr>
              <w:spacing w:after="30"/>
            </w:pPr>
            <w:r>
              <w:rPr>
                <w:rFonts w:ascii="Arial" w:hAnsi="Arial"/>
                <w:sz w:val="16"/>
              </w:rPr>
              <w:t>scenario_id, year, capex, opex, savings, financing, net_cashflow.</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solar.grid_precheck</w:t>
            </w:r>
          </w:p>
        </w:tc>
        <w:tc>
          <w:tcPr>
            <w:tcW w:type="dxa" w:w="6912"/>
            <w:vAlign w:val="top"/>
            <w:tcMar>
              <w:top w:w="80" w:type="dxa"/>
              <w:start w:w="90" w:type="dxa"/>
              <w:bottom w:w="80" w:type="dxa"/>
              <w:end w:w="90" w:type="dxa"/>
            </w:tcMar>
          </w:tcPr>
          <w:p>
            <w:pPr>
              <w:spacing w:after="30"/>
            </w:pPr>
            <w:r>
              <w:rPr>
                <w:rFonts w:ascii="Arial" w:hAnsi="Arial"/>
                <w:sz w:val="16"/>
              </w:rPr>
              <w:t>network_source, nearest_asset, distance, risk_flags, confirmation_status.</w:t>
            </w:r>
          </w:p>
        </w:tc>
      </w:tr>
      <w:tr>
        <w:trPr>
          <w:cantSplit/>
          <w:cantSplit/>
        </w:trPr>
        <w:tc>
          <w:tcPr>
            <w:tcW w:type="dxa" w:w="2736"/>
            <w:vAlign w:val="top"/>
            <w:tcMar>
              <w:top w:w="80" w:type="dxa"/>
              <w:start w:w="90" w:type="dxa"/>
              <w:bottom w:w="80" w:type="dxa"/>
              <w:end w:w="90" w:type="dxa"/>
            </w:tcMar>
          </w:tcPr>
          <w:p>
            <w:pPr>
              <w:spacing w:after="30"/>
            </w:pPr>
            <w:r>
              <w:rPr>
                <w:rFonts w:ascii="Arial" w:hAnsi="Arial"/>
                <w:sz w:val="16"/>
              </w:rPr>
              <w:t>solar.evidence</w:t>
            </w:r>
          </w:p>
        </w:tc>
        <w:tc>
          <w:tcPr>
            <w:tcW w:type="dxa" w:w="6912"/>
            <w:vAlign w:val="top"/>
            <w:tcMar>
              <w:top w:w="80" w:type="dxa"/>
              <w:start w:w="90" w:type="dxa"/>
              <w:bottom w:w="80" w:type="dxa"/>
              <w:end w:w="90" w:type="dxa"/>
            </w:tcMar>
          </w:tcPr>
          <w:p>
            <w:pPr>
              <w:spacing w:after="30"/>
            </w:pPr>
            <w:r>
              <w:rPr>
                <w:rFonts w:ascii="Arial" w:hAnsi="Arial"/>
                <w:sz w:val="16"/>
              </w:rPr>
              <w:t>scenario_id, source, url, timestamp, hash, parameter_snapshot, engine_version.</w:t>
            </w:r>
          </w:p>
        </w:tc>
      </w:tr>
    </w:tbl>
    <w:p>
      <w:pPr>
        <w:pStyle w:val="Heading2"/>
      </w:pPr>
      <w:r>
        <w:t>27.25 APIs recomendadas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3384"/>
            <w:shd w:fill="EDEDED"/>
            <w:vAlign w:val="center"/>
            <w:tcMar>
              <w:top w:w="80" w:type="dxa"/>
              <w:start w:w="90" w:type="dxa"/>
              <w:bottom w:w="80" w:type="dxa"/>
              <w:end w:w="90" w:type="dxa"/>
            </w:tcMar>
          </w:tcPr>
          <w:p>
            <w:r>
              <w:rPr>
                <w:rFonts w:ascii="Arial" w:hAnsi="Arial"/>
                <w:b/>
                <w:sz w:val="17"/>
              </w:rPr>
              <w:t>Endpoint</w:t>
            </w:r>
          </w:p>
        </w:tc>
        <w:tc>
          <w:tcPr>
            <w:tcW w:type="dxa" w:w="6264"/>
            <w:shd w:fill="EDEDED"/>
            <w:vAlign w:val="center"/>
            <w:tcMar>
              <w:top w:w="80" w:type="dxa"/>
              <w:start w:w="90" w:type="dxa"/>
              <w:bottom w:w="80" w:type="dxa"/>
              <w:end w:w="90" w:type="dxa"/>
            </w:tcMar>
          </w:tcPr>
          <w:p>
            <w:r>
              <w:rPr>
                <w:rFonts w:ascii="Arial" w:hAnsi="Arial"/>
                <w:b/>
                <w:sz w:val="17"/>
              </w:rPr>
              <w:t>Função</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POST /solar/sites/resolve</w:t>
            </w:r>
          </w:p>
        </w:tc>
        <w:tc>
          <w:tcPr>
            <w:tcW w:type="dxa" w:w="6264"/>
            <w:vAlign w:val="top"/>
            <w:tcMar>
              <w:top w:w="80" w:type="dxa"/>
              <w:start w:w="90" w:type="dxa"/>
              <w:bottom w:w="80" w:type="dxa"/>
              <w:end w:w="90" w:type="dxa"/>
            </w:tcMar>
          </w:tcPr>
          <w:p>
            <w:pPr>
              <w:spacing w:after="30"/>
            </w:pPr>
            <w:r>
              <w:rPr>
                <w:rFonts w:ascii="Arial" w:hAnsi="Arial"/>
                <w:sz w:val="16"/>
              </w:rPr>
              <w:t>Resolver imóvel/endereço/polígono e criar site solar.</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POST /solar/sites/{id}/analyze</w:t>
            </w:r>
          </w:p>
        </w:tc>
        <w:tc>
          <w:tcPr>
            <w:tcW w:type="dxa" w:w="6264"/>
            <w:vAlign w:val="top"/>
            <w:tcMar>
              <w:top w:w="80" w:type="dxa"/>
              <w:start w:w="90" w:type="dxa"/>
              <w:bottom w:w="80" w:type="dxa"/>
              <w:end w:w="90" w:type="dxa"/>
            </w:tcMar>
          </w:tcPr>
          <w:p>
            <w:pPr>
              <w:spacing w:after="30"/>
            </w:pPr>
            <w:r>
              <w:rPr>
                <w:rFonts w:ascii="Arial" w:hAnsi="Arial"/>
                <w:sz w:val="16"/>
              </w:rPr>
              <w:t>Detectar superfícies, cobertura, recurso solar e limitações.</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GET /solar/sites/{id}/scene</w:t>
            </w:r>
          </w:p>
        </w:tc>
        <w:tc>
          <w:tcPr>
            <w:tcW w:type="dxa" w:w="6264"/>
            <w:vAlign w:val="top"/>
            <w:tcMar>
              <w:top w:w="80" w:type="dxa"/>
              <w:start w:w="90" w:type="dxa"/>
              <w:bottom w:w="80" w:type="dxa"/>
              <w:end w:w="90" w:type="dxa"/>
            </w:tcMar>
          </w:tcPr>
          <w:p>
            <w:pPr>
              <w:spacing w:after="30"/>
            </w:pPr>
            <w:r>
              <w:rPr>
                <w:rFonts w:ascii="Arial" w:hAnsi="Arial"/>
                <w:sz w:val="16"/>
              </w:rPr>
              <w:t>Manifesto da cena 3D, overlays e fontes.</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GET /solar/sites/{id}/surfaces</w:t>
            </w:r>
          </w:p>
        </w:tc>
        <w:tc>
          <w:tcPr>
            <w:tcW w:type="dxa" w:w="6264"/>
            <w:vAlign w:val="top"/>
            <w:tcMar>
              <w:top w:w="80" w:type="dxa"/>
              <w:start w:w="90" w:type="dxa"/>
              <w:bottom w:w="80" w:type="dxa"/>
              <w:end w:w="90" w:type="dxa"/>
            </w:tcMar>
          </w:tcPr>
          <w:p>
            <w:pPr>
              <w:spacing w:after="30"/>
            </w:pPr>
            <w:r>
              <w:rPr>
                <w:rFonts w:ascii="Arial" w:hAnsi="Arial"/>
                <w:sz w:val="16"/>
              </w:rPr>
              <w:t>Faces de telhado/terreno e indicadores solares.</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GET /solar/equipment/modules</w:t>
            </w:r>
          </w:p>
        </w:tc>
        <w:tc>
          <w:tcPr>
            <w:tcW w:type="dxa" w:w="6264"/>
            <w:vAlign w:val="top"/>
            <w:tcMar>
              <w:top w:w="80" w:type="dxa"/>
              <w:start w:w="90" w:type="dxa"/>
              <w:bottom w:w="80" w:type="dxa"/>
              <w:end w:w="90" w:type="dxa"/>
            </w:tcMar>
          </w:tcPr>
          <w:p>
            <w:pPr>
              <w:spacing w:after="30"/>
            </w:pPr>
            <w:r>
              <w:rPr>
                <w:rFonts w:ascii="Arial" w:hAnsi="Arial"/>
                <w:sz w:val="16"/>
              </w:rPr>
              <w:t>Catálogo de módulos com filtros.</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GET /solar/equipment/inverters</w:t>
            </w:r>
          </w:p>
        </w:tc>
        <w:tc>
          <w:tcPr>
            <w:tcW w:type="dxa" w:w="6264"/>
            <w:vAlign w:val="top"/>
            <w:tcMar>
              <w:top w:w="80" w:type="dxa"/>
              <w:start w:w="90" w:type="dxa"/>
              <w:bottom w:w="80" w:type="dxa"/>
              <w:end w:w="90" w:type="dxa"/>
            </w:tcMar>
          </w:tcPr>
          <w:p>
            <w:pPr>
              <w:spacing w:after="30"/>
            </w:pPr>
            <w:r>
              <w:rPr>
                <w:rFonts w:ascii="Arial" w:hAnsi="Arial"/>
                <w:sz w:val="16"/>
              </w:rPr>
              <w:t>Catálogo de inversores.</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POST /solar/scenarios</w:t>
            </w:r>
          </w:p>
        </w:tc>
        <w:tc>
          <w:tcPr>
            <w:tcW w:type="dxa" w:w="6264"/>
            <w:vAlign w:val="top"/>
            <w:tcMar>
              <w:top w:w="80" w:type="dxa"/>
              <w:start w:w="90" w:type="dxa"/>
              <w:bottom w:w="80" w:type="dxa"/>
              <w:end w:w="90" w:type="dxa"/>
            </w:tcMar>
          </w:tcPr>
          <w:p>
            <w:pPr>
              <w:spacing w:after="30"/>
            </w:pPr>
            <w:r>
              <w:rPr>
                <w:rFonts w:ascii="Arial" w:hAnsi="Arial"/>
                <w:sz w:val="16"/>
              </w:rPr>
              <w:t>Criar cenário técnico-financeiro.</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POST /solar/scenarios/{id}/optimize</w:t>
            </w:r>
          </w:p>
        </w:tc>
        <w:tc>
          <w:tcPr>
            <w:tcW w:type="dxa" w:w="6264"/>
            <w:vAlign w:val="top"/>
            <w:tcMar>
              <w:top w:w="80" w:type="dxa"/>
              <w:start w:w="90" w:type="dxa"/>
              <w:bottom w:w="80" w:type="dxa"/>
              <w:end w:w="90" w:type="dxa"/>
            </w:tcMar>
          </w:tcPr>
          <w:p>
            <w:pPr>
              <w:spacing w:after="30"/>
            </w:pPr>
            <w:r>
              <w:rPr>
                <w:rFonts w:ascii="Arial" w:hAnsi="Arial"/>
                <w:sz w:val="16"/>
              </w:rPr>
              <w:t>Otimizar quantidade/layout conforme objetivo.</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PATCH /solar/scenarios/{id}/panels</w:t>
            </w:r>
          </w:p>
        </w:tc>
        <w:tc>
          <w:tcPr>
            <w:tcW w:type="dxa" w:w="6264"/>
            <w:vAlign w:val="top"/>
            <w:tcMar>
              <w:top w:w="80" w:type="dxa"/>
              <w:start w:w="90" w:type="dxa"/>
              <w:bottom w:w="80" w:type="dxa"/>
              <w:end w:w="90" w:type="dxa"/>
            </w:tcMar>
          </w:tcPr>
          <w:p>
            <w:pPr>
              <w:spacing w:after="30"/>
            </w:pPr>
            <w:r>
              <w:rPr>
                <w:rFonts w:ascii="Arial" w:hAnsi="Arial"/>
                <w:sz w:val="16"/>
              </w:rPr>
              <w:t>Adicionar/remover/mover módulos manualmente.</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GET /solar/scenarios/{id}/energy</w:t>
            </w:r>
          </w:p>
        </w:tc>
        <w:tc>
          <w:tcPr>
            <w:tcW w:type="dxa" w:w="6264"/>
            <w:vAlign w:val="top"/>
            <w:tcMar>
              <w:top w:w="80" w:type="dxa"/>
              <w:start w:w="90" w:type="dxa"/>
              <w:bottom w:w="80" w:type="dxa"/>
              <w:end w:w="90" w:type="dxa"/>
            </w:tcMar>
          </w:tcPr>
          <w:p>
            <w:pPr>
              <w:spacing w:after="30"/>
            </w:pPr>
            <w:r>
              <w:rPr>
                <w:rFonts w:ascii="Arial" w:hAnsi="Arial"/>
                <w:sz w:val="16"/>
              </w:rPr>
              <w:t>Produção horária/mensal/anual e perdas.</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POST /solar/bills/parse</w:t>
            </w:r>
          </w:p>
        </w:tc>
        <w:tc>
          <w:tcPr>
            <w:tcW w:type="dxa" w:w="6264"/>
            <w:vAlign w:val="top"/>
            <w:tcMar>
              <w:top w:w="80" w:type="dxa"/>
              <w:start w:w="90" w:type="dxa"/>
              <w:bottom w:w="80" w:type="dxa"/>
              <w:end w:w="90" w:type="dxa"/>
            </w:tcMar>
          </w:tcPr>
          <w:p>
            <w:pPr>
              <w:spacing w:after="30"/>
            </w:pPr>
            <w:r>
              <w:rPr>
                <w:rFonts w:ascii="Arial" w:hAnsi="Arial"/>
                <w:sz w:val="16"/>
              </w:rPr>
              <w:t>Extrair consumo/tarifa de conta enviada.</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POST /solar/scenarios/{id}/billing</w:t>
            </w:r>
          </w:p>
        </w:tc>
        <w:tc>
          <w:tcPr>
            <w:tcW w:type="dxa" w:w="6264"/>
            <w:vAlign w:val="top"/>
            <w:tcMar>
              <w:top w:w="80" w:type="dxa"/>
              <w:start w:w="90" w:type="dxa"/>
              <w:bottom w:w="80" w:type="dxa"/>
              <w:end w:w="90" w:type="dxa"/>
            </w:tcMar>
          </w:tcPr>
          <w:p>
            <w:pPr>
              <w:spacing w:after="30"/>
            </w:pPr>
            <w:r>
              <w:rPr>
                <w:rFonts w:ascii="Arial" w:hAnsi="Arial"/>
                <w:sz w:val="16"/>
              </w:rPr>
              <w:t>Simular faturamento e compensação.</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POST /solar/scenarios/{id}/finance</w:t>
            </w:r>
          </w:p>
        </w:tc>
        <w:tc>
          <w:tcPr>
            <w:tcW w:type="dxa" w:w="6264"/>
            <w:vAlign w:val="top"/>
            <w:tcMar>
              <w:top w:w="80" w:type="dxa"/>
              <w:start w:w="90" w:type="dxa"/>
              <w:bottom w:w="80" w:type="dxa"/>
              <w:end w:w="90" w:type="dxa"/>
            </w:tcMar>
          </w:tcPr>
          <w:p>
            <w:pPr>
              <w:spacing w:after="30"/>
            </w:pPr>
            <w:r>
              <w:rPr>
                <w:rFonts w:ascii="Arial" w:hAnsi="Arial"/>
                <w:sz w:val="16"/>
              </w:rPr>
              <w:t>Fluxo de caixa, VPL, TIR, payback e sensibilidade.</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GET /solar/scenarios/{id}/grid</w:t>
            </w:r>
          </w:p>
        </w:tc>
        <w:tc>
          <w:tcPr>
            <w:tcW w:type="dxa" w:w="6264"/>
            <w:vAlign w:val="top"/>
            <w:tcMar>
              <w:top w:w="80" w:type="dxa"/>
              <w:start w:w="90" w:type="dxa"/>
              <w:bottom w:w="80" w:type="dxa"/>
              <w:end w:w="90" w:type="dxa"/>
            </w:tcMar>
          </w:tcPr>
          <w:p>
            <w:pPr>
              <w:spacing w:after="30"/>
            </w:pPr>
            <w:r>
              <w:rPr>
                <w:rFonts w:ascii="Arial" w:hAnsi="Arial"/>
                <w:sz w:val="16"/>
              </w:rPr>
              <w:t>Pré-check de rede/conexão.</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POST /solar/scenarios/{id}/report</w:t>
            </w:r>
          </w:p>
        </w:tc>
        <w:tc>
          <w:tcPr>
            <w:tcW w:type="dxa" w:w="6264"/>
            <w:vAlign w:val="top"/>
            <w:tcMar>
              <w:top w:w="80" w:type="dxa"/>
              <w:start w:w="90" w:type="dxa"/>
              <w:bottom w:w="80" w:type="dxa"/>
              <w:end w:w="90" w:type="dxa"/>
            </w:tcMar>
          </w:tcPr>
          <w:p>
            <w:pPr>
              <w:spacing w:after="30"/>
            </w:pPr>
            <w:r>
              <w:rPr>
                <w:rFonts w:ascii="Arial" w:hAnsi="Arial"/>
                <w:sz w:val="16"/>
              </w:rPr>
              <w:t>Gerar Relatório Energia Solar 360.</w:t>
            </w:r>
          </w:p>
        </w:tc>
      </w:tr>
      <w:tr>
        <w:trPr>
          <w:cantSplit/>
          <w:cantSplit/>
        </w:trPr>
        <w:tc>
          <w:tcPr>
            <w:tcW w:type="dxa" w:w="3384"/>
            <w:vAlign w:val="top"/>
            <w:tcMar>
              <w:top w:w="80" w:type="dxa"/>
              <w:start w:w="90" w:type="dxa"/>
              <w:bottom w:w="80" w:type="dxa"/>
              <w:end w:w="90" w:type="dxa"/>
            </w:tcMar>
          </w:tcPr>
          <w:p>
            <w:pPr>
              <w:spacing w:after="30"/>
            </w:pPr>
            <w:r>
              <w:rPr>
                <w:rFonts w:ascii="Arial" w:hAnsi="Arial"/>
                <w:sz w:val="16"/>
              </w:rPr>
              <w:t>POST /solar/chat</w:t>
            </w:r>
          </w:p>
        </w:tc>
        <w:tc>
          <w:tcPr>
            <w:tcW w:type="dxa" w:w="6264"/>
            <w:vAlign w:val="top"/>
            <w:tcMar>
              <w:top w:w="80" w:type="dxa"/>
              <w:start w:w="90" w:type="dxa"/>
              <w:bottom w:w="80" w:type="dxa"/>
              <w:end w:w="90" w:type="dxa"/>
            </w:tcMar>
          </w:tcPr>
          <w:p>
            <w:pPr>
              <w:spacing w:after="30"/>
            </w:pPr>
            <w:r>
              <w:rPr>
                <w:rFonts w:ascii="Arial" w:hAnsi="Arial"/>
                <w:sz w:val="16"/>
              </w:rPr>
              <w:t>Chat IA com ferramentas do cenário e evidências.</w:t>
            </w:r>
          </w:p>
        </w:tc>
      </w:tr>
    </w:tbl>
    <w:p>
      <w:pPr>
        <w:pStyle w:val="Heading2"/>
      </w:pPr>
      <w:r>
        <w:t>27.26 Confiança, validação e calibração</w:t>
      </w:r>
    </w:p>
    <w:p>
      <w:pPr>
        <w:spacing w:after="50"/>
        <w:ind w:left="173" w:hanging="115"/>
      </w:pPr>
      <w:r>
        <w:rPr>
          <w:rFonts w:ascii="Arial" w:hAnsi="Arial"/>
          <w:sz w:val="19"/>
        </w:rPr>
        <w:t>• Todo cenário deve carregar score separado para geometria, recurso solar, sombra, consumo, tarifa, equipamento, rede e finanças.</w:t>
      </w:r>
    </w:p>
    <w:p>
      <w:pPr>
        <w:spacing w:after="50"/>
        <w:ind w:left="173" w:hanging="115"/>
      </w:pPr>
      <w:r>
        <w:rPr>
          <w:rFonts w:ascii="Arial" w:hAnsi="Arial"/>
          <w:sz w:val="19"/>
        </w:rPr>
        <w:t>• Comparar o motor físico com referência independente (ex.: PVWatts V8) e com sistemas reais monitorados para detectar bias [R57].</w:t>
      </w:r>
    </w:p>
    <w:p>
      <w:pPr>
        <w:spacing w:after="50"/>
        <w:ind w:left="173" w:hanging="115"/>
      </w:pPr>
      <w:r>
        <w:rPr>
          <w:rFonts w:ascii="Arial" w:hAnsi="Arial"/>
          <w:sz w:val="19"/>
        </w:rPr>
        <w:t>• Permitir calibrar perdas e produção com histórico de inversor/medidor do cliente.</w:t>
      </w:r>
    </w:p>
    <w:p>
      <w:pPr>
        <w:spacing w:after="50"/>
        <w:ind w:left="173" w:hanging="115"/>
      </w:pPr>
      <w:r>
        <w:rPr>
          <w:rFonts w:ascii="Arial" w:hAnsi="Arial"/>
          <w:sz w:val="19"/>
        </w:rPr>
        <w:t>• Exibir intervalo de incerteza, não apenas um número pontual, especialmente em sombra, nuvens, tarifa futura e CAPEX.</w:t>
      </w:r>
    </w:p>
    <w:p>
      <w:pPr>
        <w:spacing w:after="50"/>
        <w:ind w:left="173" w:hanging="115"/>
      </w:pPr>
      <w:r>
        <w:rPr>
          <w:rFonts w:ascii="Arial" w:hAnsi="Arial"/>
          <w:sz w:val="19"/>
        </w:rPr>
        <w:t>• Registrar versão do algoritmo. Reprocessamentos futuros não podem apagar o resultado histórico que fundamentou uma proposta.</w:t>
      </w:r>
    </w:p>
    <w:p>
      <w:pPr>
        <w:spacing w:after="50"/>
        <w:ind w:left="173" w:hanging="115"/>
      </w:pPr>
      <w:r>
        <w:rPr>
          <w:rFonts w:ascii="Arial" w:hAnsi="Arial"/>
          <w:sz w:val="19"/>
        </w:rPr>
        <w:t>• Testes de regressão por cidades/climas, inclinações, orientações, telhado plano, tracker e bifacial.</w:t>
      </w:r>
    </w:p>
    <w:p>
      <w:pPr>
        <w:pStyle w:val="Heading2"/>
      </w:pPr>
      <w:r>
        <w:t>27.27 Governança de dados, licenças e cache</w:t>
      </w:r>
    </w:p>
    <w:p>
      <w:pPr>
        <w:spacing w:after="50"/>
        <w:ind w:left="173" w:hanging="115"/>
      </w:pPr>
      <w:r>
        <w:rPr>
          <w:rFonts w:ascii="Arial" w:hAnsi="Arial"/>
          <w:sz w:val="19"/>
        </w:rPr>
        <w:t>• Cada raster, imagem, tile e dataset deve ter licença/política associada. Cache, exportação e persistência obedecem a cada fornecedor.</w:t>
      </w:r>
    </w:p>
    <w:p>
      <w:pPr>
        <w:spacing w:after="50"/>
        <w:ind w:left="173" w:hanging="115"/>
      </w:pPr>
      <w:r>
        <w:rPr>
          <w:rFonts w:ascii="Arial" w:hAnsi="Arial"/>
          <w:sz w:val="19"/>
        </w:rPr>
        <w:t>• Google 3D Tiles exige atribuições adequadas na visualização [R55].</w:t>
      </w:r>
    </w:p>
    <w:p>
      <w:pPr>
        <w:spacing w:after="50"/>
        <w:ind w:left="173" w:hanging="115"/>
      </w:pPr>
      <w:r>
        <w:rPr>
          <w:rFonts w:ascii="Arial" w:hAnsi="Arial"/>
          <w:sz w:val="19"/>
        </w:rPr>
        <w:t>• Dados do LABREN precisam de revisão jurídica/licenciamento antes de incorporação comercial massiva, por causa das restrições publicadas na página do Atlas [R58].</w:t>
      </w:r>
    </w:p>
    <w:p>
      <w:pPr>
        <w:spacing w:after="50"/>
        <w:ind w:left="173" w:hanging="115"/>
      </w:pPr>
      <w:r>
        <w:rPr>
          <w:rFonts w:ascii="Arial" w:hAnsi="Arial"/>
          <w:sz w:val="19"/>
        </w:rPr>
        <w:t>• Contas de energia e curvas de carga são dados do usuário; aplicar criptografia, isolamento por tenant, retenção e LGPD.</w:t>
      </w:r>
    </w:p>
    <w:p>
      <w:pPr>
        <w:spacing w:after="50"/>
        <w:ind w:left="173" w:hanging="115"/>
      </w:pPr>
      <w:r>
        <w:rPr>
          <w:rFonts w:ascii="Arial" w:hAnsi="Arial"/>
          <w:sz w:val="19"/>
        </w:rPr>
        <w:t>• Fotos de telhado, drone e BIM podem conter informações sensíveis do imóvel. Controle de acesso e trilha de auditoria são obrigatórios.</w:t>
      </w:r>
    </w:p>
    <w:p>
      <w:pPr>
        <w:pStyle w:val="Heading2"/>
      </w:pPr>
      <w:r>
        <w:t>27.28 Regras que o módulo nunca deve quebrar</w:t>
      </w:r>
    </w:p>
    <w:p>
      <w:pPr>
        <w:spacing w:after="50"/>
        <w:ind w:left="173" w:hanging="115"/>
      </w:pPr>
      <w:r>
        <w:rPr>
          <w:rFonts w:ascii="Arial" w:hAnsi="Arial"/>
          <w:sz w:val="19"/>
        </w:rPr>
        <w:t>• Não confundir pré-dimensionamento remoto com projeto executivo, laudo estrutural ou aprovação da distribuidora.</w:t>
      </w:r>
    </w:p>
    <w:p>
      <w:pPr>
        <w:spacing w:after="50"/>
        <w:ind w:left="173" w:hanging="115"/>
      </w:pPr>
      <w:r>
        <w:rPr>
          <w:rFonts w:ascii="Arial" w:hAnsi="Arial"/>
          <w:sz w:val="19"/>
        </w:rPr>
        <w:t>• Não afirmar que a conta será zerada apenas porque a geração anual iguala o consumo anual.</w:t>
      </w:r>
    </w:p>
    <w:p>
      <w:pPr>
        <w:spacing w:after="50"/>
        <w:ind w:left="173" w:hanging="115"/>
      </w:pPr>
      <w:r>
        <w:rPr>
          <w:rFonts w:ascii="Arial" w:hAnsi="Arial"/>
          <w:sz w:val="19"/>
        </w:rPr>
        <w:t>• Não usar uma tarifa genérica quando a conta real ou a tarifa vigente da distribuidora estiver disponível.</w:t>
      </w:r>
    </w:p>
    <w:p>
      <w:pPr>
        <w:spacing w:after="50"/>
        <w:ind w:left="173" w:hanging="115"/>
      </w:pPr>
      <w:r>
        <w:rPr>
          <w:rFonts w:ascii="Arial" w:hAnsi="Arial"/>
          <w:sz w:val="19"/>
        </w:rPr>
        <w:t>• Não preencher fazenda/terreno com painéis antes de excluir restrições territoriais e ambientais conhecidas.</w:t>
      </w:r>
    </w:p>
    <w:p>
      <w:pPr>
        <w:spacing w:after="50"/>
        <w:ind w:left="173" w:hanging="115"/>
      </w:pPr>
      <w:r>
        <w:rPr>
          <w:rFonts w:ascii="Arial" w:hAnsi="Arial"/>
          <w:sz w:val="19"/>
        </w:rPr>
        <w:t>• Não chamar dado estimado de medido.</w:t>
      </w:r>
    </w:p>
    <w:p>
      <w:pPr>
        <w:spacing w:after="50"/>
        <w:ind w:left="173" w:hanging="115"/>
      </w:pPr>
      <w:r>
        <w:rPr>
          <w:rFonts w:ascii="Arial" w:hAnsi="Arial"/>
          <w:sz w:val="19"/>
        </w:rPr>
        <w:t>• Não ocultar data/qualidade da imagem, fonte de irradiância ou versão regulatória.</w:t>
      </w:r>
    </w:p>
    <w:p>
      <w:pPr>
        <w:spacing w:after="50"/>
        <w:ind w:left="173" w:hanging="115"/>
      </w:pPr>
      <w:r>
        <w:rPr>
          <w:rFonts w:ascii="Arial" w:hAnsi="Arial"/>
          <w:sz w:val="19"/>
        </w:rPr>
        <w:t>• Não afirmar capacidade de conexão sem parecer/estudo quando exigido.</w:t>
      </w:r>
    </w:p>
    <w:p>
      <w:pPr>
        <w:spacing w:after="50"/>
        <w:ind w:left="173" w:hanging="115"/>
      </w:pPr>
      <w:r>
        <w:rPr>
          <w:rFonts w:ascii="Arial" w:hAnsi="Arial"/>
          <w:sz w:val="19"/>
        </w:rPr>
        <w:t>• Não usar cálculo estrutural, incêndio ou condomínio como simples checkbox; quando necessário, encaminhar para profissional/deliberação competente.</w:t>
      </w:r>
    </w:p>
    <w:p>
      <w:pPr>
        <w:spacing w:after="50"/>
        <w:ind w:left="173" w:hanging="115"/>
      </w:pPr>
      <w:r>
        <w:rPr>
          <w:rFonts w:ascii="Arial" w:hAnsi="Arial"/>
          <w:sz w:val="19"/>
        </w:rPr>
        <w:t>• Não transformar CO₂ estimado em crédito de carbono certificado.</w:t>
      </w:r>
    </w:p>
    <w:p>
      <w:pPr>
        <w:spacing w:after="50"/>
        <w:ind w:left="173" w:hanging="115"/>
      </w:pPr>
      <w:r>
        <w:rPr>
          <w:rFonts w:ascii="Arial" w:hAnsi="Arial"/>
          <w:sz w:val="19"/>
        </w:rPr>
        <w:t>• Não misturar cenários: cada alteração de painel, tarifa, consumo ou equipamento deve gerar nova revisão do cenário.</w:t>
      </w:r>
    </w:p>
    <w:p>
      <w:pPr>
        <w:pStyle w:val="Heading2"/>
      </w:pPr>
      <w:r>
        <w:t>27.29 Roadmap de implementação do Energia Solar</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1944"/>
            <w:shd w:fill="EDEDED"/>
            <w:vAlign w:val="center"/>
            <w:tcMar>
              <w:top w:w="80" w:type="dxa"/>
              <w:start w:w="90" w:type="dxa"/>
              <w:bottom w:w="80" w:type="dxa"/>
              <w:end w:w="90" w:type="dxa"/>
            </w:tcMar>
          </w:tcPr>
          <w:p>
            <w:r>
              <w:rPr>
                <w:rFonts w:ascii="Arial" w:hAnsi="Arial"/>
                <w:b/>
                <w:sz w:val="17"/>
              </w:rPr>
              <w:t>Fase</w:t>
            </w:r>
          </w:p>
        </w:tc>
        <w:tc>
          <w:tcPr>
            <w:tcW w:type="dxa" w:w="7704"/>
            <w:shd w:fill="EDEDED"/>
            <w:vAlign w:val="center"/>
            <w:tcMar>
              <w:top w:w="80" w:type="dxa"/>
              <w:start w:w="90" w:type="dxa"/>
              <w:bottom w:w="80" w:type="dxa"/>
              <w:end w:w="90" w:type="dxa"/>
            </w:tcMar>
          </w:tcPr>
          <w:p>
            <w:r>
              <w:rPr>
                <w:rFonts w:ascii="Arial" w:hAnsi="Arial"/>
                <w:b/>
                <w:sz w:val="17"/>
              </w:rPr>
              <w:t>Entrega</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1. Site solar</w:t>
            </w:r>
          </w:p>
        </w:tc>
        <w:tc>
          <w:tcPr>
            <w:tcW w:type="dxa" w:w="7704"/>
            <w:vAlign w:val="top"/>
            <w:tcMar>
              <w:top w:w="80" w:type="dxa"/>
              <w:start w:w="90" w:type="dxa"/>
              <w:bottom w:w="80" w:type="dxa"/>
              <w:end w:w="90" w:type="dxa"/>
            </w:tcMar>
          </w:tcPr>
          <w:p>
            <w:pPr>
              <w:spacing w:after="30"/>
            </w:pPr>
            <w:r>
              <w:rPr>
                <w:rFonts w:ascii="Arial" w:hAnsi="Arial"/>
                <w:sz w:val="16"/>
              </w:rPr>
              <w:t>Abrir imóvel, coordenada/polígono, scene 2D/3D e estrutura solar no banco.</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2. Cobertura Google</w:t>
            </w:r>
          </w:p>
        </w:tc>
        <w:tc>
          <w:tcPr>
            <w:tcW w:type="dxa" w:w="7704"/>
            <w:vAlign w:val="top"/>
            <w:tcMar>
              <w:top w:w="80" w:type="dxa"/>
              <w:start w:w="90" w:type="dxa"/>
              <w:bottom w:w="80" w:type="dxa"/>
              <w:end w:w="90" w:type="dxa"/>
            </w:tcMar>
          </w:tcPr>
          <w:p>
            <w:pPr>
              <w:spacing w:after="30"/>
            </w:pPr>
            <w:r>
              <w:rPr>
                <w:rFonts w:ascii="Arial" w:hAnsi="Arial"/>
                <w:sz w:val="16"/>
              </w:rPr>
              <w:t>Adapter buildingInsights/dataLayers, status de coverage/quality e cache permitido.</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3. Motor nacional</w:t>
            </w:r>
          </w:p>
        </w:tc>
        <w:tc>
          <w:tcPr>
            <w:tcW w:type="dxa" w:w="7704"/>
            <w:vAlign w:val="top"/>
            <w:tcMar>
              <w:top w:w="80" w:type="dxa"/>
              <w:start w:w="90" w:type="dxa"/>
              <w:bottom w:w="80" w:type="dxa"/>
              <w:end w:w="90" w:type="dxa"/>
            </w:tcMar>
          </w:tcPr>
          <w:p>
            <w:pPr>
              <w:spacing w:after="30"/>
            </w:pPr>
            <w:r>
              <w:rPr>
                <w:rFonts w:ascii="Arial" w:hAnsi="Arial"/>
                <w:sz w:val="16"/>
              </w:rPr>
              <w:t>Posição solar, irradiância, DSM/terreno, sombra e fallback sem Google.</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4. Telhados</w:t>
            </w:r>
          </w:p>
        </w:tc>
        <w:tc>
          <w:tcPr>
            <w:tcW w:type="dxa" w:w="7704"/>
            <w:vAlign w:val="top"/>
            <w:tcMar>
              <w:top w:w="80" w:type="dxa"/>
              <w:start w:w="90" w:type="dxa"/>
              <w:bottom w:w="80" w:type="dxa"/>
              <w:end w:w="90" w:type="dxa"/>
            </w:tcMar>
          </w:tcPr>
          <w:p>
            <w:pPr>
              <w:spacing w:after="30"/>
            </w:pPr>
            <w:r>
              <w:rPr>
                <w:rFonts w:ascii="Arial" w:hAnsi="Arial"/>
                <w:sz w:val="16"/>
              </w:rPr>
              <w:t>Superfícies, obstáculos, área útil e heatmap solar.</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5. Equipamentos</w:t>
            </w:r>
          </w:p>
        </w:tc>
        <w:tc>
          <w:tcPr>
            <w:tcW w:type="dxa" w:w="7704"/>
            <w:vAlign w:val="top"/>
            <w:tcMar>
              <w:top w:w="80" w:type="dxa"/>
              <w:start w:w="90" w:type="dxa"/>
              <w:bottom w:w="80" w:type="dxa"/>
              <w:end w:w="90" w:type="dxa"/>
            </w:tcMar>
          </w:tcPr>
          <w:p>
            <w:pPr>
              <w:spacing w:after="30"/>
            </w:pPr>
            <w:r>
              <w:rPr>
                <w:rFonts w:ascii="Arial" w:hAnsi="Arial"/>
                <w:sz w:val="16"/>
              </w:rPr>
              <w:t>Catálogo de módulos/inversores e seletor de quantidade.</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6. Layout</w:t>
            </w:r>
          </w:p>
        </w:tc>
        <w:tc>
          <w:tcPr>
            <w:tcW w:type="dxa" w:w="7704"/>
            <w:vAlign w:val="top"/>
            <w:tcMar>
              <w:top w:w="80" w:type="dxa"/>
              <w:start w:w="90" w:type="dxa"/>
              <w:bottom w:w="80" w:type="dxa"/>
              <w:end w:w="90" w:type="dxa"/>
            </w:tcMar>
          </w:tcPr>
          <w:p>
            <w:pPr>
              <w:spacing w:after="30"/>
            </w:pPr>
            <w:r>
              <w:rPr>
                <w:rFonts w:ascii="Arial" w:hAnsi="Arial"/>
                <w:sz w:val="16"/>
              </w:rPr>
              <w:t>Packing automático + edição manual 3D.</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7. Energia</w:t>
            </w:r>
          </w:p>
        </w:tc>
        <w:tc>
          <w:tcPr>
            <w:tcW w:type="dxa" w:w="7704"/>
            <w:vAlign w:val="top"/>
            <w:tcMar>
              <w:top w:w="80" w:type="dxa"/>
              <w:start w:w="90" w:type="dxa"/>
              <w:bottom w:w="80" w:type="dxa"/>
              <w:end w:w="90" w:type="dxa"/>
            </w:tcMar>
          </w:tcPr>
          <w:p>
            <w:pPr>
              <w:spacing w:after="30"/>
            </w:pPr>
            <w:r>
              <w:rPr>
                <w:rFonts w:ascii="Arial" w:hAnsi="Arial"/>
                <w:sz w:val="16"/>
              </w:rPr>
              <w:t>Modelo horário, perdas, monthly/yearly e benchmark.</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8. Contas</w:t>
            </w:r>
          </w:p>
        </w:tc>
        <w:tc>
          <w:tcPr>
            <w:tcW w:type="dxa" w:w="7704"/>
            <w:vAlign w:val="top"/>
            <w:tcMar>
              <w:top w:w="80" w:type="dxa"/>
              <w:start w:w="90" w:type="dxa"/>
              <w:bottom w:w="80" w:type="dxa"/>
              <w:end w:w="90" w:type="dxa"/>
            </w:tcMar>
          </w:tcPr>
          <w:p>
            <w:pPr>
              <w:spacing w:after="30"/>
            </w:pPr>
            <w:r>
              <w:rPr>
                <w:rFonts w:ascii="Arial" w:hAnsi="Arial"/>
                <w:sz w:val="16"/>
              </w:rPr>
              <w:t>OCR/importação, consumo, perfil de carga e distribuidora.</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9. Tarifas/regulação</w:t>
            </w:r>
          </w:p>
        </w:tc>
        <w:tc>
          <w:tcPr>
            <w:tcW w:type="dxa" w:w="7704"/>
            <w:vAlign w:val="top"/>
            <w:tcMar>
              <w:top w:w="80" w:type="dxa"/>
              <w:start w:w="90" w:type="dxa"/>
              <w:bottom w:w="80" w:type="dxa"/>
              <w:end w:w="90" w:type="dxa"/>
            </w:tcMar>
          </w:tcPr>
          <w:p>
            <w:pPr>
              <w:spacing w:after="30"/>
            </w:pPr>
            <w:r>
              <w:rPr>
                <w:rFonts w:ascii="Arial" w:hAnsi="Arial"/>
                <w:sz w:val="16"/>
              </w:rPr>
              <w:t>TE/TUSD, Lei 14.300, REN 1000, PRODIST e faturamento.</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10. Financeiro</w:t>
            </w:r>
          </w:p>
        </w:tc>
        <w:tc>
          <w:tcPr>
            <w:tcW w:type="dxa" w:w="7704"/>
            <w:vAlign w:val="top"/>
            <w:tcMar>
              <w:top w:w="80" w:type="dxa"/>
              <w:start w:w="90" w:type="dxa"/>
              <w:bottom w:w="80" w:type="dxa"/>
              <w:end w:w="90" w:type="dxa"/>
            </w:tcMar>
          </w:tcPr>
          <w:p>
            <w:pPr>
              <w:spacing w:after="30"/>
            </w:pPr>
            <w:r>
              <w:rPr>
                <w:rFonts w:ascii="Arial" w:hAnsi="Arial"/>
                <w:sz w:val="16"/>
              </w:rPr>
              <w:t>CAPEX/OPEX, payback, VPL, TIR, LCOE, financiamento.</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11. Solo rural</w:t>
            </w:r>
          </w:p>
        </w:tc>
        <w:tc>
          <w:tcPr>
            <w:tcW w:type="dxa" w:w="7704"/>
            <w:vAlign w:val="top"/>
            <w:tcMar>
              <w:top w:w="80" w:type="dxa"/>
              <w:start w:w="90" w:type="dxa"/>
              <w:bottom w:w="80" w:type="dxa"/>
              <w:end w:w="90" w:type="dxa"/>
            </w:tcMar>
          </w:tcPr>
          <w:p>
            <w:pPr>
              <w:spacing w:after="30"/>
            </w:pPr>
            <w:r>
              <w:rPr>
                <w:rFonts w:ascii="Arial" w:hAnsi="Arial"/>
                <w:sz w:val="16"/>
              </w:rPr>
              <w:t>Declividade, restrições RE Rural, trackers, corredores e conexão.</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12. Condomínios</w:t>
            </w:r>
          </w:p>
        </w:tc>
        <w:tc>
          <w:tcPr>
            <w:tcW w:type="dxa" w:w="7704"/>
            <w:vAlign w:val="top"/>
            <w:tcMar>
              <w:top w:w="80" w:type="dxa"/>
              <w:start w:w="90" w:type="dxa"/>
              <w:bottom w:w="80" w:type="dxa"/>
              <w:end w:w="90" w:type="dxa"/>
            </w:tcMar>
          </w:tcPr>
          <w:p>
            <w:pPr>
              <w:spacing w:after="30"/>
            </w:pPr>
            <w:r>
              <w:rPr>
                <w:rFonts w:ascii="Arial" w:hAnsi="Arial"/>
                <w:sz w:val="16"/>
              </w:rPr>
              <w:t>Áreas comuns, carport, assembleia/regras e múltiplas UCs.</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13. Rede</w:t>
            </w:r>
          </w:p>
        </w:tc>
        <w:tc>
          <w:tcPr>
            <w:tcW w:type="dxa" w:w="7704"/>
            <w:vAlign w:val="top"/>
            <w:tcMar>
              <w:top w:w="80" w:type="dxa"/>
              <w:start w:w="90" w:type="dxa"/>
              <w:bottom w:w="80" w:type="dxa"/>
              <w:end w:w="90" w:type="dxa"/>
            </w:tcMar>
          </w:tcPr>
          <w:p>
            <w:pPr>
              <w:spacing w:after="30"/>
            </w:pPr>
            <w:r>
              <w:rPr>
                <w:rFonts w:ascii="Arial" w:hAnsi="Arial"/>
                <w:sz w:val="16"/>
              </w:rPr>
              <w:t>BDGD, MMGD, pedidos de conexão e risk precheck.</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14. IA</w:t>
            </w:r>
          </w:p>
        </w:tc>
        <w:tc>
          <w:tcPr>
            <w:tcW w:type="dxa" w:w="7704"/>
            <w:vAlign w:val="top"/>
            <w:tcMar>
              <w:top w:w="80" w:type="dxa"/>
              <w:start w:w="90" w:type="dxa"/>
              <w:bottom w:w="80" w:type="dxa"/>
              <w:end w:w="90" w:type="dxa"/>
            </w:tcMar>
          </w:tcPr>
          <w:p>
            <w:pPr>
              <w:spacing w:after="30"/>
            </w:pPr>
            <w:r>
              <w:rPr>
                <w:rFonts w:ascii="Arial" w:hAnsi="Arial"/>
                <w:sz w:val="16"/>
              </w:rPr>
              <w:t>Chat com ferramentas: adicionar/remover painéis, comparar cenários e explicar resultados.</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15. Relatório</w:t>
            </w:r>
          </w:p>
        </w:tc>
        <w:tc>
          <w:tcPr>
            <w:tcW w:type="dxa" w:w="7704"/>
            <w:vAlign w:val="top"/>
            <w:tcMar>
              <w:top w:w="80" w:type="dxa"/>
              <w:start w:w="90" w:type="dxa"/>
              <w:bottom w:w="80" w:type="dxa"/>
              <w:end w:w="90" w:type="dxa"/>
            </w:tcMar>
          </w:tcPr>
          <w:p>
            <w:pPr>
              <w:spacing w:after="30"/>
            </w:pPr>
            <w:r>
              <w:rPr>
                <w:rFonts w:ascii="Arial" w:hAnsi="Arial"/>
                <w:sz w:val="16"/>
              </w:rPr>
              <w:t>Energia Solar 360 com evidências, anexos e proposta.</w:t>
            </w:r>
          </w:p>
        </w:tc>
      </w:tr>
      <w:tr>
        <w:trPr>
          <w:cantSplit/>
          <w:cantSplit/>
        </w:trPr>
        <w:tc>
          <w:tcPr>
            <w:tcW w:type="dxa" w:w="1944"/>
            <w:vAlign w:val="top"/>
            <w:tcMar>
              <w:top w:w="80" w:type="dxa"/>
              <w:start w:w="90" w:type="dxa"/>
              <w:bottom w:w="80" w:type="dxa"/>
              <w:end w:w="90" w:type="dxa"/>
            </w:tcMar>
          </w:tcPr>
          <w:p>
            <w:pPr>
              <w:spacing w:after="30"/>
            </w:pPr>
            <w:r>
              <w:rPr>
                <w:rFonts w:ascii="Arial" w:hAnsi="Arial"/>
                <w:sz w:val="16"/>
              </w:rPr>
              <w:t>16. Calibração</w:t>
            </w:r>
          </w:p>
        </w:tc>
        <w:tc>
          <w:tcPr>
            <w:tcW w:type="dxa" w:w="7704"/>
            <w:vAlign w:val="top"/>
            <w:tcMar>
              <w:top w:w="80" w:type="dxa"/>
              <w:start w:w="90" w:type="dxa"/>
              <w:bottom w:w="80" w:type="dxa"/>
              <w:end w:w="90" w:type="dxa"/>
            </w:tcMar>
          </w:tcPr>
          <w:p>
            <w:pPr>
              <w:spacing w:after="30"/>
            </w:pPr>
            <w:r>
              <w:rPr>
                <w:rFonts w:ascii="Arial" w:hAnsi="Arial"/>
                <w:sz w:val="16"/>
              </w:rPr>
              <w:t>Integração com monitoramento real e melhoria contínua dos modelos.</w:t>
            </w:r>
          </w:p>
        </w:tc>
      </w:tr>
    </w:tbl>
    <w:p>
      <w:pPr>
        <w:pStyle w:val="Heading2"/>
      </w:pPr>
      <w:r>
        <w:t>27.30 Critérios de aceitação do produto</w:t>
      </w:r>
    </w:p>
    <w:p>
      <w:pPr>
        <w:spacing w:after="50"/>
        <w:ind w:left="173" w:hanging="115"/>
      </w:pPr>
      <w:r>
        <w:rPr>
          <w:rFonts w:ascii="Arial" w:hAnsi="Arial"/>
          <w:sz w:val="19"/>
        </w:rPr>
        <w:t>• Usuário consegue abrir um imóvel e, sem preencher dezenas de campos, visualizar uma primeira estimativa solar em 3D.</w:t>
      </w:r>
    </w:p>
    <w:p>
      <w:pPr>
        <w:spacing w:after="50"/>
        <w:ind w:left="173" w:hanging="115"/>
      </w:pPr>
      <w:r>
        <w:rPr>
          <w:rFonts w:ascii="Arial" w:hAnsi="Arial"/>
          <w:sz w:val="19"/>
        </w:rPr>
        <w:t>• Slider de painéis atualiza quantidade, kWp, energia, economia e payback de forma consistente.</w:t>
      </w:r>
    </w:p>
    <w:p>
      <w:pPr>
        <w:spacing w:after="50"/>
        <w:ind w:left="173" w:hanging="115"/>
      </w:pPr>
      <w:r>
        <w:rPr>
          <w:rFonts w:ascii="Arial" w:hAnsi="Arial"/>
          <w:sz w:val="19"/>
        </w:rPr>
        <w:t>• O usuário consegue trocar o modelo da placa e o layout respeita dimensões reais.</w:t>
      </w:r>
    </w:p>
    <w:p>
      <w:pPr>
        <w:spacing w:after="50"/>
        <w:ind w:left="173" w:hanging="115"/>
      </w:pPr>
      <w:r>
        <w:rPr>
          <w:rFonts w:ascii="Arial" w:hAnsi="Arial"/>
          <w:sz w:val="19"/>
        </w:rPr>
        <w:t>• A posição do sol e as sombras podem ser reproduzidas por data/hora.</w:t>
      </w:r>
    </w:p>
    <w:p>
      <w:pPr>
        <w:spacing w:after="50"/>
        <w:ind w:left="173" w:hanging="115"/>
      </w:pPr>
      <w:r>
        <w:rPr>
          <w:rFonts w:ascii="Arial" w:hAnsi="Arial"/>
          <w:sz w:val="19"/>
        </w:rPr>
        <w:t>• Casa/prédio e terreno/fazenda usam fluxos adequados, sem aplicar limitações do Solar API a solo.</w:t>
      </w:r>
    </w:p>
    <w:p>
      <w:pPr>
        <w:spacing w:after="50"/>
        <w:ind w:left="173" w:hanging="115"/>
      </w:pPr>
      <w:r>
        <w:rPr>
          <w:rFonts w:ascii="Arial" w:hAnsi="Arial"/>
          <w:sz w:val="19"/>
        </w:rPr>
        <w:t>• Conta de energia pode ser importada e a simulação informa o que foi extraído e o que foi estimado.</w:t>
      </w:r>
    </w:p>
    <w:p>
      <w:pPr>
        <w:spacing w:after="50"/>
        <w:ind w:left="173" w:hanging="115"/>
      </w:pPr>
      <w:r>
        <w:rPr>
          <w:rFonts w:ascii="Arial" w:hAnsi="Arial"/>
          <w:sz w:val="19"/>
        </w:rPr>
        <w:t>• Cada número importante possui fonte, premissa, data-base e nível de confiança.</w:t>
      </w:r>
    </w:p>
    <w:p>
      <w:pPr>
        <w:spacing w:after="50"/>
        <w:ind w:left="173" w:hanging="115"/>
      </w:pPr>
      <w:r>
        <w:rPr>
          <w:rFonts w:ascii="Arial" w:hAnsi="Arial"/>
          <w:sz w:val="19"/>
        </w:rPr>
        <w:t>• Cenários podem ser salvos, comparados, clonados e auditados.</w:t>
      </w:r>
    </w:p>
    <w:p>
      <w:pPr>
        <w:spacing w:after="50"/>
        <w:ind w:left="173" w:hanging="115"/>
      </w:pPr>
      <w:r>
        <w:rPr>
          <w:rFonts w:ascii="Arial" w:hAnsi="Arial"/>
          <w:sz w:val="19"/>
        </w:rPr>
        <w:t>• O relatório é compreensível para cliente leigo e detalhado o suficiente para revisão por engenheiro/integrador.</w:t>
      </w:r>
    </w:p>
    <w:p>
      <w:pPr>
        <w:spacing w:after="50"/>
        <w:ind w:left="173" w:hanging="115"/>
      </w:pPr>
      <w:r>
        <w:rPr>
          <w:rFonts w:ascii="Arial" w:hAnsi="Arial"/>
          <w:sz w:val="19"/>
        </w:rPr>
        <w:t>• A IA nunca responde números solares fora de um cenário reproduzível.</w:t>
      </w:r>
    </w:p>
    <w:p>
      <w:r>
        <w:br/>
      </w:r>
    </w:p>
    <w:p>
      <w:pPr>
        <w:pStyle w:val="Heading1"/>
        <w:keepNext/>
        <w:pageBreakBefore/>
      </w:pPr>
      <w:r>
        <w:t>28. A.I TEC — inteligência generativa para implantação, massa, plantas e viabilidade</w:t>
      </w:r>
    </w:p>
    <w:p>
      <w:pPr>
        <w:spacing w:after="100"/>
      </w:pPr>
      <w:r>
        <w:rPr>
          <w:i w:val="0"/>
        </w:rPr>
        <w:t>Objetivo. Criar um motor generativo profissional que receba um terreno, suas condicionantes e um programa de necessidades e produza múltiplas alternativas geometricamente válidas para o melhor aproveitamento do ativo. O A.I TEC deve trabalhar desde a escala do terreno até a escala do pavimento e da unidade: implantação de torres, casas, lotes, viário, garagens, lazer, núcleos, circulações, unit mix e plantas com quartos, banheiros, cozinha, lavanderia, varanda e demais ambientes. A solução nunca deve ser tratada como projeto executivo ou substituto da responsabilidade técnica; o produto é um sistema de concepção, viabilidade, comparação e pré-projeto auditável.</w:t>
      </w:r>
    </w:p>
    <w:p>
      <w:pPr>
        <w:spacing w:after="100"/>
      </w:pPr>
      <w:r>
        <w:rPr>
          <w:i w:val="0"/>
        </w:rPr>
        <w:t>Premissa central. A.I TEC não é um gerador de imagem. O núcleo do produto é CAD/geometry-aware: cada alternativa deve ser composta por objetos com coordenadas, dimensões, áreas, relações topológicas, propriedades, regras verificadas e rastreabilidade. Renderizações fotorealistas são uma camada de apresentação posterior; a geometria e a conformidade vêm primeiro.</w:t>
      </w:r>
    </w:p>
    <w:p>
      <w:pPr>
        <w:pStyle w:val="Heading2"/>
        <w:keepNext/>
      </w:pPr>
      <w:r>
        <w:t>28.1 Pesquisa de referência e lições de mercado</w:t>
      </w:r>
    </w:p>
    <w:p>
      <w:pPr>
        <w:spacing w:after="100"/>
      </w:pPr>
      <w:r>
        <w:rPr>
          <w:i w:val="0"/>
        </w:rPr>
        <w:t>A pesquisa foi baseada em páginas públicas, materiais técnicos, atualizações de produto, documentação e casos de uso de Arqgen, TestFit, Autodesk Forma, Finch, Maket e Archistar, além de documentação de solvers e interoperabilidade CAD/BIM. A intenção é compreender padrões funcionais do mercado, sem copiar interface, algoritmos proprietários, bases privadas ou propriedade intelectual de terceiros.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cantSplit/>
        </w:trPr>
        <w:tc>
          <w:tcPr>
            <w:tcW w:type="dxa" w:w="1512"/>
            <w:vAlign w:val="center"/>
            <w:shd w:fill="D9EAF7"/>
          </w:tcPr>
          <w:p>
            <w:pPr>
              <w:spacing w:after="0" w:before="0"/>
            </w:pPr>
            <w:r>
              <w:rPr>
                <w:rFonts w:ascii="Arial" w:hAnsi="Arial"/>
                <w:sz w:val="17"/>
              </w:rPr>
            </w:r>
            <w:r>
              <w:rPr>
                <w:rFonts w:ascii="Arial" w:hAnsi="Arial"/>
                <w:b/>
                <w:sz w:val="17"/>
              </w:rPr>
              <w:t>Referência</w:t>
            </w:r>
          </w:p>
        </w:tc>
        <w:tc>
          <w:tcPr>
            <w:tcW w:type="dxa" w:w="3672"/>
            <w:vAlign w:val="center"/>
            <w:shd w:fill="D9EAF7"/>
          </w:tcPr>
          <w:p>
            <w:pPr>
              <w:spacing w:after="0" w:before="0"/>
            </w:pPr>
            <w:r>
              <w:rPr>
                <w:rFonts w:ascii="Arial" w:hAnsi="Arial"/>
                <w:sz w:val="17"/>
              </w:rPr>
            </w:r>
            <w:r>
              <w:rPr>
                <w:rFonts w:ascii="Arial" w:hAnsi="Arial"/>
                <w:b/>
                <w:sz w:val="17"/>
              </w:rPr>
              <w:t>O que foi observado</w:t>
            </w:r>
          </w:p>
        </w:tc>
        <w:tc>
          <w:tcPr>
            <w:tcW w:type="dxa" w:w="4320"/>
            <w:vAlign w:val="center"/>
            <w:shd w:fill="D9EAF7"/>
          </w:tcPr>
          <w:p>
            <w:pPr>
              <w:spacing w:after="0" w:before="0"/>
            </w:pPr>
            <w:r>
              <w:rPr>
                <w:rFonts w:ascii="Arial" w:hAnsi="Arial"/>
                <w:sz w:val="17"/>
              </w:rPr>
            </w:r>
            <w:r>
              <w:rPr>
                <w:rFonts w:ascii="Arial" w:hAnsi="Arial"/>
                <w:b/>
                <w:sz w:val="17"/>
              </w:rPr>
              <w:t>Como o A.I TEC deve incorporar/evoluir</w:t>
            </w:r>
          </w:p>
        </w:tc>
      </w:tr>
      <w:tr>
        <w:trPr>
          <w:cantSplit/>
          <w:cantSplit/>
        </w:trPr>
        <w:tc>
          <w:tcPr>
            <w:tcW w:type="dxa" w:w="1512"/>
            <w:vAlign w:val="center"/>
          </w:tcPr>
          <w:p>
            <w:pPr>
              <w:spacing w:after="0" w:before="0"/>
            </w:pPr>
            <w:r>
              <w:rPr>
                <w:rFonts w:ascii="Arial" w:hAnsi="Arial"/>
                <w:sz w:val="17"/>
              </w:rPr>
            </w:r>
            <w:r>
              <w:rPr>
                <w:rFonts w:ascii="Arial" w:hAnsi="Arial"/>
                <w:b w:val="0"/>
                <w:sz w:val="17"/>
              </w:rPr>
              <w:t>Arqgen</w:t>
            </w:r>
          </w:p>
        </w:tc>
        <w:tc>
          <w:tcPr>
            <w:tcW w:type="dxa" w:w="3672"/>
            <w:vAlign w:val="center"/>
          </w:tcPr>
          <w:p>
            <w:pPr>
              <w:spacing w:after="0" w:before="0"/>
            </w:pPr>
            <w:r>
              <w:rPr>
                <w:rFonts w:ascii="Arial" w:hAnsi="Arial"/>
                <w:sz w:val="17"/>
              </w:rPr>
            </w:r>
            <w:r>
              <w:rPr>
                <w:rFonts w:ascii="Arial" w:hAnsi="Arial"/>
                <w:b w:val="0"/>
                <w:sz w:val="17"/>
              </w:rPr>
              <w:t>DWG/KMZ, topografia, APP/declividade, regras urbanísticas, múltiplas implantações, terraplenagem, viário, vagas, garagem, tipologias, torres, comparação e exportação DWG/XLSX/PDF/RVT.</w:t>
            </w:r>
          </w:p>
        </w:tc>
        <w:tc>
          <w:tcPr>
            <w:tcW w:type="dxa" w:w="4320"/>
            <w:vAlign w:val="center"/>
          </w:tcPr>
          <w:p>
            <w:pPr>
              <w:spacing w:after="0" w:before="0"/>
            </w:pPr>
            <w:r>
              <w:rPr>
                <w:rFonts w:ascii="Arial" w:hAnsi="Arial"/>
                <w:sz w:val="17"/>
              </w:rPr>
            </w:r>
            <w:r>
              <w:rPr>
                <w:rFonts w:ascii="Arial" w:hAnsi="Arial"/>
                <w:b w:val="0"/>
                <w:sz w:val="17"/>
              </w:rPr>
              <w:t>Usar o LoteDiretor como motor jurídico automático nacional; acrescentar unidade/planta, desempenho ambiental, mercado/financeiro, explicação de regras e edição conversacional.</w:t>
            </w:r>
          </w:p>
        </w:tc>
      </w:tr>
      <w:tr>
        <w:trPr>
          <w:cantSplit/>
          <w:cantSplit/>
        </w:trPr>
        <w:tc>
          <w:tcPr>
            <w:tcW w:type="dxa" w:w="1512"/>
            <w:vAlign w:val="center"/>
          </w:tcPr>
          <w:p>
            <w:pPr>
              <w:spacing w:after="0" w:before="0"/>
            </w:pPr>
            <w:r>
              <w:rPr>
                <w:rFonts w:ascii="Arial" w:hAnsi="Arial"/>
                <w:sz w:val="17"/>
              </w:rPr>
            </w:r>
            <w:r>
              <w:rPr>
                <w:rFonts w:ascii="Arial" w:hAnsi="Arial"/>
                <w:b w:val="0"/>
                <w:sz w:val="17"/>
              </w:rPr>
              <w:t>TestFit</w:t>
            </w:r>
          </w:p>
        </w:tc>
        <w:tc>
          <w:tcPr>
            <w:tcW w:type="dxa" w:w="3672"/>
            <w:vAlign w:val="center"/>
          </w:tcPr>
          <w:p>
            <w:pPr>
              <w:spacing w:after="0" w:before="0"/>
            </w:pPr>
            <w:r>
              <w:rPr>
                <w:rFonts w:ascii="Arial" w:hAnsi="Arial"/>
                <w:sz w:val="17"/>
              </w:rPr>
            </w:r>
            <w:r>
              <w:rPr>
                <w:rFonts w:ascii="Arial" w:hAnsi="Arial"/>
                <w:b w:val="0"/>
                <w:sz w:val="17"/>
              </w:rPr>
              <w:t>Site solver, parâmetros de código, estacionamento, topografia, cut/fill e integração da solução física com pro forma econômico.</w:t>
            </w:r>
          </w:p>
        </w:tc>
        <w:tc>
          <w:tcPr>
            <w:tcW w:type="dxa" w:w="4320"/>
            <w:vAlign w:val="center"/>
          </w:tcPr>
          <w:p>
            <w:pPr>
              <w:spacing w:after="0" w:before="0"/>
            </w:pPr>
            <w:r>
              <w:rPr>
                <w:rFonts w:ascii="Arial" w:hAnsi="Arial"/>
                <w:sz w:val="17"/>
              </w:rPr>
            </w:r>
            <w:r>
              <w:rPr>
                <w:rFonts w:ascii="Arial" w:hAnsi="Arial"/>
                <w:b w:val="0"/>
                <w:sz w:val="17"/>
              </w:rPr>
              <w:t>Ranking técnico-financeiro integrado, custo de terraplenagem e estacionamento, cenários de VGV/margem e análise de inviabilidade.</w:t>
            </w:r>
          </w:p>
        </w:tc>
      </w:tr>
      <w:tr>
        <w:trPr>
          <w:cantSplit/>
          <w:cantSplit/>
        </w:trPr>
        <w:tc>
          <w:tcPr>
            <w:tcW w:type="dxa" w:w="1512"/>
            <w:vAlign w:val="center"/>
          </w:tcPr>
          <w:p>
            <w:pPr>
              <w:spacing w:after="0" w:before="0"/>
            </w:pPr>
            <w:r>
              <w:rPr>
                <w:rFonts w:ascii="Arial" w:hAnsi="Arial"/>
                <w:sz w:val="17"/>
              </w:rPr>
            </w:r>
            <w:r>
              <w:rPr>
                <w:rFonts w:ascii="Arial" w:hAnsi="Arial"/>
                <w:b w:val="0"/>
                <w:sz w:val="17"/>
              </w:rPr>
              <w:t>Autodesk Forma</w:t>
            </w:r>
          </w:p>
        </w:tc>
        <w:tc>
          <w:tcPr>
            <w:tcW w:type="dxa" w:w="3672"/>
            <w:vAlign w:val="center"/>
          </w:tcPr>
          <w:p>
            <w:pPr>
              <w:spacing w:after="0" w:before="0"/>
            </w:pPr>
            <w:r>
              <w:rPr>
                <w:rFonts w:ascii="Arial" w:hAnsi="Arial"/>
                <w:sz w:val="17"/>
              </w:rPr>
            </w:r>
            <w:r>
              <w:rPr>
                <w:rFonts w:ascii="Arial" w:hAnsi="Arial"/>
                <w:b w:val="0"/>
                <w:sz w:val="17"/>
              </w:rPr>
              <w:t>Site Automation, massa 3D, habitação, estacionamento, unidades/floor plans e análises de sol, daylight, vento, ruído, microclima, energia e carbono.</w:t>
            </w:r>
          </w:p>
        </w:tc>
        <w:tc>
          <w:tcPr>
            <w:tcW w:type="dxa" w:w="4320"/>
            <w:vAlign w:val="center"/>
          </w:tcPr>
          <w:p>
            <w:pPr>
              <w:spacing w:after="0" w:before="0"/>
            </w:pPr>
            <w:r>
              <w:rPr>
                <w:rFonts w:ascii="Arial" w:hAnsi="Arial"/>
                <w:sz w:val="17"/>
              </w:rPr>
            </w:r>
            <w:r>
              <w:rPr>
                <w:rFonts w:ascii="Arial" w:hAnsi="Arial"/>
                <w:b w:val="0"/>
                <w:sz w:val="17"/>
              </w:rPr>
              <w:t>Adicionar performance ambiental em tempo quase real e permitir lock/regenerate de partes da solução.</w:t>
            </w:r>
          </w:p>
        </w:tc>
      </w:tr>
      <w:tr>
        <w:trPr>
          <w:cantSplit/>
          <w:cantSplit/>
        </w:trPr>
        <w:tc>
          <w:tcPr>
            <w:tcW w:type="dxa" w:w="1512"/>
            <w:vAlign w:val="center"/>
          </w:tcPr>
          <w:p>
            <w:pPr>
              <w:spacing w:after="0" w:before="0"/>
            </w:pPr>
            <w:r>
              <w:rPr>
                <w:rFonts w:ascii="Arial" w:hAnsi="Arial"/>
                <w:sz w:val="17"/>
              </w:rPr>
            </w:r>
            <w:r>
              <w:rPr>
                <w:rFonts w:ascii="Arial" w:hAnsi="Arial"/>
                <w:b w:val="0"/>
                <w:sz w:val="17"/>
              </w:rPr>
              <w:t>Finch</w:t>
            </w:r>
          </w:p>
        </w:tc>
        <w:tc>
          <w:tcPr>
            <w:tcW w:type="dxa" w:w="3672"/>
            <w:vAlign w:val="center"/>
          </w:tcPr>
          <w:p>
            <w:pPr>
              <w:spacing w:after="0" w:before="0"/>
            </w:pPr>
            <w:r>
              <w:rPr>
                <w:rFonts w:ascii="Arial" w:hAnsi="Arial"/>
                <w:sz w:val="17"/>
              </w:rPr>
            </w:r>
            <w:r>
              <w:rPr>
                <w:rFonts w:ascii="Arial" w:hAnsi="Arial"/>
                <w:b w:val="0"/>
                <w:sz w:val="17"/>
              </w:rPr>
              <w:t>Design systems, plan library, unit mix, corredores, escadas/núcleos, geração de plantas, regras e exportação para BIM.</w:t>
            </w:r>
          </w:p>
        </w:tc>
        <w:tc>
          <w:tcPr>
            <w:tcW w:type="dxa" w:w="4320"/>
            <w:vAlign w:val="center"/>
          </w:tcPr>
          <w:p>
            <w:pPr>
              <w:spacing w:after="0" w:before="0"/>
            </w:pPr>
            <w:r>
              <w:rPr>
                <w:rFonts w:ascii="Arial" w:hAnsi="Arial"/>
                <w:sz w:val="17"/>
              </w:rPr>
            </w:r>
            <w:r>
              <w:rPr>
                <w:rFonts w:ascii="Arial" w:hAnsi="Arial"/>
                <w:b w:val="0"/>
                <w:sz w:val="17"/>
              </w:rPr>
              <w:t>Criar Design DNA por empresa e geração hierárquica massa → floor plate → unit mix → unit plan → BIM.</w:t>
            </w:r>
          </w:p>
        </w:tc>
      </w:tr>
      <w:tr>
        <w:trPr>
          <w:cantSplit/>
          <w:cantSplit/>
        </w:trPr>
        <w:tc>
          <w:tcPr>
            <w:tcW w:type="dxa" w:w="1512"/>
            <w:vAlign w:val="center"/>
          </w:tcPr>
          <w:p>
            <w:pPr>
              <w:spacing w:after="0" w:before="0"/>
            </w:pPr>
            <w:r>
              <w:rPr>
                <w:rFonts w:ascii="Arial" w:hAnsi="Arial"/>
                <w:sz w:val="17"/>
              </w:rPr>
            </w:r>
            <w:r>
              <w:rPr>
                <w:rFonts w:ascii="Arial" w:hAnsi="Arial"/>
                <w:b w:val="0"/>
                <w:sz w:val="17"/>
              </w:rPr>
              <w:t>Maket</w:t>
            </w:r>
          </w:p>
        </w:tc>
        <w:tc>
          <w:tcPr>
            <w:tcW w:type="dxa" w:w="3672"/>
            <w:vAlign w:val="center"/>
          </w:tcPr>
          <w:p>
            <w:pPr>
              <w:spacing w:after="0" w:before="0"/>
            </w:pPr>
            <w:r>
              <w:rPr>
                <w:rFonts w:ascii="Arial" w:hAnsi="Arial"/>
                <w:sz w:val="17"/>
              </w:rPr>
            </w:r>
            <w:r>
              <w:rPr>
                <w:rFonts w:ascii="Arial" w:hAnsi="Arial"/>
                <w:b w:val="0"/>
                <w:sz w:val="17"/>
              </w:rPr>
              <w:t>Geração e edição de plantas residenciais por linguagem natural; upload/reconhecimento de planta e visualização 3D.</w:t>
            </w:r>
          </w:p>
        </w:tc>
        <w:tc>
          <w:tcPr>
            <w:tcW w:type="dxa" w:w="4320"/>
            <w:vAlign w:val="center"/>
          </w:tcPr>
          <w:p>
            <w:pPr>
              <w:spacing w:after="0" w:before="0"/>
            </w:pPr>
            <w:r>
              <w:rPr>
                <w:rFonts w:ascii="Arial" w:hAnsi="Arial"/>
                <w:sz w:val="17"/>
              </w:rPr>
            </w:r>
            <w:r>
              <w:rPr>
                <w:rFonts w:ascii="Arial" w:hAnsi="Arial"/>
                <w:b w:val="0"/>
                <w:sz w:val="17"/>
              </w:rPr>
              <w:t>Usar chat para alterar restrições e geometria (“adicione suíte”, “aumente sala 15%”), sempre com validação geométrica e normativa.</w:t>
            </w:r>
          </w:p>
        </w:tc>
      </w:tr>
      <w:tr>
        <w:trPr>
          <w:cantSplit/>
          <w:cantSplit/>
        </w:trPr>
        <w:tc>
          <w:tcPr>
            <w:tcW w:type="dxa" w:w="1512"/>
            <w:vAlign w:val="center"/>
          </w:tcPr>
          <w:p>
            <w:pPr>
              <w:spacing w:after="0" w:before="0"/>
            </w:pPr>
            <w:r>
              <w:rPr>
                <w:rFonts w:ascii="Arial" w:hAnsi="Arial"/>
                <w:sz w:val="17"/>
              </w:rPr>
            </w:r>
            <w:r>
              <w:rPr>
                <w:rFonts w:ascii="Arial" w:hAnsi="Arial"/>
                <w:b w:val="0"/>
                <w:sz w:val="17"/>
              </w:rPr>
              <w:t>Archistar</w:t>
            </w:r>
          </w:p>
        </w:tc>
        <w:tc>
          <w:tcPr>
            <w:tcW w:type="dxa" w:w="3672"/>
            <w:vAlign w:val="center"/>
          </w:tcPr>
          <w:p>
            <w:pPr>
              <w:spacing w:after="0" w:before="0"/>
            </w:pPr>
            <w:r>
              <w:rPr>
                <w:rFonts w:ascii="Arial" w:hAnsi="Arial"/>
                <w:sz w:val="17"/>
              </w:rPr>
            </w:r>
            <w:r>
              <w:rPr>
                <w:rFonts w:ascii="Arial" w:hAnsi="Arial"/>
                <w:b w:val="0"/>
                <w:sz w:val="17"/>
              </w:rPr>
              <w:t>Dados de planejamento, análise do imóvel e potencial de desenvolvimento por API.</w:t>
            </w:r>
          </w:p>
        </w:tc>
        <w:tc>
          <w:tcPr>
            <w:tcW w:type="dxa" w:w="4320"/>
            <w:vAlign w:val="center"/>
          </w:tcPr>
          <w:p>
            <w:pPr>
              <w:spacing w:after="0" w:before="0"/>
            </w:pPr>
            <w:r>
              <w:rPr>
                <w:rFonts w:ascii="Arial" w:hAnsi="Arial"/>
                <w:sz w:val="17"/>
              </w:rPr>
            </w:r>
            <w:r>
              <w:rPr>
                <w:rFonts w:ascii="Arial" w:hAnsi="Arial"/>
                <w:b w:val="0"/>
                <w:sz w:val="17"/>
              </w:rPr>
              <w:t>Conectar a geração ao Parcel Resolver e à base nacional do LoteDiretor, com evidência de cada parâmetro aplicado.</w:t>
            </w:r>
          </w:p>
        </w:tc>
      </w:tr>
    </w:tbl>
    <w:p>
      <w:pPr>
        <w:spacing w:after="100"/>
      </w:pPr>
      <w:r>
        <w:rPr>
          <w:i w:val="0"/>
        </w:rPr>
        <w:t>A Arqgen declara publicamente um fluxo de importação DWG/KMZ, leitura topográfica, identificação de APP/declividade, aplicação de zoneamento, gabaritos, recuos e coeficientes, geração de múltiplos cenários e integração com terraplenagem, viário e vagas [R66]. Suas atualizações públicas também descrevem algoritmos regulares/irregulares de posicionamento de torres, fórmulas para afastamentos, definição de pavimentos/unidades, circulação vertical, áreas computáveis, garagem automática, formatos de torre e exploração de variações a partir de uma solução [R67][R68].</w:t>
      </w:r>
    </w:p>
    <w:p>
      <w:pPr>
        <w:pStyle w:val="Heading2"/>
        <w:keepNext/>
      </w:pPr>
      <w:r>
        <w:t>28.2 Posição do A.I TEC dentro da plataforma</w:t>
      </w:r>
    </w:p>
    <w:p>
      <w:pPr>
        <w:spacing w:after="100"/>
      </w:pPr>
      <w:r>
        <w:rPr>
          <w:i w:val="0"/>
        </w:rPr>
        <w:t>O módulo deve funcionar como o “motor de síntese espacial” de todos os módulos anteriores:</w:t>
      </w:r>
    </w:p>
    <w:p>
      <w:pPr>
        <w:pStyle w:val="ListBullet"/>
        <w:spacing w:after="40"/>
      </w:pPr>
      <w:r>
        <w:t>LoteDiretor entrega legislação, zoneamento, lote, restrições urbanísticas, infraestrutura e evidências.</w:t>
      </w:r>
    </w:p>
    <w:p>
      <w:pPr>
        <w:pStyle w:val="ListBullet"/>
        <w:spacing w:after="40"/>
      </w:pPr>
      <w:r>
        <w:t>Imóvel 360 entrega ativo, mercado, empreendimentos comparáveis, produto imobiliário, preços, absorção e CRM.</w:t>
      </w:r>
    </w:p>
    <w:p>
      <w:pPr>
        <w:pStyle w:val="ListBullet"/>
        <w:spacing w:after="40"/>
      </w:pPr>
      <w:r>
        <w:t>RE Rural entrega APP, CAR/SIGEF/INCRA, embargos, PRODES, servidões e condicionantes de território rural.</w:t>
      </w:r>
    </w:p>
    <w:p>
      <w:pPr>
        <w:pStyle w:val="ListBullet"/>
        <w:spacing w:after="40"/>
      </w:pPr>
      <w:r>
        <w:t>Condomínio entrega convenção, regimento e decisões que podem limitar intervenções em condomínios existentes.</w:t>
      </w:r>
    </w:p>
    <w:p>
      <w:pPr>
        <w:pStyle w:val="ListBullet"/>
        <w:spacing w:after="40"/>
      </w:pPr>
      <w:r>
        <w:t>Energia Solar entrega insolação, sombra, potencial fotovoltaico e orientação das superfícies.</w:t>
      </w:r>
    </w:p>
    <w:p>
      <w:pPr>
        <w:pStyle w:val="ListBullet"/>
        <w:spacing w:after="40"/>
      </w:pPr>
      <w:r>
        <w:t>A.I TEC converte essas informações em espaço: envelope, implantação, massa, pavimento, unidade, circulação, estacionamento e alternativas.</w:t>
      </w:r>
    </w:p>
    <w:p>
      <w:pPr>
        <w:pStyle w:val="Heading2"/>
        <w:keepNext/>
      </w:pPr>
      <w:r>
        <w:t>28.3 Tipos de projeto que o módulo deve suportar</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cantSplit/>
        </w:trPr>
        <w:tc>
          <w:tcPr>
            <w:tcW w:type="dxa" w:w="1800"/>
            <w:vAlign w:val="center"/>
            <w:shd w:fill="D9EAF7"/>
          </w:tcPr>
          <w:p>
            <w:pPr>
              <w:spacing w:after="0" w:before="0"/>
            </w:pPr>
            <w:r>
              <w:rPr>
                <w:rFonts w:ascii="Arial" w:hAnsi="Arial"/>
                <w:sz w:val="17"/>
              </w:rPr>
            </w:r>
            <w:r>
              <w:rPr>
                <w:rFonts w:ascii="Arial" w:hAnsi="Arial"/>
                <w:b/>
                <w:sz w:val="17"/>
              </w:rPr>
              <w:t>Família</w:t>
            </w:r>
          </w:p>
        </w:tc>
        <w:tc>
          <w:tcPr>
            <w:tcW w:type="dxa" w:w="3528"/>
            <w:vAlign w:val="center"/>
            <w:shd w:fill="D9EAF7"/>
          </w:tcPr>
          <w:p>
            <w:pPr>
              <w:spacing w:after="0" w:before="0"/>
            </w:pPr>
            <w:r>
              <w:rPr>
                <w:rFonts w:ascii="Arial" w:hAnsi="Arial"/>
                <w:sz w:val="17"/>
              </w:rPr>
            </w:r>
            <w:r>
              <w:rPr>
                <w:rFonts w:ascii="Arial" w:hAnsi="Arial"/>
                <w:b/>
                <w:sz w:val="17"/>
              </w:rPr>
              <w:t>Exemplos</w:t>
            </w:r>
          </w:p>
        </w:tc>
        <w:tc>
          <w:tcPr>
            <w:tcW w:type="dxa" w:w="4176"/>
            <w:vAlign w:val="center"/>
            <w:shd w:fill="D9EAF7"/>
          </w:tcPr>
          <w:p>
            <w:pPr>
              <w:spacing w:after="0" w:before="0"/>
            </w:pPr>
            <w:r>
              <w:rPr>
                <w:rFonts w:ascii="Arial" w:hAnsi="Arial"/>
                <w:sz w:val="17"/>
              </w:rPr>
            </w:r>
            <w:r>
              <w:rPr>
                <w:rFonts w:ascii="Arial" w:hAnsi="Arial"/>
                <w:b/>
                <w:sz w:val="17"/>
              </w:rPr>
              <w:t>Escala gerativa</w:t>
            </w:r>
          </w:p>
        </w:tc>
      </w:tr>
      <w:tr>
        <w:trPr>
          <w:cantSplit/>
          <w:cantSplit/>
        </w:trPr>
        <w:tc>
          <w:tcPr>
            <w:tcW w:type="dxa" w:w="1800"/>
            <w:vAlign w:val="center"/>
          </w:tcPr>
          <w:p>
            <w:pPr>
              <w:spacing w:after="0" w:before="0"/>
            </w:pPr>
            <w:r>
              <w:rPr>
                <w:rFonts w:ascii="Arial" w:hAnsi="Arial"/>
                <w:sz w:val="17"/>
              </w:rPr>
            </w:r>
            <w:r>
              <w:rPr>
                <w:rFonts w:ascii="Arial" w:hAnsi="Arial"/>
                <w:b w:val="0"/>
                <w:sz w:val="17"/>
              </w:rPr>
              <w:t>Residencial vertical</w:t>
            </w:r>
          </w:p>
        </w:tc>
        <w:tc>
          <w:tcPr>
            <w:tcW w:type="dxa" w:w="3528"/>
            <w:vAlign w:val="center"/>
          </w:tcPr>
          <w:p>
            <w:pPr>
              <w:spacing w:after="0" w:before="0"/>
            </w:pPr>
            <w:r>
              <w:rPr>
                <w:rFonts w:ascii="Arial" w:hAnsi="Arial"/>
                <w:sz w:val="17"/>
              </w:rPr>
            </w:r>
            <w:r>
              <w:rPr>
                <w:rFonts w:ascii="Arial" w:hAnsi="Arial"/>
                <w:b w:val="0"/>
                <w:sz w:val="17"/>
              </w:rPr>
              <w:t>multifamiliar, HIS/HMP, médio/alto padrão, studio, mixed unit mix</w:t>
            </w:r>
          </w:p>
        </w:tc>
        <w:tc>
          <w:tcPr>
            <w:tcW w:type="dxa" w:w="4176"/>
            <w:vAlign w:val="center"/>
          </w:tcPr>
          <w:p>
            <w:pPr>
              <w:spacing w:after="0" w:before="0"/>
            </w:pPr>
            <w:r>
              <w:rPr>
                <w:rFonts w:ascii="Arial" w:hAnsi="Arial"/>
                <w:sz w:val="17"/>
              </w:rPr>
            </w:r>
            <w:r>
              <w:rPr>
                <w:rFonts w:ascii="Arial" w:hAnsi="Arial"/>
                <w:b w:val="0"/>
                <w:sz w:val="17"/>
              </w:rPr>
              <w:t>terreno → torres → núcleos → pavimentos → unidades → ambientes</w:t>
            </w:r>
          </w:p>
        </w:tc>
      </w:tr>
      <w:tr>
        <w:trPr>
          <w:cantSplit/>
          <w:cantSplit/>
        </w:trPr>
        <w:tc>
          <w:tcPr>
            <w:tcW w:type="dxa" w:w="1800"/>
            <w:vAlign w:val="center"/>
          </w:tcPr>
          <w:p>
            <w:pPr>
              <w:spacing w:after="0" w:before="0"/>
            </w:pPr>
            <w:r>
              <w:rPr>
                <w:rFonts w:ascii="Arial" w:hAnsi="Arial"/>
                <w:sz w:val="17"/>
              </w:rPr>
            </w:r>
            <w:r>
              <w:rPr>
                <w:rFonts w:ascii="Arial" w:hAnsi="Arial"/>
                <w:b w:val="0"/>
                <w:sz w:val="17"/>
              </w:rPr>
              <w:t>Residencial horizontal</w:t>
            </w:r>
          </w:p>
        </w:tc>
        <w:tc>
          <w:tcPr>
            <w:tcW w:type="dxa" w:w="3528"/>
            <w:vAlign w:val="center"/>
          </w:tcPr>
          <w:p>
            <w:pPr>
              <w:spacing w:after="0" w:before="0"/>
            </w:pPr>
            <w:r>
              <w:rPr>
                <w:rFonts w:ascii="Arial" w:hAnsi="Arial"/>
                <w:sz w:val="17"/>
              </w:rPr>
            </w:r>
            <w:r>
              <w:rPr>
                <w:rFonts w:ascii="Arial" w:hAnsi="Arial"/>
                <w:b w:val="0"/>
                <w:sz w:val="17"/>
              </w:rPr>
              <w:t>condomínio de casas, townhouses, vilas, loteamentos</w:t>
            </w:r>
          </w:p>
        </w:tc>
        <w:tc>
          <w:tcPr>
            <w:tcW w:type="dxa" w:w="4176"/>
            <w:vAlign w:val="center"/>
          </w:tcPr>
          <w:p>
            <w:pPr>
              <w:spacing w:after="0" w:before="0"/>
            </w:pPr>
            <w:r>
              <w:rPr>
                <w:rFonts w:ascii="Arial" w:hAnsi="Arial"/>
                <w:sz w:val="17"/>
              </w:rPr>
            </w:r>
            <w:r>
              <w:rPr>
                <w:rFonts w:ascii="Arial" w:hAnsi="Arial"/>
                <w:b w:val="0"/>
                <w:sz w:val="17"/>
              </w:rPr>
              <w:t>gleba → viário → lotes/unidades → casas → lazer → estacionamento</w:t>
            </w:r>
          </w:p>
        </w:tc>
      </w:tr>
      <w:tr>
        <w:trPr>
          <w:cantSplit/>
          <w:cantSplit/>
        </w:trPr>
        <w:tc>
          <w:tcPr>
            <w:tcW w:type="dxa" w:w="1800"/>
            <w:vAlign w:val="center"/>
          </w:tcPr>
          <w:p>
            <w:pPr>
              <w:spacing w:after="0" w:before="0"/>
            </w:pPr>
            <w:r>
              <w:rPr>
                <w:rFonts w:ascii="Arial" w:hAnsi="Arial"/>
                <w:sz w:val="17"/>
              </w:rPr>
            </w:r>
            <w:r>
              <w:rPr>
                <w:rFonts w:ascii="Arial" w:hAnsi="Arial"/>
                <w:b w:val="0"/>
                <w:sz w:val="17"/>
              </w:rPr>
              <w:t>Casa unifamiliar</w:t>
            </w:r>
          </w:p>
        </w:tc>
        <w:tc>
          <w:tcPr>
            <w:tcW w:type="dxa" w:w="3528"/>
            <w:vAlign w:val="center"/>
          </w:tcPr>
          <w:p>
            <w:pPr>
              <w:spacing w:after="0" w:before="0"/>
            </w:pPr>
            <w:r>
              <w:rPr>
                <w:rFonts w:ascii="Arial" w:hAnsi="Arial"/>
                <w:sz w:val="17"/>
              </w:rPr>
            </w:r>
            <w:r>
              <w:rPr>
                <w:rFonts w:ascii="Arial" w:hAnsi="Arial"/>
                <w:b w:val="0"/>
                <w:sz w:val="17"/>
              </w:rPr>
              <w:t>casa térrea, sobrado, residência de campo</w:t>
            </w:r>
          </w:p>
        </w:tc>
        <w:tc>
          <w:tcPr>
            <w:tcW w:type="dxa" w:w="4176"/>
            <w:vAlign w:val="center"/>
          </w:tcPr>
          <w:p>
            <w:pPr>
              <w:spacing w:after="0" w:before="0"/>
            </w:pPr>
            <w:r>
              <w:rPr>
                <w:rFonts w:ascii="Arial" w:hAnsi="Arial"/>
                <w:sz w:val="17"/>
              </w:rPr>
            </w:r>
            <w:r>
              <w:rPr>
                <w:rFonts w:ascii="Arial" w:hAnsi="Arial"/>
                <w:b w:val="0"/>
                <w:sz w:val="17"/>
              </w:rPr>
              <w:t>lote → implantação → pavimentos → ambientes → aberturas/mobiliário conceitual</w:t>
            </w:r>
          </w:p>
        </w:tc>
      </w:tr>
      <w:tr>
        <w:trPr>
          <w:cantSplit/>
          <w:cantSplit/>
        </w:trPr>
        <w:tc>
          <w:tcPr>
            <w:tcW w:type="dxa" w:w="1800"/>
            <w:vAlign w:val="center"/>
          </w:tcPr>
          <w:p>
            <w:pPr>
              <w:spacing w:after="0" w:before="0"/>
            </w:pPr>
            <w:r>
              <w:rPr>
                <w:rFonts w:ascii="Arial" w:hAnsi="Arial"/>
                <w:sz w:val="17"/>
              </w:rPr>
            </w:r>
            <w:r>
              <w:rPr>
                <w:rFonts w:ascii="Arial" w:hAnsi="Arial"/>
                <w:b w:val="0"/>
                <w:sz w:val="17"/>
              </w:rPr>
              <w:t>Uso misto</w:t>
            </w:r>
          </w:p>
        </w:tc>
        <w:tc>
          <w:tcPr>
            <w:tcW w:type="dxa" w:w="3528"/>
            <w:vAlign w:val="center"/>
          </w:tcPr>
          <w:p>
            <w:pPr>
              <w:spacing w:after="0" w:before="0"/>
            </w:pPr>
            <w:r>
              <w:rPr>
                <w:rFonts w:ascii="Arial" w:hAnsi="Arial"/>
                <w:sz w:val="17"/>
              </w:rPr>
            </w:r>
            <w:r>
              <w:rPr>
                <w:rFonts w:ascii="Arial" w:hAnsi="Arial"/>
                <w:b w:val="0"/>
                <w:sz w:val="17"/>
              </w:rPr>
              <w:t>residencial + varejo + serviços + estacionamento</w:t>
            </w:r>
          </w:p>
        </w:tc>
        <w:tc>
          <w:tcPr>
            <w:tcW w:type="dxa" w:w="4176"/>
            <w:vAlign w:val="center"/>
          </w:tcPr>
          <w:p>
            <w:pPr>
              <w:spacing w:after="0" w:before="0"/>
            </w:pPr>
            <w:r>
              <w:rPr>
                <w:rFonts w:ascii="Arial" w:hAnsi="Arial"/>
                <w:sz w:val="17"/>
              </w:rPr>
            </w:r>
            <w:r>
              <w:rPr>
                <w:rFonts w:ascii="Arial" w:hAnsi="Arial"/>
                <w:b w:val="0"/>
                <w:sz w:val="17"/>
              </w:rPr>
              <w:t>setorização → acessos → massas → pavimentos → programas</w:t>
            </w:r>
          </w:p>
        </w:tc>
      </w:tr>
      <w:tr>
        <w:trPr>
          <w:cantSplit/>
          <w:cantSplit/>
        </w:trPr>
        <w:tc>
          <w:tcPr>
            <w:tcW w:type="dxa" w:w="1800"/>
            <w:vAlign w:val="center"/>
          </w:tcPr>
          <w:p>
            <w:pPr>
              <w:spacing w:after="0" w:before="0"/>
            </w:pPr>
            <w:r>
              <w:rPr>
                <w:rFonts w:ascii="Arial" w:hAnsi="Arial"/>
                <w:sz w:val="17"/>
              </w:rPr>
            </w:r>
            <w:r>
              <w:rPr>
                <w:rFonts w:ascii="Arial" w:hAnsi="Arial"/>
                <w:b w:val="0"/>
                <w:sz w:val="17"/>
              </w:rPr>
              <w:t>Comercial/hotel</w:t>
            </w:r>
          </w:p>
        </w:tc>
        <w:tc>
          <w:tcPr>
            <w:tcW w:type="dxa" w:w="3528"/>
            <w:vAlign w:val="center"/>
          </w:tcPr>
          <w:p>
            <w:pPr>
              <w:spacing w:after="0" w:before="0"/>
            </w:pPr>
            <w:r>
              <w:rPr>
                <w:rFonts w:ascii="Arial" w:hAnsi="Arial"/>
                <w:sz w:val="17"/>
              </w:rPr>
            </w:r>
            <w:r>
              <w:rPr>
                <w:rFonts w:ascii="Arial" w:hAnsi="Arial"/>
                <w:b w:val="0"/>
                <w:sz w:val="17"/>
              </w:rPr>
              <w:t>hotel, office, consultórios, retail</w:t>
            </w:r>
          </w:p>
        </w:tc>
        <w:tc>
          <w:tcPr>
            <w:tcW w:type="dxa" w:w="4176"/>
            <w:vAlign w:val="center"/>
          </w:tcPr>
          <w:p>
            <w:pPr>
              <w:spacing w:after="0" w:before="0"/>
            </w:pPr>
            <w:r>
              <w:rPr>
                <w:rFonts w:ascii="Arial" w:hAnsi="Arial"/>
                <w:sz w:val="17"/>
              </w:rPr>
            </w:r>
            <w:r>
              <w:rPr>
                <w:rFonts w:ascii="Arial" w:hAnsi="Arial"/>
                <w:b w:val="0"/>
                <w:sz w:val="17"/>
              </w:rPr>
              <w:t>massa → cores → repetição modular → quartos/salas → back-of-house</w:t>
            </w:r>
          </w:p>
        </w:tc>
      </w:tr>
      <w:tr>
        <w:trPr>
          <w:cantSplit/>
          <w:cantSplit/>
        </w:trPr>
        <w:tc>
          <w:tcPr>
            <w:tcW w:type="dxa" w:w="1800"/>
            <w:vAlign w:val="center"/>
          </w:tcPr>
          <w:p>
            <w:pPr>
              <w:spacing w:after="0" w:before="0"/>
            </w:pPr>
            <w:r>
              <w:rPr>
                <w:rFonts w:ascii="Arial" w:hAnsi="Arial"/>
                <w:sz w:val="17"/>
              </w:rPr>
            </w:r>
            <w:r>
              <w:rPr>
                <w:rFonts w:ascii="Arial" w:hAnsi="Arial"/>
                <w:b w:val="0"/>
                <w:sz w:val="17"/>
              </w:rPr>
              <w:t>Industrial/logístico</w:t>
            </w:r>
          </w:p>
        </w:tc>
        <w:tc>
          <w:tcPr>
            <w:tcW w:type="dxa" w:w="3528"/>
            <w:vAlign w:val="center"/>
          </w:tcPr>
          <w:p>
            <w:pPr>
              <w:spacing w:after="0" w:before="0"/>
            </w:pPr>
            <w:r>
              <w:rPr>
                <w:rFonts w:ascii="Arial" w:hAnsi="Arial"/>
                <w:sz w:val="17"/>
              </w:rPr>
            </w:r>
            <w:r>
              <w:rPr>
                <w:rFonts w:ascii="Arial" w:hAnsi="Arial"/>
                <w:b w:val="0"/>
                <w:sz w:val="17"/>
              </w:rPr>
              <w:t>galpão, data center, centro logístico</w:t>
            </w:r>
          </w:p>
        </w:tc>
        <w:tc>
          <w:tcPr>
            <w:tcW w:type="dxa" w:w="4176"/>
            <w:vAlign w:val="center"/>
          </w:tcPr>
          <w:p>
            <w:pPr>
              <w:spacing w:after="0" w:before="0"/>
            </w:pPr>
            <w:r>
              <w:rPr>
                <w:rFonts w:ascii="Arial" w:hAnsi="Arial"/>
                <w:sz w:val="17"/>
              </w:rPr>
            </w:r>
            <w:r>
              <w:rPr>
                <w:rFonts w:ascii="Arial" w:hAnsi="Arial"/>
                <w:b w:val="0"/>
                <w:sz w:val="17"/>
              </w:rPr>
              <w:t>platô → docas → pátio → galpão → módulos → utilidades</w:t>
            </w:r>
          </w:p>
        </w:tc>
      </w:tr>
      <w:tr>
        <w:trPr>
          <w:cantSplit/>
          <w:cantSplit/>
        </w:trPr>
        <w:tc>
          <w:tcPr>
            <w:tcW w:type="dxa" w:w="1800"/>
            <w:vAlign w:val="center"/>
          </w:tcPr>
          <w:p>
            <w:pPr>
              <w:spacing w:after="0" w:before="0"/>
            </w:pPr>
            <w:r>
              <w:rPr>
                <w:rFonts w:ascii="Arial" w:hAnsi="Arial"/>
                <w:sz w:val="17"/>
              </w:rPr>
            </w:r>
            <w:r>
              <w:rPr>
                <w:rFonts w:ascii="Arial" w:hAnsi="Arial"/>
                <w:b w:val="0"/>
                <w:sz w:val="17"/>
              </w:rPr>
              <w:t>Urbanização de grande área</w:t>
            </w:r>
          </w:p>
        </w:tc>
        <w:tc>
          <w:tcPr>
            <w:tcW w:type="dxa" w:w="3528"/>
            <w:vAlign w:val="center"/>
          </w:tcPr>
          <w:p>
            <w:pPr>
              <w:spacing w:after="0" w:before="0"/>
            </w:pPr>
            <w:r>
              <w:rPr>
                <w:rFonts w:ascii="Arial" w:hAnsi="Arial"/>
                <w:sz w:val="17"/>
              </w:rPr>
            </w:r>
            <w:r>
              <w:rPr>
                <w:rFonts w:ascii="Arial" w:hAnsi="Arial"/>
                <w:b w:val="0"/>
                <w:sz w:val="17"/>
              </w:rPr>
              <w:t>masterplan, bairro planejado, parcelamento</w:t>
            </w:r>
          </w:p>
        </w:tc>
        <w:tc>
          <w:tcPr>
            <w:tcW w:type="dxa" w:w="4176"/>
            <w:vAlign w:val="center"/>
          </w:tcPr>
          <w:p>
            <w:pPr>
              <w:spacing w:after="0" w:before="0"/>
            </w:pPr>
            <w:r>
              <w:rPr>
                <w:rFonts w:ascii="Arial" w:hAnsi="Arial"/>
                <w:sz w:val="17"/>
              </w:rPr>
            </w:r>
            <w:r>
              <w:rPr>
                <w:rFonts w:ascii="Arial" w:hAnsi="Arial"/>
                <w:b w:val="0"/>
                <w:sz w:val="17"/>
              </w:rPr>
              <w:t>macroviário → quadras → lotes → usos → fases → equipamentos</w:t>
            </w:r>
          </w:p>
        </w:tc>
      </w:tr>
      <w:tr>
        <w:trPr>
          <w:cantSplit/>
          <w:cantSplit/>
        </w:trPr>
        <w:tc>
          <w:tcPr>
            <w:tcW w:type="dxa" w:w="1800"/>
            <w:vAlign w:val="center"/>
          </w:tcPr>
          <w:p>
            <w:pPr>
              <w:spacing w:after="0" w:before="0"/>
            </w:pPr>
            <w:r>
              <w:rPr>
                <w:rFonts w:ascii="Arial" w:hAnsi="Arial"/>
                <w:sz w:val="17"/>
              </w:rPr>
            </w:r>
            <w:r>
              <w:rPr>
                <w:rFonts w:ascii="Arial" w:hAnsi="Arial"/>
                <w:b w:val="0"/>
                <w:sz w:val="17"/>
              </w:rPr>
              <w:t>Retrofit/expansão</w:t>
            </w:r>
          </w:p>
        </w:tc>
        <w:tc>
          <w:tcPr>
            <w:tcW w:type="dxa" w:w="3528"/>
            <w:vAlign w:val="center"/>
          </w:tcPr>
          <w:p>
            <w:pPr>
              <w:spacing w:after="0" w:before="0"/>
            </w:pPr>
            <w:r>
              <w:rPr>
                <w:rFonts w:ascii="Arial" w:hAnsi="Arial"/>
                <w:sz w:val="17"/>
              </w:rPr>
            </w:r>
            <w:r>
              <w:rPr>
                <w:rFonts w:ascii="Arial" w:hAnsi="Arial"/>
                <w:b w:val="0"/>
                <w:sz w:val="17"/>
              </w:rPr>
              <w:t>edificação existente com ampliação/reconfiguração</w:t>
            </w:r>
          </w:p>
        </w:tc>
        <w:tc>
          <w:tcPr>
            <w:tcW w:type="dxa" w:w="4176"/>
            <w:vAlign w:val="center"/>
          </w:tcPr>
          <w:p>
            <w:pPr>
              <w:spacing w:after="0" w:before="0"/>
            </w:pPr>
            <w:r>
              <w:rPr>
                <w:rFonts w:ascii="Arial" w:hAnsi="Arial"/>
                <w:sz w:val="17"/>
              </w:rPr>
            </w:r>
            <w:r>
              <w:rPr>
                <w:rFonts w:ascii="Arial" w:hAnsi="Arial"/>
                <w:b w:val="0"/>
                <w:sz w:val="17"/>
              </w:rPr>
              <w:t>modelo existente → áreas preservadas → novas massas → reorganização interna</w:t>
            </w:r>
          </w:p>
        </w:tc>
      </w:tr>
    </w:tbl>
    <w:p>
      <w:pPr>
        <w:pStyle w:val="Heading2"/>
        <w:keepNext/>
      </w:pPr>
      <w:r>
        <w:t>28.4 Entradas: arquivos, desenho, endereço e linguagem natural</w:t>
      </w:r>
    </w:p>
    <w:p>
      <w:pPr>
        <w:spacing w:after="100"/>
      </w:pPr>
      <w:r>
        <w:rPr>
          <w:i w:val="0"/>
        </w:rPr>
        <w:t>O usuário deve poder iniciar um estudo de qualquer uma das seguintes formas:</w:t>
      </w:r>
    </w:p>
    <w:p>
      <w:pPr>
        <w:pStyle w:val="ListBullet"/>
        <w:spacing w:after="40"/>
      </w:pPr>
      <w:r>
        <w:t>KMZ/KML com perímetro, polígonos, pontos, linhas, platôs ou referências.</w:t>
      </w:r>
    </w:p>
    <w:p>
      <w:pPr>
        <w:pStyle w:val="ListBullet"/>
        <w:spacing w:after="40"/>
      </w:pPr>
      <w:r>
        <w:t>GeoJSON, SHP/ZIP, GPKG e outros formatos GIS suportados por GDAL/OGR.</w:t>
      </w:r>
    </w:p>
    <w:p>
      <w:pPr>
        <w:pStyle w:val="ListBullet"/>
        <w:spacing w:after="40"/>
      </w:pPr>
      <w:r>
        <w:t>DXF e DWG; DXF pode ser processado nativamente e DWG deve usar biblioteca/conversor devidamente licenciado.</w:t>
      </w:r>
    </w:p>
    <w:p>
      <w:pPr>
        <w:pStyle w:val="ListBullet"/>
        <w:spacing w:after="40"/>
      </w:pPr>
      <w:r>
        <w:t>IFC para terreno/edificação existente; RVT por integração autorizada/export intermediário, não por parser informal.</w:t>
      </w:r>
    </w:p>
    <w:p>
      <w:pPr>
        <w:pStyle w:val="ListBullet"/>
        <w:spacing w:after="40"/>
      </w:pPr>
      <w:r>
        <w:t>PDF/JPG/PNG de levantamento ou planta, com reconhecimento assistido e calibração de escala.</w:t>
      </w:r>
    </w:p>
    <w:p>
      <w:pPr>
        <w:pStyle w:val="ListBullet"/>
        <w:spacing w:after="40"/>
      </w:pPr>
      <w:r>
        <w:t>Coordenada, endereço, CIB, inscrição cadastral ou identificação do lote no Imóvel 360/LoteDiretor.</w:t>
      </w:r>
    </w:p>
    <w:p>
      <w:pPr>
        <w:pStyle w:val="ListBullet"/>
        <w:spacing w:after="40"/>
      </w:pPr>
      <w:r>
        <w:t>Desenho manual do perímetro no mapa.</w:t>
      </w:r>
    </w:p>
    <w:p>
      <w:pPr>
        <w:pStyle w:val="ListBullet"/>
        <w:spacing w:after="40"/>
      </w:pPr>
      <w:r>
        <w:t>Prompt: “terreno de 8.200 m²; quero condomínio com 3 quartos, 2 vagas por casa e 25% de lazer”.</w:t>
      </w:r>
    </w:p>
    <w:p>
      <w:pPr>
        <w:spacing w:after="100"/>
      </w:pPr>
      <w:r>
        <w:rPr>
          <w:i w:val="0"/>
        </w:rPr>
        <w:t>O arquivo importado nunca deve ser considerado correto sem validação. O sistema precisa detectar CRS, unidades, orientação, polígono aberto, auto-interseção, duplicidades, geometrias multipartes, buracos, linhas desconectadas e diferença entre área geométrica, área de matrícula e área cadastral.</w:t>
      </w:r>
    </w:p>
    <w:p>
      <w:pPr>
        <w:pStyle w:val="Heading2"/>
        <w:keepNext/>
      </w:pPr>
      <w:r>
        <w:t>28.5 Terrain &amp; Parcel Resolver</w:t>
      </w:r>
    </w:p>
    <w:p>
      <w:pPr>
        <w:spacing w:after="100"/>
      </w:pPr>
      <w:r>
        <w:rPr>
          <w:i w:val="0"/>
        </w:rPr>
        <w:t>Após a entrada, o A.I TEC executa um pipeline geoespacial determinístico:</w:t>
      </w:r>
    </w:p>
    <w:p>
      <w:pPr>
        <w:pStyle w:val="ListNumber"/>
        <w:spacing w:after="40"/>
      </w:pPr>
      <w:r>
        <w:t>Identificar sistema de referência e transformar para um CRS métrico apropriado.</w:t>
      </w:r>
    </w:p>
    <w:p>
      <w:pPr>
        <w:pStyle w:val="ListNumber"/>
        <w:spacing w:after="40"/>
      </w:pPr>
      <w:r>
        <w:t>Reparar geometria e classificar limites, divisas, frentes, fundos, servidões, vias e áreas internas.</w:t>
      </w:r>
    </w:p>
    <w:p>
      <w:pPr>
        <w:pStyle w:val="ListNumber"/>
        <w:spacing w:after="40"/>
      </w:pPr>
      <w:r>
        <w:t>Cruzar com Parcel Resolver do LoteDiretor para confirmar município, lote fiscal/cadastral e sobreposições.</w:t>
      </w:r>
    </w:p>
    <w:p>
      <w:pPr>
        <w:pStyle w:val="ListNumber"/>
        <w:spacing w:after="40"/>
      </w:pPr>
      <w:r>
        <w:t>Carregar relevo: levantamento topográfico do usuário tem prioridade; depois LiDAR/MDT municipal/estadual; depois DEM nacional/global com nível de confiança explícito.</w:t>
      </w:r>
    </w:p>
    <w:p>
      <w:pPr>
        <w:pStyle w:val="ListNumber"/>
        <w:spacing w:after="40"/>
      </w:pPr>
      <w:r>
        <w:t>Gerar TIN/grade de elevação, curvas de nível, declividade, orientação e mapa de movimentação potencial de terra.</w:t>
      </w:r>
    </w:p>
    <w:p>
      <w:pPr>
        <w:pStyle w:val="ListNumber"/>
        <w:spacing w:after="40"/>
      </w:pPr>
      <w:r>
        <w:t>Classificar áreas impossíveis, caras, condicionadas e favoráveis à implantação.</w:t>
      </w:r>
    </w:p>
    <w:p>
      <w:pPr>
        <w:pStyle w:val="ListNumber"/>
        <w:spacing w:after="40"/>
      </w:pPr>
      <w:r>
        <w:t>Registrar todas as versões de geometria e as transformações aplicadas.</w:t>
      </w:r>
    </w:p>
    <w:p>
      <w:pPr>
        <w:pStyle w:val="Heading2"/>
        <w:keepNext/>
      </w:pPr>
      <w:r>
        <w:t>28.6 Envelope edificável juridicamente explicável</w:t>
      </w:r>
    </w:p>
    <w:p>
      <w:pPr>
        <w:spacing w:after="100"/>
      </w:pPr>
      <w:r>
        <w:rPr>
          <w:i w:val="0"/>
        </w:rPr>
        <w:t>Antes de qualquer “IA”, o sistema precisa construir o envelope legal. Cada operação geométrica deve manter vínculo com a regra que a originou. Exemplo: o offset de 5 m não é apenas uma linha; é um objeto restriction_boundary com rule_id, lei, artigo, vigência, município, confiança e fórmula.</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cantSplit/>
        </w:trPr>
        <w:tc>
          <w:tcPr>
            <w:tcW w:type="dxa" w:w="2232"/>
            <w:vAlign w:val="center"/>
            <w:shd w:fill="D9EAF7"/>
          </w:tcPr>
          <w:p>
            <w:pPr>
              <w:spacing w:after="0" w:before="0"/>
            </w:pPr>
            <w:r>
              <w:rPr>
                <w:rFonts w:ascii="Arial" w:hAnsi="Arial"/>
                <w:sz w:val="17"/>
              </w:rPr>
            </w:r>
            <w:r>
              <w:rPr>
                <w:rFonts w:ascii="Arial" w:hAnsi="Arial"/>
                <w:b/>
                <w:sz w:val="17"/>
              </w:rPr>
              <w:t>Restrição</w:t>
            </w:r>
          </w:p>
        </w:tc>
        <w:tc>
          <w:tcPr>
            <w:tcW w:type="dxa" w:w="4032"/>
            <w:vAlign w:val="center"/>
            <w:shd w:fill="D9EAF7"/>
          </w:tcPr>
          <w:p>
            <w:pPr>
              <w:spacing w:after="0" w:before="0"/>
            </w:pPr>
            <w:r>
              <w:rPr>
                <w:rFonts w:ascii="Arial" w:hAnsi="Arial"/>
                <w:sz w:val="17"/>
              </w:rPr>
            </w:r>
            <w:r>
              <w:rPr>
                <w:rFonts w:ascii="Arial" w:hAnsi="Arial"/>
                <w:b/>
                <w:sz w:val="17"/>
              </w:rPr>
              <w:t>Tratamento geométrico</w:t>
            </w:r>
          </w:p>
        </w:tc>
        <w:tc>
          <w:tcPr>
            <w:tcW w:type="dxa" w:w="3240"/>
            <w:vAlign w:val="center"/>
            <w:shd w:fill="D9EAF7"/>
          </w:tcPr>
          <w:p>
            <w:pPr>
              <w:spacing w:after="0" w:before="0"/>
            </w:pPr>
            <w:r>
              <w:rPr>
                <w:rFonts w:ascii="Arial" w:hAnsi="Arial"/>
                <w:sz w:val="17"/>
              </w:rPr>
            </w:r>
            <w:r>
              <w:rPr>
                <w:rFonts w:ascii="Arial" w:hAnsi="Arial"/>
                <w:b/>
                <w:sz w:val="17"/>
              </w:rPr>
              <w:t>Origem</w:t>
            </w:r>
          </w:p>
        </w:tc>
      </w:tr>
      <w:tr>
        <w:trPr>
          <w:cantSplit/>
          <w:cantSplit/>
        </w:trPr>
        <w:tc>
          <w:tcPr>
            <w:tcW w:type="dxa" w:w="2232"/>
            <w:vAlign w:val="center"/>
          </w:tcPr>
          <w:p>
            <w:pPr>
              <w:spacing w:after="0" w:before="0"/>
            </w:pPr>
            <w:r>
              <w:rPr>
                <w:rFonts w:ascii="Arial" w:hAnsi="Arial"/>
                <w:sz w:val="17"/>
              </w:rPr>
            </w:r>
            <w:r>
              <w:rPr>
                <w:rFonts w:ascii="Arial" w:hAnsi="Arial"/>
                <w:b w:val="0"/>
                <w:sz w:val="17"/>
              </w:rPr>
              <w:t>Recuo frontal/lateral/fundos</w:t>
            </w:r>
          </w:p>
        </w:tc>
        <w:tc>
          <w:tcPr>
            <w:tcW w:type="dxa" w:w="4032"/>
            <w:vAlign w:val="center"/>
          </w:tcPr>
          <w:p>
            <w:pPr>
              <w:spacing w:after="0" w:before="0"/>
            </w:pPr>
            <w:r>
              <w:rPr>
                <w:rFonts w:ascii="Arial" w:hAnsi="Arial"/>
                <w:sz w:val="17"/>
              </w:rPr>
            </w:r>
            <w:r>
              <w:rPr>
                <w:rFonts w:ascii="Arial" w:hAnsi="Arial"/>
                <w:b w:val="0"/>
                <w:sz w:val="17"/>
              </w:rPr>
              <w:t>offset parametrizado por frente/divisa e, quando necessário, por altura/fórmula</w:t>
            </w:r>
          </w:p>
        </w:tc>
        <w:tc>
          <w:tcPr>
            <w:tcW w:type="dxa" w:w="3240"/>
            <w:vAlign w:val="center"/>
          </w:tcPr>
          <w:p>
            <w:pPr>
              <w:spacing w:after="0" w:before="0"/>
            </w:pPr>
            <w:r>
              <w:rPr>
                <w:rFonts w:ascii="Arial" w:hAnsi="Arial"/>
                <w:sz w:val="17"/>
              </w:rPr>
            </w:r>
            <w:r>
              <w:rPr>
                <w:rFonts w:ascii="Arial" w:hAnsi="Arial"/>
                <w:b w:val="0"/>
                <w:sz w:val="17"/>
              </w:rPr>
              <w:t>LoteDiretor + regra municipal</w:t>
            </w:r>
          </w:p>
        </w:tc>
      </w:tr>
      <w:tr>
        <w:trPr>
          <w:cantSplit/>
          <w:cantSplit/>
        </w:trPr>
        <w:tc>
          <w:tcPr>
            <w:tcW w:type="dxa" w:w="2232"/>
            <w:vAlign w:val="center"/>
          </w:tcPr>
          <w:p>
            <w:pPr>
              <w:spacing w:after="0" w:before="0"/>
            </w:pPr>
            <w:r>
              <w:rPr>
                <w:rFonts w:ascii="Arial" w:hAnsi="Arial"/>
                <w:sz w:val="17"/>
              </w:rPr>
            </w:r>
            <w:r>
              <w:rPr>
                <w:rFonts w:ascii="Arial" w:hAnsi="Arial"/>
                <w:b w:val="0"/>
                <w:sz w:val="17"/>
              </w:rPr>
              <w:t>CA / FAR</w:t>
            </w:r>
          </w:p>
        </w:tc>
        <w:tc>
          <w:tcPr>
            <w:tcW w:type="dxa" w:w="4032"/>
            <w:vAlign w:val="center"/>
          </w:tcPr>
          <w:p>
            <w:pPr>
              <w:spacing w:after="0" w:before="0"/>
            </w:pPr>
            <w:r>
              <w:rPr>
                <w:rFonts w:ascii="Arial" w:hAnsi="Arial"/>
                <w:sz w:val="17"/>
              </w:rPr>
            </w:r>
            <w:r>
              <w:rPr>
                <w:rFonts w:ascii="Arial" w:hAnsi="Arial"/>
                <w:b w:val="0"/>
                <w:sz w:val="17"/>
              </w:rPr>
              <w:t>limite global de área computável e regras de computabilidade</w:t>
            </w:r>
          </w:p>
        </w:tc>
        <w:tc>
          <w:tcPr>
            <w:tcW w:type="dxa" w:w="3240"/>
            <w:vAlign w:val="center"/>
          </w:tcPr>
          <w:p>
            <w:pPr>
              <w:spacing w:after="0" w:before="0"/>
            </w:pPr>
            <w:r>
              <w:rPr>
                <w:rFonts w:ascii="Arial" w:hAnsi="Arial"/>
                <w:sz w:val="17"/>
              </w:rPr>
            </w:r>
            <w:r>
              <w:rPr>
                <w:rFonts w:ascii="Arial" w:hAnsi="Arial"/>
                <w:b w:val="0"/>
                <w:sz w:val="17"/>
              </w:rPr>
              <w:t>zoneamento / operação urbana / incentivos</w:t>
            </w:r>
          </w:p>
        </w:tc>
      </w:tr>
      <w:tr>
        <w:trPr>
          <w:cantSplit/>
          <w:cantSplit/>
        </w:trPr>
        <w:tc>
          <w:tcPr>
            <w:tcW w:type="dxa" w:w="2232"/>
            <w:vAlign w:val="center"/>
          </w:tcPr>
          <w:p>
            <w:pPr>
              <w:spacing w:after="0" w:before="0"/>
            </w:pPr>
            <w:r>
              <w:rPr>
                <w:rFonts w:ascii="Arial" w:hAnsi="Arial"/>
                <w:sz w:val="17"/>
              </w:rPr>
            </w:r>
            <w:r>
              <w:rPr>
                <w:rFonts w:ascii="Arial" w:hAnsi="Arial"/>
                <w:b w:val="0"/>
                <w:sz w:val="17"/>
              </w:rPr>
              <w:t>Taxa de ocupação</w:t>
            </w:r>
          </w:p>
        </w:tc>
        <w:tc>
          <w:tcPr>
            <w:tcW w:type="dxa" w:w="4032"/>
            <w:vAlign w:val="center"/>
          </w:tcPr>
          <w:p>
            <w:pPr>
              <w:spacing w:after="0" w:before="0"/>
            </w:pPr>
            <w:r>
              <w:rPr>
                <w:rFonts w:ascii="Arial" w:hAnsi="Arial"/>
                <w:sz w:val="17"/>
              </w:rPr>
            </w:r>
            <w:r>
              <w:rPr>
                <w:rFonts w:ascii="Arial" w:hAnsi="Arial"/>
                <w:b w:val="0"/>
                <w:sz w:val="17"/>
              </w:rPr>
              <w:t>limite da projeção construída</w:t>
            </w:r>
          </w:p>
        </w:tc>
        <w:tc>
          <w:tcPr>
            <w:tcW w:type="dxa" w:w="3240"/>
            <w:vAlign w:val="center"/>
          </w:tcPr>
          <w:p>
            <w:pPr>
              <w:spacing w:after="0" w:before="0"/>
            </w:pPr>
            <w:r>
              <w:rPr>
                <w:rFonts w:ascii="Arial" w:hAnsi="Arial"/>
                <w:sz w:val="17"/>
              </w:rPr>
            </w:r>
            <w:r>
              <w:rPr>
                <w:rFonts w:ascii="Arial" w:hAnsi="Arial"/>
                <w:b w:val="0"/>
                <w:sz w:val="17"/>
              </w:rPr>
              <w:t>uso e ocupação do solo</w:t>
            </w:r>
          </w:p>
        </w:tc>
      </w:tr>
      <w:tr>
        <w:trPr>
          <w:cantSplit/>
          <w:cantSplit/>
        </w:trPr>
        <w:tc>
          <w:tcPr>
            <w:tcW w:type="dxa" w:w="2232"/>
            <w:vAlign w:val="center"/>
          </w:tcPr>
          <w:p>
            <w:pPr>
              <w:spacing w:after="0" w:before="0"/>
            </w:pPr>
            <w:r>
              <w:rPr>
                <w:rFonts w:ascii="Arial" w:hAnsi="Arial"/>
                <w:sz w:val="17"/>
              </w:rPr>
            </w:r>
            <w:r>
              <w:rPr>
                <w:rFonts w:ascii="Arial" w:hAnsi="Arial"/>
                <w:b w:val="0"/>
                <w:sz w:val="17"/>
              </w:rPr>
              <w:t>Permeabilidade</w:t>
            </w:r>
          </w:p>
        </w:tc>
        <w:tc>
          <w:tcPr>
            <w:tcW w:type="dxa" w:w="4032"/>
            <w:vAlign w:val="center"/>
          </w:tcPr>
          <w:p>
            <w:pPr>
              <w:spacing w:after="0" w:before="0"/>
            </w:pPr>
            <w:r>
              <w:rPr>
                <w:rFonts w:ascii="Arial" w:hAnsi="Arial"/>
                <w:sz w:val="17"/>
              </w:rPr>
            </w:r>
            <w:r>
              <w:rPr>
                <w:rFonts w:ascii="Arial" w:hAnsi="Arial"/>
                <w:b w:val="0"/>
                <w:sz w:val="17"/>
              </w:rPr>
              <w:t>área mínima livre/permeável; pode ser objetivo e restrição</w:t>
            </w:r>
          </w:p>
        </w:tc>
        <w:tc>
          <w:tcPr>
            <w:tcW w:type="dxa" w:w="3240"/>
            <w:vAlign w:val="center"/>
          </w:tcPr>
          <w:p>
            <w:pPr>
              <w:spacing w:after="0" w:before="0"/>
            </w:pPr>
            <w:r>
              <w:rPr>
                <w:rFonts w:ascii="Arial" w:hAnsi="Arial"/>
                <w:sz w:val="17"/>
              </w:rPr>
            </w:r>
            <w:r>
              <w:rPr>
                <w:rFonts w:ascii="Arial" w:hAnsi="Arial"/>
                <w:b w:val="0"/>
                <w:sz w:val="17"/>
              </w:rPr>
              <w:t>legislação e projeto</w:t>
            </w:r>
          </w:p>
        </w:tc>
      </w:tr>
      <w:tr>
        <w:trPr>
          <w:cantSplit/>
          <w:cantSplit/>
        </w:trPr>
        <w:tc>
          <w:tcPr>
            <w:tcW w:type="dxa" w:w="2232"/>
            <w:vAlign w:val="center"/>
          </w:tcPr>
          <w:p>
            <w:pPr>
              <w:spacing w:after="0" w:before="0"/>
            </w:pPr>
            <w:r>
              <w:rPr>
                <w:rFonts w:ascii="Arial" w:hAnsi="Arial"/>
                <w:sz w:val="17"/>
              </w:rPr>
            </w:r>
            <w:r>
              <w:rPr>
                <w:rFonts w:ascii="Arial" w:hAnsi="Arial"/>
                <w:b w:val="0"/>
                <w:sz w:val="17"/>
              </w:rPr>
              <w:t>Gabarito/altura</w:t>
            </w:r>
          </w:p>
        </w:tc>
        <w:tc>
          <w:tcPr>
            <w:tcW w:type="dxa" w:w="4032"/>
            <w:vAlign w:val="center"/>
          </w:tcPr>
          <w:p>
            <w:pPr>
              <w:spacing w:after="0" w:before="0"/>
            </w:pPr>
            <w:r>
              <w:rPr>
                <w:rFonts w:ascii="Arial" w:hAnsi="Arial"/>
                <w:sz w:val="17"/>
              </w:rPr>
            </w:r>
            <w:r>
              <w:rPr>
                <w:rFonts w:ascii="Arial" w:hAnsi="Arial"/>
                <w:b w:val="0"/>
                <w:sz w:val="17"/>
              </w:rPr>
              <w:t>envelope vertical variável por zona, faixa, aeródromo ou patrimônio</w:t>
            </w:r>
          </w:p>
        </w:tc>
        <w:tc>
          <w:tcPr>
            <w:tcW w:type="dxa" w:w="3240"/>
            <w:vAlign w:val="center"/>
          </w:tcPr>
          <w:p>
            <w:pPr>
              <w:spacing w:after="0" w:before="0"/>
            </w:pPr>
            <w:r>
              <w:rPr>
                <w:rFonts w:ascii="Arial" w:hAnsi="Arial"/>
                <w:sz w:val="17"/>
              </w:rPr>
            </w:r>
            <w:r>
              <w:rPr>
                <w:rFonts w:ascii="Arial" w:hAnsi="Arial"/>
                <w:b w:val="0"/>
                <w:sz w:val="17"/>
              </w:rPr>
              <w:t>município + restrições superpostas</w:t>
            </w:r>
          </w:p>
        </w:tc>
      </w:tr>
      <w:tr>
        <w:trPr>
          <w:cantSplit/>
          <w:cantSplit/>
        </w:trPr>
        <w:tc>
          <w:tcPr>
            <w:tcW w:type="dxa" w:w="2232"/>
            <w:vAlign w:val="center"/>
          </w:tcPr>
          <w:p>
            <w:pPr>
              <w:spacing w:after="0" w:before="0"/>
            </w:pPr>
            <w:r>
              <w:rPr>
                <w:rFonts w:ascii="Arial" w:hAnsi="Arial"/>
                <w:sz w:val="17"/>
              </w:rPr>
            </w:r>
            <w:r>
              <w:rPr>
                <w:rFonts w:ascii="Arial" w:hAnsi="Arial"/>
                <w:b w:val="0"/>
                <w:sz w:val="17"/>
              </w:rPr>
              <w:t>APP/servidão/risco</w:t>
            </w:r>
          </w:p>
        </w:tc>
        <w:tc>
          <w:tcPr>
            <w:tcW w:type="dxa" w:w="4032"/>
            <w:vAlign w:val="center"/>
          </w:tcPr>
          <w:p>
            <w:pPr>
              <w:spacing w:after="0" w:before="0"/>
            </w:pPr>
            <w:r>
              <w:rPr>
                <w:rFonts w:ascii="Arial" w:hAnsi="Arial"/>
                <w:sz w:val="17"/>
              </w:rPr>
            </w:r>
            <w:r>
              <w:rPr>
                <w:rFonts w:ascii="Arial" w:hAnsi="Arial"/>
                <w:b w:val="0"/>
                <w:sz w:val="17"/>
              </w:rPr>
              <w:t>máscara de exclusão ou faixa condicionada</w:t>
            </w:r>
          </w:p>
        </w:tc>
        <w:tc>
          <w:tcPr>
            <w:tcW w:type="dxa" w:w="3240"/>
            <w:vAlign w:val="center"/>
          </w:tcPr>
          <w:p>
            <w:pPr>
              <w:spacing w:after="0" w:before="0"/>
            </w:pPr>
            <w:r>
              <w:rPr>
                <w:rFonts w:ascii="Arial" w:hAnsi="Arial"/>
                <w:sz w:val="17"/>
              </w:rPr>
            </w:r>
            <w:r>
              <w:rPr>
                <w:rFonts w:ascii="Arial" w:hAnsi="Arial"/>
                <w:b w:val="0"/>
                <w:sz w:val="17"/>
              </w:rPr>
              <w:t>RE Rural / órgãos / concessionárias</w:t>
            </w:r>
          </w:p>
        </w:tc>
      </w:tr>
      <w:tr>
        <w:trPr>
          <w:cantSplit/>
          <w:cantSplit/>
        </w:trPr>
        <w:tc>
          <w:tcPr>
            <w:tcW w:type="dxa" w:w="2232"/>
            <w:vAlign w:val="center"/>
          </w:tcPr>
          <w:p>
            <w:pPr>
              <w:spacing w:after="0" w:before="0"/>
            </w:pPr>
            <w:r>
              <w:rPr>
                <w:rFonts w:ascii="Arial" w:hAnsi="Arial"/>
                <w:sz w:val="17"/>
              </w:rPr>
            </w:r>
            <w:r>
              <w:rPr>
                <w:rFonts w:ascii="Arial" w:hAnsi="Arial"/>
                <w:b w:val="0"/>
                <w:sz w:val="17"/>
              </w:rPr>
              <w:t>Ventilação/iluminação</w:t>
            </w:r>
          </w:p>
        </w:tc>
        <w:tc>
          <w:tcPr>
            <w:tcW w:type="dxa" w:w="4032"/>
            <w:vAlign w:val="center"/>
          </w:tcPr>
          <w:p>
            <w:pPr>
              <w:spacing w:after="0" w:before="0"/>
            </w:pPr>
            <w:r>
              <w:rPr>
                <w:rFonts w:ascii="Arial" w:hAnsi="Arial"/>
                <w:sz w:val="17"/>
              </w:rPr>
            </w:r>
            <w:r>
              <w:rPr>
                <w:rFonts w:ascii="Arial" w:hAnsi="Arial"/>
                <w:b w:val="0"/>
                <w:sz w:val="17"/>
              </w:rPr>
              <w:t>distâncias entre faces/torres ou funções parametrizadas</w:t>
            </w:r>
          </w:p>
        </w:tc>
        <w:tc>
          <w:tcPr>
            <w:tcW w:type="dxa" w:w="3240"/>
            <w:vAlign w:val="center"/>
          </w:tcPr>
          <w:p>
            <w:pPr>
              <w:spacing w:after="0" w:before="0"/>
            </w:pPr>
            <w:r>
              <w:rPr>
                <w:rFonts w:ascii="Arial" w:hAnsi="Arial"/>
                <w:sz w:val="17"/>
              </w:rPr>
            </w:r>
            <w:r>
              <w:rPr>
                <w:rFonts w:ascii="Arial" w:hAnsi="Arial"/>
                <w:b w:val="0"/>
                <w:sz w:val="17"/>
              </w:rPr>
              <w:t>código local + padrões do cliente</w:t>
            </w:r>
          </w:p>
        </w:tc>
      </w:tr>
      <w:tr>
        <w:trPr>
          <w:cantSplit/>
          <w:cantSplit/>
        </w:trPr>
        <w:tc>
          <w:tcPr>
            <w:tcW w:type="dxa" w:w="2232"/>
            <w:vAlign w:val="center"/>
          </w:tcPr>
          <w:p>
            <w:pPr>
              <w:spacing w:after="0" w:before="0"/>
            </w:pPr>
            <w:r>
              <w:rPr>
                <w:rFonts w:ascii="Arial" w:hAnsi="Arial"/>
                <w:sz w:val="17"/>
              </w:rPr>
            </w:r>
            <w:r>
              <w:rPr>
                <w:rFonts w:ascii="Arial" w:hAnsi="Arial"/>
                <w:b w:val="0"/>
                <w:sz w:val="17"/>
              </w:rPr>
              <w:t>Condomínio existente</w:t>
            </w:r>
          </w:p>
        </w:tc>
        <w:tc>
          <w:tcPr>
            <w:tcW w:type="dxa" w:w="4032"/>
            <w:vAlign w:val="center"/>
          </w:tcPr>
          <w:p>
            <w:pPr>
              <w:spacing w:after="0" w:before="0"/>
            </w:pPr>
            <w:r>
              <w:rPr>
                <w:rFonts w:ascii="Arial" w:hAnsi="Arial"/>
                <w:sz w:val="17"/>
              </w:rPr>
            </w:r>
            <w:r>
              <w:rPr>
                <w:rFonts w:ascii="Arial" w:hAnsi="Arial"/>
                <w:b w:val="0"/>
                <w:sz w:val="17"/>
              </w:rPr>
              <w:t>máscaras, áreas comuns, fachada e autorizações</w:t>
            </w:r>
          </w:p>
        </w:tc>
        <w:tc>
          <w:tcPr>
            <w:tcW w:type="dxa" w:w="3240"/>
            <w:vAlign w:val="center"/>
          </w:tcPr>
          <w:p>
            <w:pPr>
              <w:spacing w:after="0" w:before="0"/>
            </w:pPr>
            <w:r>
              <w:rPr>
                <w:rFonts w:ascii="Arial" w:hAnsi="Arial"/>
                <w:sz w:val="17"/>
              </w:rPr>
            </w:r>
            <w:r>
              <w:rPr>
                <w:rFonts w:ascii="Arial" w:hAnsi="Arial"/>
                <w:b w:val="0"/>
                <w:sz w:val="17"/>
              </w:rPr>
              <w:t>módulo Condomínio</w:t>
            </w:r>
          </w:p>
        </w:tc>
      </w:tr>
    </w:tbl>
    <w:p>
      <w:pPr>
        <w:pStyle w:val="Heading2"/>
        <w:keepNext/>
      </w:pPr>
      <w:r>
        <w:t>28.7 Programa de necessidades guiado</w:t>
      </w:r>
    </w:p>
    <w:p>
      <w:pPr>
        <w:spacing w:after="100"/>
      </w:pPr>
      <w:r>
        <w:rPr>
          <w:i w:val="0"/>
        </w:rPr>
        <w:t>O usuário deve configurar o “Programa Arquitetônico” por formulário e/ou chat. O sistema propõe defaults, mas tudo fica editável e versionado.</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1800"/>
            <w:vAlign w:val="center"/>
            <w:shd w:fill="D9EAF7"/>
          </w:tcPr>
          <w:p>
            <w:pPr>
              <w:spacing w:after="0" w:before="0"/>
            </w:pPr>
            <w:r>
              <w:rPr>
                <w:rFonts w:ascii="Arial" w:hAnsi="Arial"/>
                <w:sz w:val="17"/>
              </w:rPr>
            </w:r>
            <w:r>
              <w:rPr>
                <w:rFonts w:ascii="Arial" w:hAnsi="Arial"/>
                <w:b/>
                <w:sz w:val="17"/>
              </w:rPr>
              <w:t>Grupo</w:t>
            </w:r>
          </w:p>
        </w:tc>
        <w:tc>
          <w:tcPr>
            <w:tcW w:type="dxa" w:w="7704"/>
            <w:vAlign w:val="center"/>
            <w:shd w:fill="D9EAF7"/>
          </w:tcPr>
          <w:p>
            <w:pPr>
              <w:spacing w:after="0" w:before="0"/>
            </w:pPr>
            <w:r>
              <w:rPr>
                <w:rFonts w:ascii="Arial" w:hAnsi="Arial"/>
                <w:sz w:val="17"/>
              </w:rPr>
            </w:r>
            <w:r>
              <w:rPr>
                <w:rFonts w:ascii="Arial" w:hAnsi="Arial"/>
                <w:b/>
                <w:sz w:val="17"/>
              </w:rPr>
              <w:t>Parâmetros principais</w:t>
            </w:r>
          </w:p>
        </w:tc>
      </w:tr>
      <w:tr>
        <w:trPr>
          <w:cantSplit/>
          <w:cantSplit/>
        </w:trPr>
        <w:tc>
          <w:tcPr>
            <w:tcW w:type="dxa" w:w="1800"/>
            <w:vAlign w:val="center"/>
          </w:tcPr>
          <w:p>
            <w:pPr>
              <w:spacing w:after="0" w:before="0"/>
            </w:pPr>
            <w:r>
              <w:rPr>
                <w:rFonts w:ascii="Arial" w:hAnsi="Arial"/>
                <w:sz w:val="17"/>
              </w:rPr>
            </w:r>
            <w:r>
              <w:rPr>
                <w:rFonts w:ascii="Arial" w:hAnsi="Arial"/>
                <w:b w:val="0"/>
                <w:sz w:val="17"/>
              </w:rPr>
              <w:t>Produto</w:t>
            </w:r>
          </w:p>
        </w:tc>
        <w:tc>
          <w:tcPr>
            <w:tcW w:type="dxa" w:w="7704"/>
            <w:vAlign w:val="center"/>
          </w:tcPr>
          <w:p>
            <w:pPr>
              <w:spacing w:after="0" w:before="0"/>
            </w:pPr>
            <w:r>
              <w:rPr>
                <w:rFonts w:ascii="Arial" w:hAnsi="Arial"/>
                <w:sz w:val="17"/>
              </w:rPr>
            </w:r>
            <w:r>
              <w:rPr>
                <w:rFonts w:ascii="Arial" w:hAnsi="Arial"/>
                <w:b w:val="0"/>
                <w:sz w:val="17"/>
              </w:rPr>
              <w:t>uso, padrão, público-alvo, fases, número de blocos/torres/casas, limite de pavimentos</w:t>
            </w:r>
          </w:p>
        </w:tc>
      </w:tr>
      <w:tr>
        <w:trPr>
          <w:cantSplit/>
          <w:cantSplit/>
        </w:trPr>
        <w:tc>
          <w:tcPr>
            <w:tcW w:type="dxa" w:w="1800"/>
            <w:vAlign w:val="center"/>
          </w:tcPr>
          <w:p>
            <w:pPr>
              <w:spacing w:after="0" w:before="0"/>
            </w:pPr>
            <w:r>
              <w:rPr>
                <w:rFonts w:ascii="Arial" w:hAnsi="Arial"/>
                <w:sz w:val="17"/>
              </w:rPr>
            </w:r>
            <w:r>
              <w:rPr>
                <w:rFonts w:ascii="Arial" w:hAnsi="Arial"/>
                <w:b w:val="0"/>
                <w:sz w:val="17"/>
              </w:rPr>
              <w:t>Unit mix</w:t>
            </w:r>
          </w:p>
        </w:tc>
        <w:tc>
          <w:tcPr>
            <w:tcW w:type="dxa" w:w="7704"/>
            <w:vAlign w:val="center"/>
          </w:tcPr>
          <w:p>
            <w:pPr>
              <w:spacing w:after="0" w:before="0"/>
            </w:pPr>
            <w:r>
              <w:rPr>
                <w:rFonts w:ascii="Arial" w:hAnsi="Arial"/>
                <w:sz w:val="17"/>
              </w:rPr>
            </w:r>
            <w:r>
              <w:rPr>
                <w:rFonts w:ascii="Arial" w:hAnsi="Arial"/>
                <w:b w:val="0"/>
                <w:sz w:val="17"/>
              </w:rPr>
              <w:t>tipologias, área-alvo, faixa aceitável, percentual mínimo/máximo, varanda, vaga por unidade</w:t>
            </w:r>
          </w:p>
        </w:tc>
      </w:tr>
      <w:tr>
        <w:trPr>
          <w:cantSplit/>
          <w:cantSplit/>
        </w:trPr>
        <w:tc>
          <w:tcPr>
            <w:tcW w:type="dxa" w:w="1800"/>
            <w:vAlign w:val="center"/>
          </w:tcPr>
          <w:p>
            <w:pPr>
              <w:spacing w:after="0" w:before="0"/>
            </w:pPr>
            <w:r>
              <w:rPr>
                <w:rFonts w:ascii="Arial" w:hAnsi="Arial"/>
                <w:sz w:val="17"/>
              </w:rPr>
            </w:r>
            <w:r>
              <w:rPr>
                <w:rFonts w:ascii="Arial" w:hAnsi="Arial"/>
                <w:b w:val="0"/>
                <w:sz w:val="17"/>
              </w:rPr>
              <w:t>Garagem</w:t>
            </w:r>
          </w:p>
        </w:tc>
        <w:tc>
          <w:tcPr>
            <w:tcW w:type="dxa" w:w="7704"/>
            <w:vAlign w:val="center"/>
          </w:tcPr>
          <w:p>
            <w:pPr>
              <w:spacing w:after="0" w:before="0"/>
            </w:pPr>
            <w:r>
              <w:rPr>
                <w:rFonts w:ascii="Arial" w:hAnsi="Arial"/>
                <w:sz w:val="17"/>
              </w:rPr>
            </w:r>
            <w:r>
              <w:rPr>
                <w:rFonts w:ascii="Arial" w:hAnsi="Arial"/>
                <w:b w:val="0"/>
                <w:sz w:val="17"/>
              </w:rPr>
              <w:t>número/razão de vagas, dimensões, motos, PCD, EV, visitantes, subsolo/sobressolo, valet</w:t>
            </w:r>
          </w:p>
        </w:tc>
      </w:tr>
      <w:tr>
        <w:trPr>
          <w:cantSplit/>
          <w:cantSplit/>
        </w:trPr>
        <w:tc>
          <w:tcPr>
            <w:tcW w:type="dxa" w:w="1800"/>
            <w:vAlign w:val="center"/>
          </w:tcPr>
          <w:p>
            <w:pPr>
              <w:spacing w:after="0" w:before="0"/>
            </w:pPr>
            <w:r>
              <w:rPr>
                <w:rFonts w:ascii="Arial" w:hAnsi="Arial"/>
                <w:sz w:val="17"/>
              </w:rPr>
            </w:r>
            <w:r>
              <w:rPr>
                <w:rFonts w:ascii="Arial" w:hAnsi="Arial"/>
                <w:b w:val="0"/>
                <w:sz w:val="17"/>
              </w:rPr>
              <w:t>Áreas comuns</w:t>
            </w:r>
          </w:p>
        </w:tc>
        <w:tc>
          <w:tcPr>
            <w:tcW w:type="dxa" w:w="7704"/>
            <w:vAlign w:val="center"/>
          </w:tcPr>
          <w:p>
            <w:pPr>
              <w:spacing w:after="0" w:before="0"/>
            </w:pPr>
            <w:r>
              <w:rPr>
                <w:rFonts w:ascii="Arial" w:hAnsi="Arial"/>
                <w:sz w:val="17"/>
              </w:rPr>
            </w:r>
            <w:r>
              <w:rPr>
                <w:rFonts w:ascii="Arial" w:hAnsi="Arial"/>
                <w:b w:val="0"/>
                <w:sz w:val="17"/>
              </w:rPr>
              <w:t>lazer, piscina, salão, coworking, quadra, pet place, bicicletário, portaria, delivery</w:t>
            </w:r>
          </w:p>
        </w:tc>
      </w:tr>
      <w:tr>
        <w:trPr>
          <w:cantSplit/>
          <w:cantSplit/>
        </w:trPr>
        <w:tc>
          <w:tcPr>
            <w:tcW w:type="dxa" w:w="1800"/>
            <w:vAlign w:val="center"/>
          </w:tcPr>
          <w:p>
            <w:pPr>
              <w:spacing w:after="0" w:before="0"/>
            </w:pPr>
            <w:r>
              <w:rPr>
                <w:rFonts w:ascii="Arial" w:hAnsi="Arial"/>
                <w:sz w:val="17"/>
              </w:rPr>
            </w:r>
            <w:r>
              <w:rPr>
                <w:rFonts w:ascii="Arial" w:hAnsi="Arial"/>
                <w:b w:val="0"/>
                <w:sz w:val="17"/>
              </w:rPr>
              <w:t>Circulação</w:t>
            </w:r>
          </w:p>
        </w:tc>
        <w:tc>
          <w:tcPr>
            <w:tcW w:type="dxa" w:w="7704"/>
            <w:vAlign w:val="center"/>
          </w:tcPr>
          <w:p>
            <w:pPr>
              <w:spacing w:after="0" w:before="0"/>
            </w:pPr>
            <w:r>
              <w:rPr>
                <w:rFonts w:ascii="Arial" w:hAnsi="Arial"/>
                <w:sz w:val="17"/>
              </w:rPr>
            </w:r>
            <w:r>
              <w:rPr>
                <w:rFonts w:ascii="Arial" w:hAnsi="Arial"/>
                <w:b w:val="0"/>
                <w:sz w:val="17"/>
              </w:rPr>
              <w:t>núcleos, elevadores, escadas, corredor, shafts, rota máxima, largura e redundância</w:t>
            </w:r>
          </w:p>
        </w:tc>
      </w:tr>
      <w:tr>
        <w:trPr>
          <w:cantSplit/>
          <w:cantSplit/>
        </w:trPr>
        <w:tc>
          <w:tcPr>
            <w:tcW w:type="dxa" w:w="1800"/>
            <w:vAlign w:val="center"/>
          </w:tcPr>
          <w:p>
            <w:pPr>
              <w:spacing w:after="0" w:before="0"/>
            </w:pPr>
            <w:r>
              <w:rPr>
                <w:rFonts w:ascii="Arial" w:hAnsi="Arial"/>
                <w:sz w:val="17"/>
              </w:rPr>
            </w:r>
            <w:r>
              <w:rPr>
                <w:rFonts w:ascii="Arial" w:hAnsi="Arial"/>
                <w:b w:val="0"/>
                <w:sz w:val="17"/>
              </w:rPr>
              <w:t>Casa/unidade</w:t>
            </w:r>
          </w:p>
        </w:tc>
        <w:tc>
          <w:tcPr>
            <w:tcW w:type="dxa" w:w="7704"/>
            <w:vAlign w:val="center"/>
          </w:tcPr>
          <w:p>
            <w:pPr>
              <w:spacing w:after="0" w:before="0"/>
            </w:pPr>
            <w:r>
              <w:rPr>
                <w:rFonts w:ascii="Arial" w:hAnsi="Arial"/>
                <w:sz w:val="17"/>
              </w:rPr>
            </w:r>
            <w:r>
              <w:rPr>
                <w:rFonts w:ascii="Arial" w:hAnsi="Arial"/>
                <w:b w:val="0"/>
                <w:sz w:val="17"/>
              </w:rPr>
              <w:t>quartos, suítes, banheiros, sala, cozinha, lavanderia, home office, depósito, orientação preferida</w:t>
            </w:r>
          </w:p>
        </w:tc>
      </w:tr>
      <w:tr>
        <w:trPr>
          <w:cantSplit/>
          <w:cantSplit/>
        </w:trPr>
        <w:tc>
          <w:tcPr>
            <w:tcW w:type="dxa" w:w="1800"/>
            <w:vAlign w:val="center"/>
          </w:tcPr>
          <w:p>
            <w:pPr>
              <w:spacing w:after="0" w:before="0"/>
            </w:pPr>
            <w:r>
              <w:rPr>
                <w:rFonts w:ascii="Arial" w:hAnsi="Arial"/>
                <w:sz w:val="17"/>
              </w:rPr>
            </w:r>
            <w:r>
              <w:rPr>
                <w:rFonts w:ascii="Arial" w:hAnsi="Arial"/>
                <w:b w:val="0"/>
                <w:sz w:val="17"/>
              </w:rPr>
              <w:t>Implantação</w:t>
            </w:r>
          </w:p>
        </w:tc>
        <w:tc>
          <w:tcPr>
            <w:tcW w:type="dxa" w:w="7704"/>
            <w:vAlign w:val="center"/>
          </w:tcPr>
          <w:p>
            <w:pPr>
              <w:spacing w:after="0" w:before="0"/>
            </w:pPr>
            <w:r>
              <w:rPr>
                <w:rFonts w:ascii="Arial" w:hAnsi="Arial"/>
                <w:sz w:val="17"/>
              </w:rPr>
            </w:r>
            <w:r>
              <w:rPr>
                <w:rFonts w:ascii="Arial" w:hAnsi="Arial"/>
                <w:b w:val="0"/>
                <w:sz w:val="17"/>
              </w:rPr>
              <w:t>formatos de torre, orientação, distâncias, áreas bloqueadas, vistas prioritárias, preservações</w:t>
            </w:r>
          </w:p>
        </w:tc>
      </w:tr>
      <w:tr>
        <w:trPr>
          <w:cantSplit/>
          <w:cantSplit/>
        </w:trPr>
        <w:tc>
          <w:tcPr>
            <w:tcW w:type="dxa" w:w="1800"/>
            <w:vAlign w:val="center"/>
          </w:tcPr>
          <w:p>
            <w:pPr>
              <w:spacing w:after="0" w:before="0"/>
            </w:pPr>
            <w:r>
              <w:rPr>
                <w:rFonts w:ascii="Arial" w:hAnsi="Arial"/>
                <w:sz w:val="17"/>
              </w:rPr>
            </w:r>
            <w:r>
              <w:rPr>
                <w:rFonts w:ascii="Arial" w:hAnsi="Arial"/>
                <w:b w:val="0"/>
                <w:sz w:val="17"/>
              </w:rPr>
              <w:t>Financeiro</w:t>
            </w:r>
          </w:p>
        </w:tc>
        <w:tc>
          <w:tcPr>
            <w:tcW w:type="dxa" w:w="7704"/>
            <w:vAlign w:val="center"/>
          </w:tcPr>
          <w:p>
            <w:pPr>
              <w:spacing w:after="0" w:before="0"/>
            </w:pPr>
            <w:r>
              <w:rPr>
                <w:rFonts w:ascii="Arial" w:hAnsi="Arial"/>
                <w:sz w:val="17"/>
              </w:rPr>
            </w:r>
            <w:r>
              <w:rPr>
                <w:rFonts w:ascii="Arial" w:hAnsi="Arial"/>
                <w:b w:val="0"/>
                <w:sz w:val="17"/>
              </w:rPr>
              <w:t>custo do terreno, custo/m², custo de garagem/terraplenagem, preço de venda, meta de margem/VGV</w:t>
            </w:r>
          </w:p>
        </w:tc>
      </w:tr>
      <w:tr>
        <w:trPr>
          <w:cantSplit/>
          <w:cantSplit/>
        </w:trPr>
        <w:tc>
          <w:tcPr>
            <w:tcW w:type="dxa" w:w="1800"/>
            <w:vAlign w:val="center"/>
          </w:tcPr>
          <w:p>
            <w:pPr>
              <w:spacing w:after="0" w:before="0"/>
            </w:pPr>
            <w:r>
              <w:rPr>
                <w:rFonts w:ascii="Arial" w:hAnsi="Arial"/>
                <w:sz w:val="17"/>
              </w:rPr>
            </w:r>
            <w:r>
              <w:rPr>
                <w:rFonts w:ascii="Arial" w:hAnsi="Arial"/>
                <w:b w:val="0"/>
                <w:sz w:val="17"/>
              </w:rPr>
              <w:t>Performance</w:t>
            </w:r>
          </w:p>
        </w:tc>
        <w:tc>
          <w:tcPr>
            <w:tcW w:type="dxa" w:w="7704"/>
            <w:vAlign w:val="center"/>
          </w:tcPr>
          <w:p>
            <w:pPr>
              <w:spacing w:after="0" w:before="0"/>
            </w:pPr>
            <w:r>
              <w:rPr>
                <w:rFonts w:ascii="Arial" w:hAnsi="Arial"/>
                <w:sz w:val="17"/>
              </w:rPr>
            </w:r>
            <w:r>
              <w:rPr>
                <w:rFonts w:ascii="Arial" w:hAnsi="Arial"/>
                <w:b w:val="0"/>
                <w:sz w:val="17"/>
              </w:rPr>
              <w:t>peso para sol, daylight, ventilação, ruído, vistas, carbono, energia, permeabilidade e conforto</w:t>
            </w:r>
          </w:p>
        </w:tc>
      </w:tr>
    </w:tbl>
    <w:p>
      <w:pPr>
        <w:pStyle w:val="Heading2"/>
        <w:keepNext/>
      </w:pPr>
      <w:r>
        <w:t>28.8 Design DNA — biblioteca paramétrica por empresa</w:t>
      </w:r>
    </w:p>
    <w:p>
      <w:pPr>
        <w:spacing w:after="100"/>
      </w:pPr>
      <w:r>
        <w:rPr>
          <w:i w:val="0"/>
        </w:rPr>
        <w:t>Inspirado no conceito de design system/plan library observado em soluções como Finch, cada cliente enterprise poderá manter seu próprio “Design DNA”: tipologias aprovadas, núcleos, apartamentos, casas, garagens, portarias, áreas comuns, grids estruturais, fachadas conceituais, regras internas e indicadores-alvo [R73].</w:t>
      </w:r>
    </w:p>
    <w:p>
      <w:pPr>
        <w:pStyle w:val="ListBullet"/>
        <w:spacing w:after="40"/>
      </w:pPr>
      <w:r>
        <w:t>Cada template precisa ter versão, autoria, status aprovado/experimental e mercados em que pode ser usado.</w:t>
      </w:r>
    </w:p>
    <w:p>
      <w:pPr>
        <w:pStyle w:val="ListBullet"/>
        <w:spacing w:after="40"/>
      </w:pPr>
      <w:r>
        <w:t>Elementos podem conter dimensões rígidas, faixas paramétricas e regras de conexão.</w:t>
      </w:r>
    </w:p>
    <w:p>
      <w:pPr>
        <w:pStyle w:val="ListBullet"/>
        <w:spacing w:after="40"/>
      </w:pPr>
      <w:r>
        <w:t>O solver deve poder instanciar, espelhar, rotacionar, combinar ou rejeitar templates conforme a geometria.</w:t>
      </w:r>
    </w:p>
    <w:p>
      <w:pPr>
        <w:pStyle w:val="ListBullet"/>
        <w:spacing w:after="40"/>
      </w:pPr>
      <w:r>
        <w:t>Aprendizado do cliente só pode ocorrer sobre dados para os quais haja autorização/licença; não usar plantas de terceiros coletadas indiscriminadamente.</w:t>
      </w:r>
    </w:p>
    <w:p>
      <w:pPr>
        <w:pStyle w:val="Heading2"/>
        <w:keepNext/>
      </w:pPr>
      <w:r>
        <w:t>28.9 Restrições duras versus objetivos</w:t>
      </w:r>
    </w:p>
    <w:p>
      <w:pPr>
        <w:spacing w:after="100"/>
      </w:pPr>
      <w:r>
        <w:rPr>
          <w:i w:val="0"/>
        </w:rPr>
        <w:t>Essa separação é essencial. Restrições duras definem viabilidade: uma solução que falha é descartada. Objetivos são critérios que competem entre si e geram uma fronteira de Pareto. CP-SAT é adequado para problemas com grande espaço combinatório e restrições explícitas; o módulo pode combinar programação por restrições, MILP, algoritmos geométricos e busca heurística [R76].</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4752"/>
            <w:vAlign w:val="center"/>
            <w:shd w:fill="D9EAF7"/>
          </w:tcPr>
          <w:p>
            <w:pPr>
              <w:spacing w:after="0" w:before="0"/>
            </w:pPr>
            <w:r>
              <w:rPr>
                <w:rFonts w:ascii="Arial" w:hAnsi="Arial"/>
                <w:sz w:val="17"/>
              </w:rPr>
            </w:r>
            <w:r>
              <w:rPr>
                <w:rFonts w:ascii="Arial" w:hAnsi="Arial"/>
                <w:b/>
                <w:sz w:val="17"/>
              </w:rPr>
              <w:t>Restrições duras (exemplos)</w:t>
            </w:r>
          </w:p>
        </w:tc>
        <w:tc>
          <w:tcPr>
            <w:tcW w:type="dxa" w:w="4752"/>
            <w:vAlign w:val="center"/>
            <w:shd w:fill="D9EAF7"/>
          </w:tcPr>
          <w:p>
            <w:pPr>
              <w:spacing w:after="0" w:before="0"/>
            </w:pPr>
            <w:r>
              <w:rPr>
                <w:rFonts w:ascii="Arial" w:hAnsi="Arial"/>
                <w:sz w:val="17"/>
              </w:rPr>
            </w:r>
            <w:r>
              <w:rPr>
                <w:rFonts w:ascii="Arial" w:hAnsi="Arial"/>
                <w:b/>
                <w:sz w:val="17"/>
              </w:rPr>
              <w:t>Objetivos otimizáveis (exemplos)</w:t>
            </w:r>
          </w:p>
        </w:tc>
      </w:tr>
      <w:tr>
        <w:trPr>
          <w:cantSplit/>
          <w:cantSplit/>
        </w:trPr>
        <w:tc>
          <w:tcPr>
            <w:tcW w:type="dxa" w:w="4752"/>
            <w:vAlign w:val="center"/>
          </w:tcPr>
          <w:p>
            <w:pPr>
              <w:spacing w:after="0" w:before="0"/>
            </w:pPr>
            <w:r>
              <w:rPr>
                <w:rFonts w:ascii="Arial" w:hAnsi="Arial"/>
                <w:sz w:val="17"/>
              </w:rPr>
            </w:r>
            <w:r>
              <w:rPr>
                <w:rFonts w:ascii="Arial" w:hAnsi="Arial"/>
                <w:b w:val="0"/>
                <w:sz w:val="17"/>
              </w:rPr>
              <w:t>perímetro, recuos e áreas não edificáveis</w:t>
            </w:r>
          </w:p>
        </w:tc>
        <w:tc>
          <w:tcPr>
            <w:tcW w:type="dxa" w:w="4752"/>
            <w:vAlign w:val="center"/>
          </w:tcPr>
          <w:p>
            <w:pPr>
              <w:spacing w:after="0" w:before="0"/>
            </w:pPr>
            <w:r>
              <w:rPr>
                <w:rFonts w:ascii="Arial" w:hAnsi="Arial"/>
                <w:sz w:val="17"/>
              </w:rPr>
            </w:r>
            <w:r>
              <w:rPr>
                <w:rFonts w:ascii="Arial" w:hAnsi="Arial"/>
                <w:b w:val="0"/>
                <w:sz w:val="17"/>
              </w:rPr>
              <w:t>maximizar área privativa/vendável</w:t>
            </w:r>
          </w:p>
        </w:tc>
      </w:tr>
      <w:tr>
        <w:trPr>
          <w:cantSplit/>
          <w:cantSplit/>
        </w:trPr>
        <w:tc>
          <w:tcPr>
            <w:tcW w:type="dxa" w:w="4752"/>
            <w:vAlign w:val="center"/>
          </w:tcPr>
          <w:p>
            <w:pPr>
              <w:spacing w:after="0" w:before="0"/>
            </w:pPr>
            <w:r>
              <w:rPr>
                <w:rFonts w:ascii="Arial" w:hAnsi="Arial"/>
                <w:sz w:val="17"/>
              </w:rPr>
            </w:r>
            <w:r>
              <w:rPr>
                <w:rFonts w:ascii="Arial" w:hAnsi="Arial"/>
                <w:b w:val="0"/>
                <w:sz w:val="17"/>
              </w:rPr>
              <w:t>limites de CA, TO, permeabilidade e altura</w:t>
            </w:r>
          </w:p>
        </w:tc>
        <w:tc>
          <w:tcPr>
            <w:tcW w:type="dxa" w:w="4752"/>
            <w:vAlign w:val="center"/>
          </w:tcPr>
          <w:p>
            <w:pPr>
              <w:spacing w:after="0" w:before="0"/>
            </w:pPr>
            <w:r>
              <w:rPr>
                <w:rFonts w:ascii="Arial" w:hAnsi="Arial"/>
                <w:sz w:val="17"/>
              </w:rPr>
            </w:r>
            <w:r>
              <w:rPr>
                <w:rFonts w:ascii="Arial" w:hAnsi="Arial"/>
                <w:b w:val="0"/>
                <w:sz w:val="17"/>
              </w:rPr>
              <w:t>maximizar VGV, margem ou yield</w:t>
            </w:r>
          </w:p>
        </w:tc>
      </w:tr>
      <w:tr>
        <w:trPr>
          <w:cantSplit/>
          <w:cantSplit/>
        </w:trPr>
        <w:tc>
          <w:tcPr>
            <w:tcW w:type="dxa" w:w="4752"/>
            <w:vAlign w:val="center"/>
          </w:tcPr>
          <w:p>
            <w:pPr>
              <w:spacing w:after="0" w:before="0"/>
            </w:pPr>
            <w:r>
              <w:rPr>
                <w:rFonts w:ascii="Arial" w:hAnsi="Arial"/>
                <w:sz w:val="17"/>
              </w:rPr>
            </w:r>
            <w:r>
              <w:rPr>
                <w:rFonts w:ascii="Arial" w:hAnsi="Arial"/>
                <w:b w:val="0"/>
                <w:sz w:val="17"/>
              </w:rPr>
              <w:t>dimensões e relações mínimas definidas</w:t>
            </w:r>
          </w:p>
        </w:tc>
        <w:tc>
          <w:tcPr>
            <w:tcW w:type="dxa" w:w="4752"/>
            <w:vAlign w:val="center"/>
          </w:tcPr>
          <w:p>
            <w:pPr>
              <w:spacing w:after="0" w:before="0"/>
            </w:pPr>
            <w:r>
              <w:rPr>
                <w:rFonts w:ascii="Arial" w:hAnsi="Arial"/>
                <w:sz w:val="17"/>
              </w:rPr>
            </w:r>
            <w:r>
              <w:rPr>
                <w:rFonts w:ascii="Arial" w:hAnsi="Arial"/>
                <w:b w:val="0"/>
                <w:sz w:val="17"/>
              </w:rPr>
              <w:t>maximizar unidades dentro do mix</w:t>
            </w:r>
          </w:p>
        </w:tc>
      </w:tr>
      <w:tr>
        <w:trPr>
          <w:cantSplit/>
          <w:cantSplit/>
        </w:trPr>
        <w:tc>
          <w:tcPr>
            <w:tcW w:type="dxa" w:w="4752"/>
            <w:vAlign w:val="center"/>
          </w:tcPr>
          <w:p>
            <w:pPr>
              <w:spacing w:after="0" w:before="0"/>
            </w:pPr>
            <w:r>
              <w:rPr>
                <w:rFonts w:ascii="Arial" w:hAnsi="Arial"/>
                <w:sz w:val="17"/>
              </w:rPr>
            </w:r>
            <w:r>
              <w:rPr>
                <w:rFonts w:ascii="Arial" w:hAnsi="Arial"/>
                <w:b w:val="0"/>
                <w:sz w:val="17"/>
              </w:rPr>
              <w:t>acessos obrigatórios/servidões</w:t>
            </w:r>
          </w:p>
        </w:tc>
        <w:tc>
          <w:tcPr>
            <w:tcW w:type="dxa" w:w="4752"/>
            <w:vAlign w:val="center"/>
          </w:tcPr>
          <w:p>
            <w:pPr>
              <w:spacing w:after="0" w:before="0"/>
            </w:pPr>
            <w:r>
              <w:rPr>
                <w:rFonts w:ascii="Arial" w:hAnsi="Arial"/>
                <w:sz w:val="17"/>
              </w:rPr>
            </w:r>
            <w:r>
              <w:rPr>
                <w:rFonts w:ascii="Arial" w:hAnsi="Arial"/>
                <w:b w:val="0"/>
                <w:sz w:val="17"/>
              </w:rPr>
              <w:t>minimizar cut/fill e contenções</w:t>
            </w:r>
          </w:p>
        </w:tc>
      </w:tr>
      <w:tr>
        <w:trPr>
          <w:cantSplit/>
          <w:cantSplit/>
        </w:trPr>
        <w:tc>
          <w:tcPr>
            <w:tcW w:type="dxa" w:w="4752"/>
            <w:vAlign w:val="center"/>
          </w:tcPr>
          <w:p>
            <w:pPr>
              <w:spacing w:after="0" w:before="0"/>
            </w:pPr>
            <w:r>
              <w:rPr>
                <w:rFonts w:ascii="Arial" w:hAnsi="Arial"/>
                <w:sz w:val="17"/>
              </w:rPr>
            </w:r>
            <w:r>
              <w:rPr>
                <w:rFonts w:ascii="Arial" w:hAnsi="Arial"/>
                <w:b w:val="0"/>
                <w:sz w:val="17"/>
              </w:rPr>
              <w:t>núcleos/rotas/acessibilidade configurados</w:t>
            </w:r>
          </w:p>
        </w:tc>
        <w:tc>
          <w:tcPr>
            <w:tcW w:type="dxa" w:w="4752"/>
            <w:vAlign w:val="center"/>
          </w:tcPr>
          <w:p>
            <w:pPr>
              <w:spacing w:after="0" w:before="0"/>
            </w:pPr>
            <w:r>
              <w:rPr>
                <w:rFonts w:ascii="Arial" w:hAnsi="Arial"/>
                <w:sz w:val="17"/>
              </w:rPr>
            </w:r>
            <w:r>
              <w:rPr>
                <w:rFonts w:ascii="Arial" w:hAnsi="Arial"/>
                <w:b w:val="0"/>
                <w:sz w:val="17"/>
              </w:rPr>
              <w:t>minimizar área de circulação</w:t>
            </w:r>
          </w:p>
        </w:tc>
      </w:tr>
      <w:tr>
        <w:trPr>
          <w:cantSplit/>
          <w:cantSplit/>
        </w:trPr>
        <w:tc>
          <w:tcPr>
            <w:tcW w:type="dxa" w:w="4752"/>
            <w:vAlign w:val="center"/>
          </w:tcPr>
          <w:p>
            <w:pPr>
              <w:spacing w:after="0" w:before="0"/>
            </w:pPr>
            <w:r>
              <w:rPr>
                <w:rFonts w:ascii="Arial" w:hAnsi="Arial"/>
                <w:sz w:val="17"/>
              </w:rPr>
            </w:r>
            <w:r>
              <w:rPr>
                <w:rFonts w:ascii="Arial" w:hAnsi="Arial"/>
                <w:b w:val="0"/>
                <w:sz w:val="17"/>
              </w:rPr>
              <w:t>vaga mínima exigida ou meta inegociável</w:t>
            </w:r>
          </w:p>
        </w:tc>
        <w:tc>
          <w:tcPr>
            <w:tcW w:type="dxa" w:w="4752"/>
            <w:vAlign w:val="center"/>
          </w:tcPr>
          <w:p>
            <w:pPr>
              <w:spacing w:after="0" w:before="0"/>
            </w:pPr>
            <w:r>
              <w:rPr>
                <w:rFonts w:ascii="Arial" w:hAnsi="Arial"/>
                <w:sz w:val="17"/>
              </w:rPr>
            </w:r>
            <w:r>
              <w:rPr>
                <w:rFonts w:ascii="Arial" w:hAnsi="Arial"/>
                <w:b w:val="0"/>
                <w:sz w:val="17"/>
              </w:rPr>
              <w:t>maximizar sol/daylight/vista</w:t>
            </w:r>
          </w:p>
        </w:tc>
      </w:tr>
      <w:tr>
        <w:trPr>
          <w:cantSplit/>
          <w:cantSplit/>
        </w:trPr>
        <w:tc>
          <w:tcPr>
            <w:tcW w:type="dxa" w:w="4752"/>
            <w:vAlign w:val="center"/>
          </w:tcPr>
          <w:p>
            <w:pPr>
              <w:spacing w:after="0" w:before="0"/>
            </w:pPr>
            <w:r>
              <w:rPr>
                <w:rFonts w:ascii="Arial" w:hAnsi="Arial"/>
                <w:sz w:val="17"/>
              </w:rPr>
            </w:r>
            <w:r>
              <w:rPr>
                <w:rFonts w:ascii="Arial" w:hAnsi="Arial"/>
                <w:b w:val="0"/>
                <w:sz w:val="17"/>
              </w:rPr>
              <w:t>conflitos geométricos e sobreposições inválidas</w:t>
            </w:r>
          </w:p>
        </w:tc>
        <w:tc>
          <w:tcPr>
            <w:tcW w:type="dxa" w:w="4752"/>
            <w:vAlign w:val="center"/>
          </w:tcPr>
          <w:p>
            <w:pPr>
              <w:spacing w:after="0" w:before="0"/>
            </w:pPr>
            <w:r>
              <w:rPr>
                <w:rFonts w:ascii="Arial" w:hAnsi="Arial"/>
                <w:sz w:val="17"/>
              </w:rPr>
            </w:r>
            <w:r>
              <w:rPr>
                <w:rFonts w:ascii="Arial" w:hAnsi="Arial"/>
                <w:b w:val="0"/>
                <w:sz w:val="17"/>
              </w:rPr>
              <w:t>maximizar repetição/construtibilidade</w:t>
            </w:r>
          </w:p>
        </w:tc>
      </w:tr>
      <w:tr>
        <w:trPr>
          <w:cantSplit/>
          <w:cantSplit/>
        </w:trPr>
        <w:tc>
          <w:tcPr>
            <w:tcW w:type="dxa" w:w="4752"/>
            <w:vAlign w:val="center"/>
          </w:tcPr>
          <w:p>
            <w:pPr>
              <w:spacing w:after="0" w:before="0"/>
            </w:pPr>
            <w:r>
              <w:rPr>
                <w:rFonts w:ascii="Arial" w:hAnsi="Arial"/>
                <w:sz w:val="17"/>
              </w:rPr>
            </w:r>
            <w:r>
              <w:rPr>
                <w:rFonts w:ascii="Arial" w:hAnsi="Arial"/>
                <w:b w:val="0"/>
                <w:sz w:val="17"/>
              </w:rPr>
              <w:t>programa obrigatório do cliente</w:t>
            </w:r>
          </w:p>
        </w:tc>
        <w:tc>
          <w:tcPr>
            <w:tcW w:type="dxa" w:w="4752"/>
            <w:vAlign w:val="center"/>
          </w:tcPr>
          <w:p>
            <w:pPr>
              <w:spacing w:after="0" w:before="0"/>
            </w:pPr>
            <w:r>
              <w:rPr>
                <w:rFonts w:ascii="Arial" w:hAnsi="Arial"/>
                <w:sz w:val="17"/>
              </w:rPr>
            </w:r>
            <w:r>
              <w:rPr>
                <w:rFonts w:ascii="Arial" w:hAnsi="Arial"/>
                <w:b w:val="0"/>
                <w:sz w:val="17"/>
              </w:rPr>
              <w:t>maximizar lazer/permeabilidade ou reduzir carbono</w:t>
            </w:r>
          </w:p>
        </w:tc>
      </w:tr>
    </w:tbl>
    <w:p>
      <w:pPr>
        <w:spacing w:after="60"/>
        <w:jc w:val="center"/>
      </w:pPr>
      <w:r>
        <w:drawing>
          <wp:inline xmlns:a="http://schemas.openxmlformats.org/drawingml/2006/main" xmlns:pic="http://schemas.openxmlformats.org/drawingml/2006/picture">
            <wp:extent cx="5989320" cy="3368992"/>
            <wp:docPr id="6" name="Picture 6" descr="Figura 9 — Pipeline hierárquico do A.I TEC: do terreno validado à alternativa arquitetônica analisada." title="Figura 9 — Pipeline hierárquico do A.I TEC: do terreno validado à alternativa arquitetônica analisada."/>
            <wp:cNvGraphicFramePr>
              <a:graphicFrameLocks noChangeAspect="1"/>
            </wp:cNvGraphicFramePr>
            <a:graphic>
              <a:graphicData uri="http://schemas.openxmlformats.org/drawingml/2006/picture">
                <pic:pic>
                  <pic:nvPicPr>
                    <pic:cNvPr id="0" name="aitec_pipeline.png"/>
                    <pic:cNvPicPr/>
                  </pic:nvPicPr>
                  <pic:blipFill>
                    <a:blip r:embed="rId15"/>
                    <a:stretch>
                      <a:fillRect/>
                    </a:stretch>
                  </pic:blipFill>
                  <pic:spPr>
                    <a:xfrm>
                      <a:off x="0" y="0"/>
                      <a:ext cx="5989320" cy="3368992"/>
                    </a:xfrm>
                    <a:prstGeom prst="rect"/>
                  </pic:spPr>
                </pic:pic>
              </a:graphicData>
            </a:graphic>
          </wp:inline>
        </w:drawing>
      </w:r>
    </w:p>
    <w:p>
      <w:pPr>
        <w:spacing w:after="160"/>
        <w:jc w:val="center"/>
      </w:pPr>
      <w:r>
        <w:rPr>
          <w:i/>
          <w:sz w:val="18"/>
        </w:rPr>
        <w:t>Figura 9 — Pipeline hierárquico do A.I TEC: do terreno validado à alternativa arquitetônica analisada.</w:t>
      </w:r>
    </w:p>
    <w:p>
      <w:pPr>
        <w:pStyle w:val="Heading2"/>
        <w:keepNext/>
      </w:pPr>
      <w:r>
        <w:t>28.10 Orquestração de solvers</w:t>
      </w:r>
    </w:p>
    <w:p>
      <w:pPr>
        <w:spacing w:after="100"/>
      </w:pPr>
      <w:r>
        <w:rPr>
          <w:i w:val="0"/>
        </w:rPr>
        <w:t>O A.I TEC não deve depender de um único algoritmo. Cada subproblema pede uma estratégia diferente:</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3096"/>
            <w:vAlign w:val="center"/>
            <w:shd w:fill="D9EAF7"/>
          </w:tcPr>
          <w:p>
            <w:pPr>
              <w:spacing w:after="0" w:before="0"/>
            </w:pPr>
            <w:r>
              <w:rPr>
                <w:rFonts w:ascii="Arial" w:hAnsi="Arial"/>
                <w:sz w:val="17"/>
              </w:rPr>
            </w:r>
            <w:r>
              <w:rPr>
                <w:rFonts w:ascii="Arial" w:hAnsi="Arial"/>
                <w:b/>
                <w:sz w:val="17"/>
              </w:rPr>
              <w:t>Subproblema</w:t>
            </w:r>
          </w:p>
        </w:tc>
        <w:tc>
          <w:tcPr>
            <w:tcW w:type="dxa" w:w="6408"/>
            <w:vAlign w:val="center"/>
            <w:shd w:fill="D9EAF7"/>
          </w:tcPr>
          <w:p>
            <w:pPr>
              <w:spacing w:after="0" w:before="0"/>
            </w:pPr>
            <w:r>
              <w:rPr>
                <w:rFonts w:ascii="Arial" w:hAnsi="Arial"/>
                <w:sz w:val="17"/>
              </w:rPr>
            </w:r>
            <w:r>
              <w:rPr>
                <w:rFonts w:ascii="Arial" w:hAnsi="Arial"/>
                <w:b/>
                <w:sz w:val="17"/>
              </w:rPr>
              <w:t>Estratégia recomendada</w:t>
            </w:r>
          </w:p>
        </w:tc>
      </w:tr>
      <w:tr>
        <w:trPr>
          <w:cantSplit/>
          <w:cantSplit/>
        </w:trPr>
        <w:tc>
          <w:tcPr>
            <w:tcW w:type="dxa" w:w="3096"/>
            <w:vAlign w:val="center"/>
          </w:tcPr>
          <w:p>
            <w:pPr>
              <w:spacing w:after="0" w:before="0"/>
            </w:pPr>
            <w:r>
              <w:rPr>
                <w:rFonts w:ascii="Arial" w:hAnsi="Arial"/>
                <w:sz w:val="17"/>
              </w:rPr>
            </w:r>
            <w:r>
              <w:rPr>
                <w:rFonts w:ascii="Arial" w:hAnsi="Arial"/>
                <w:b w:val="0"/>
                <w:sz w:val="17"/>
              </w:rPr>
              <w:t>Distribuição discreta de tipologias/unidades/vagas</w:t>
            </w:r>
          </w:p>
        </w:tc>
        <w:tc>
          <w:tcPr>
            <w:tcW w:type="dxa" w:w="6408"/>
            <w:vAlign w:val="center"/>
          </w:tcPr>
          <w:p>
            <w:pPr>
              <w:spacing w:after="0" w:before="0"/>
            </w:pPr>
            <w:r>
              <w:rPr>
                <w:rFonts w:ascii="Arial" w:hAnsi="Arial"/>
                <w:sz w:val="17"/>
              </w:rPr>
            </w:r>
            <w:r>
              <w:rPr>
                <w:rFonts w:ascii="Arial" w:hAnsi="Arial"/>
                <w:b w:val="0"/>
                <w:sz w:val="17"/>
              </w:rPr>
              <w:t>CP-SAT / programação inteira com restrições e metas.</w:t>
            </w:r>
          </w:p>
        </w:tc>
      </w:tr>
      <w:tr>
        <w:trPr>
          <w:cantSplit/>
          <w:cantSplit/>
        </w:trPr>
        <w:tc>
          <w:tcPr>
            <w:tcW w:type="dxa" w:w="3096"/>
            <w:vAlign w:val="center"/>
          </w:tcPr>
          <w:p>
            <w:pPr>
              <w:spacing w:after="0" w:before="0"/>
            </w:pPr>
            <w:r>
              <w:rPr>
                <w:rFonts w:ascii="Arial" w:hAnsi="Arial"/>
                <w:sz w:val="17"/>
              </w:rPr>
            </w:r>
            <w:r>
              <w:rPr>
                <w:rFonts w:ascii="Arial" w:hAnsi="Arial"/>
                <w:b w:val="0"/>
                <w:sz w:val="17"/>
              </w:rPr>
              <w:t>Posicionamento de massas</w:t>
            </w:r>
          </w:p>
        </w:tc>
        <w:tc>
          <w:tcPr>
            <w:tcW w:type="dxa" w:w="6408"/>
            <w:vAlign w:val="center"/>
          </w:tcPr>
          <w:p>
            <w:pPr>
              <w:spacing w:after="0" w:before="0"/>
            </w:pPr>
            <w:r>
              <w:rPr>
                <w:rFonts w:ascii="Arial" w:hAnsi="Arial"/>
                <w:sz w:val="17"/>
              </w:rPr>
            </w:r>
            <w:r>
              <w:rPr>
                <w:rFonts w:ascii="Arial" w:hAnsi="Arial"/>
                <w:b w:val="0"/>
                <w:sz w:val="17"/>
              </w:rPr>
              <w:t>algoritmos geométricos + seeds paramétricos + busca local/evolutiva.</w:t>
            </w:r>
          </w:p>
        </w:tc>
      </w:tr>
      <w:tr>
        <w:trPr>
          <w:cantSplit/>
          <w:cantSplit/>
        </w:trPr>
        <w:tc>
          <w:tcPr>
            <w:tcW w:type="dxa" w:w="3096"/>
            <w:vAlign w:val="center"/>
          </w:tcPr>
          <w:p>
            <w:pPr>
              <w:spacing w:after="0" w:before="0"/>
            </w:pPr>
            <w:r>
              <w:rPr>
                <w:rFonts w:ascii="Arial" w:hAnsi="Arial"/>
                <w:sz w:val="17"/>
              </w:rPr>
            </w:r>
            <w:r>
              <w:rPr>
                <w:rFonts w:ascii="Arial" w:hAnsi="Arial"/>
                <w:b w:val="0"/>
                <w:sz w:val="17"/>
              </w:rPr>
              <w:t>Aproveitamento de terrenos irregulares</w:t>
            </w:r>
          </w:p>
        </w:tc>
        <w:tc>
          <w:tcPr>
            <w:tcW w:type="dxa" w:w="6408"/>
            <w:vAlign w:val="center"/>
          </w:tcPr>
          <w:p>
            <w:pPr>
              <w:spacing w:after="0" w:before="0"/>
            </w:pPr>
            <w:r>
              <w:rPr>
                <w:rFonts w:ascii="Arial" w:hAnsi="Arial"/>
                <w:sz w:val="17"/>
              </w:rPr>
            </w:r>
            <w:r>
              <w:rPr>
                <w:rFonts w:ascii="Arial" w:hAnsi="Arial"/>
                <w:b w:val="0"/>
                <w:sz w:val="17"/>
              </w:rPr>
              <w:t>packing orientado por eixos, medial axis/skeleton, sampling e algoritmos regulares/irregulares.</w:t>
            </w:r>
          </w:p>
        </w:tc>
      </w:tr>
      <w:tr>
        <w:trPr>
          <w:cantSplit/>
          <w:cantSplit/>
        </w:trPr>
        <w:tc>
          <w:tcPr>
            <w:tcW w:type="dxa" w:w="3096"/>
            <w:vAlign w:val="center"/>
          </w:tcPr>
          <w:p>
            <w:pPr>
              <w:spacing w:after="0" w:before="0"/>
            </w:pPr>
            <w:r>
              <w:rPr>
                <w:rFonts w:ascii="Arial" w:hAnsi="Arial"/>
                <w:sz w:val="17"/>
              </w:rPr>
            </w:r>
            <w:r>
              <w:rPr>
                <w:rFonts w:ascii="Arial" w:hAnsi="Arial"/>
                <w:b w:val="0"/>
                <w:sz w:val="17"/>
              </w:rPr>
              <w:t>Viário/masterplan</w:t>
            </w:r>
          </w:p>
        </w:tc>
        <w:tc>
          <w:tcPr>
            <w:tcW w:type="dxa" w:w="6408"/>
            <w:vAlign w:val="center"/>
          </w:tcPr>
          <w:p>
            <w:pPr>
              <w:spacing w:after="0" w:before="0"/>
            </w:pPr>
            <w:r>
              <w:rPr>
                <w:rFonts w:ascii="Arial" w:hAnsi="Arial"/>
                <w:sz w:val="17"/>
              </w:rPr>
            </w:r>
            <w:r>
              <w:rPr>
                <w:rFonts w:ascii="Arial" w:hAnsi="Arial"/>
                <w:b w:val="0"/>
                <w:sz w:val="17"/>
              </w:rPr>
              <w:t>grafos, shortest path, offsets, raios de giro, hierarquia viária e busca multiobjetivo.</w:t>
            </w:r>
          </w:p>
        </w:tc>
      </w:tr>
      <w:tr>
        <w:trPr>
          <w:cantSplit/>
          <w:cantSplit/>
        </w:trPr>
        <w:tc>
          <w:tcPr>
            <w:tcW w:type="dxa" w:w="3096"/>
            <w:vAlign w:val="center"/>
          </w:tcPr>
          <w:p>
            <w:pPr>
              <w:spacing w:after="0" w:before="0"/>
            </w:pPr>
            <w:r>
              <w:rPr>
                <w:rFonts w:ascii="Arial" w:hAnsi="Arial"/>
                <w:sz w:val="17"/>
              </w:rPr>
            </w:r>
            <w:r>
              <w:rPr>
                <w:rFonts w:ascii="Arial" w:hAnsi="Arial"/>
                <w:b w:val="0"/>
                <w:sz w:val="17"/>
              </w:rPr>
              <w:t>Garagem</w:t>
            </w:r>
          </w:p>
        </w:tc>
        <w:tc>
          <w:tcPr>
            <w:tcW w:type="dxa" w:w="6408"/>
            <w:vAlign w:val="center"/>
          </w:tcPr>
          <w:p>
            <w:pPr>
              <w:spacing w:after="0" w:before="0"/>
            </w:pPr>
            <w:r>
              <w:rPr>
                <w:rFonts w:ascii="Arial" w:hAnsi="Arial"/>
                <w:sz w:val="17"/>
              </w:rPr>
            </w:r>
            <w:r>
              <w:rPr>
                <w:rFonts w:ascii="Arial" w:hAnsi="Arial"/>
                <w:b w:val="0"/>
                <w:sz w:val="17"/>
              </w:rPr>
              <w:t>packing de stalls + faixas de circulação + rampas + pilares + acessibilidade + otimização de eficiência.</w:t>
            </w:r>
          </w:p>
        </w:tc>
      </w:tr>
      <w:tr>
        <w:trPr>
          <w:cantSplit/>
          <w:cantSplit/>
        </w:trPr>
        <w:tc>
          <w:tcPr>
            <w:tcW w:type="dxa" w:w="3096"/>
            <w:vAlign w:val="center"/>
          </w:tcPr>
          <w:p>
            <w:pPr>
              <w:spacing w:after="0" w:before="0"/>
            </w:pPr>
            <w:r>
              <w:rPr>
                <w:rFonts w:ascii="Arial" w:hAnsi="Arial"/>
                <w:sz w:val="17"/>
              </w:rPr>
            </w:r>
            <w:r>
              <w:rPr>
                <w:rFonts w:ascii="Arial" w:hAnsi="Arial"/>
                <w:b w:val="0"/>
                <w:sz w:val="17"/>
              </w:rPr>
              <w:t>Unit mix</w:t>
            </w:r>
          </w:p>
        </w:tc>
        <w:tc>
          <w:tcPr>
            <w:tcW w:type="dxa" w:w="6408"/>
            <w:vAlign w:val="center"/>
          </w:tcPr>
          <w:p>
            <w:pPr>
              <w:spacing w:after="0" w:before="0"/>
            </w:pPr>
            <w:r>
              <w:rPr>
                <w:rFonts w:ascii="Arial" w:hAnsi="Arial"/>
                <w:sz w:val="17"/>
              </w:rPr>
            </w:r>
            <w:r>
              <w:rPr>
                <w:rFonts w:ascii="Arial" w:hAnsi="Arial"/>
                <w:b w:val="0"/>
                <w:sz w:val="17"/>
              </w:rPr>
              <w:t>segmentação do floor plate em torno de corredor/core com faixas de área e fachada.</w:t>
            </w:r>
          </w:p>
        </w:tc>
      </w:tr>
      <w:tr>
        <w:trPr>
          <w:cantSplit/>
          <w:cantSplit/>
        </w:trPr>
        <w:tc>
          <w:tcPr>
            <w:tcW w:type="dxa" w:w="3096"/>
            <w:vAlign w:val="center"/>
          </w:tcPr>
          <w:p>
            <w:pPr>
              <w:spacing w:after="0" w:before="0"/>
            </w:pPr>
            <w:r>
              <w:rPr>
                <w:rFonts w:ascii="Arial" w:hAnsi="Arial"/>
                <w:sz w:val="17"/>
              </w:rPr>
            </w:r>
            <w:r>
              <w:rPr>
                <w:rFonts w:ascii="Arial" w:hAnsi="Arial"/>
                <w:b w:val="0"/>
                <w:sz w:val="17"/>
              </w:rPr>
              <w:t>Planta de unidade/casa</w:t>
            </w:r>
          </w:p>
        </w:tc>
        <w:tc>
          <w:tcPr>
            <w:tcW w:type="dxa" w:w="6408"/>
            <w:vAlign w:val="center"/>
          </w:tcPr>
          <w:p>
            <w:pPr>
              <w:spacing w:after="0" w:before="0"/>
            </w:pPr>
            <w:r>
              <w:rPr>
                <w:rFonts w:ascii="Arial" w:hAnsi="Arial"/>
                <w:sz w:val="17"/>
              </w:rPr>
            </w:r>
            <w:r>
              <w:rPr>
                <w:rFonts w:ascii="Arial" w:hAnsi="Arial"/>
                <w:b w:val="0"/>
                <w:sz w:val="17"/>
              </w:rPr>
              <w:t>grafo de adjacências + constraints numéricas + biblioteca de soluções + geração neural/LLM como proposta.</w:t>
            </w:r>
          </w:p>
        </w:tc>
      </w:tr>
      <w:tr>
        <w:trPr>
          <w:cantSplit/>
          <w:cantSplit/>
        </w:trPr>
        <w:tc>
          <w:tcPr>
            <w:tcW w:type="dxa" w:w="3096"/>
            <w:vAlign w:val="center"/>
          </w:tcPr>
          <w:p>
            <w:pPr>
              <w:spacing w:after="0" w:before="0"/>
            </w:pPr>
            <w:r>
              <w:rPr>
                <w:rFonts w:ascii="Arial" w:hAnsi="Arial"/>
                <w:sz w:val="17"/>
              </w:rPr>
            </w:r>
            <w:r>
              <w:rPr>
                <w:rFonts w:ascii="Arial" w:hAnsi="Arial"/>
                <w:b w:val="0"/>
                <w:sz w:val="17"/>
              </w:rPr>
              <w:t>Ranking</w:t>
            </w:r>
          </w:p>
        </w:tc>
        <w:tc>
          <w:tcPr>
            <w:tcW w:type="dxa" w:w="6408"/>
            <w:vAlign w:val="center"/>
          </w:tcPr>
          <w:p>
            <w:pPr>
              <w:spacing w:after="0" w:before="0"/>
            </w:pPr>
            <w:r>
              <w:rPr>
                <w:rFonts w:ascii="Arial" w:hAnsi="Arial"/>
                <w:sz w:val="17"/>
              </w:rPr>
            </w:r>
            <w:r>
              <w:rPr>
                <w:rFonts w:ascii="Arial" w:hAnsi="Arial"/>
                <w:b w:val="0"/>
                <w:sz w:val="17"/>
              </w:rPr>
              <w:t>Pareto/NSGA-II ou busca multiobjetivo + pesos ajustáveis + regras de desempate.</w:t>
            </w:r>
          </w:p>
        </w:tc>
      </w:tr>
      <w:tr>
        <w:trPr>
          <w:cantSplit/>
          <w:cantSplit/>
        </w:trPr>
        <w:tc>
          <w:tcPr>
            <w:tcW w:type="dxa" w:w="3096"/>
            <w:vAlign w:val="center"/>
          </w:tcPr>
          <w:p>
            <w:pPr>
              <w:spacing w:after="0" w:before="0"/>
            </w:pPr>
            <w:r>
              <w:rPr>
                <w:rFonts w:ascii="Arial" w:hAnsi="Arial"/>
                <w:sz w:val="17"/>
              </w:rPr>
            </w:r>
            <w:r>
              <w:rPr>
                <w:rFonts w:ascii="Arial" w:hAnsi="Arial"/>
                <w:b w:val="0"/>
                <w:sz w:val="17"/>
              </w:rPr>
              <w:t>Análises pesadas</w:t>
            </w:r>
          </w:p>
        </w:tc>
        <w:tc>
          <w:tcPr>
            <w:tcW w:type="dxa" w:w="6408"/>
            <w:vAlign w:val="center"/>
          </w:tcPr>
          <w:p>
            <w:pPr>
              <w:spacing w:after="0" w:before="0"/>
            </w:pPr>
            <w:r>
              <w:rPr>
                <w:rFonts w:ascii="Arial" w:hAnsi="Arial"/>
                <w:sz w:val="17"/>
              </w:rPr>
            </w:r>
            <w:r>
              <w:rPr>
                <w:rFonts w:ascii="Arial" w:hAnsi="Arial"/>
                <w:b w:val="0"/>
                <w:sz w:val="17"/>
              </w:rPr>
              <w:t>fila assíncrona; modelos rápidos/surrogate durante exploração e simulação detalhada para finalistas.</w:t>
            </w:r>
          </w:p>
        </w:tc>
      </w:tr>
    </w:tbl>
    <w:p>
      <w:pPr>
        <w:pStyle w:val="Heading2"/>
        <w:keepNext/>
      </w:pPr>
      <w:r>
        <w:t>28.11 Site Solver — implantação de torres, blocos e casas</w:t>
      </w:r>
    </w:p>
    <w:p>
      <w:pPr>
        <w:spacing w:after="100"/>
      </w:pPr>
      <w:r>
        <w:rPr>
          <w:i w:val="0"/>
        </w:rPr>
        <w:t>A geração de implantação deve produzir dezenas/centenas de alternativas diversas, não pequenas variações cosméticas.</w:t>
      </w:r>
    </w:p>
    <w:p>
      <w:pPr>
        <w:pStyle w:val="ListBullet"/>
        <w:spacing w:after="40"/>
      </w:pPr>
      <w:r>
        <w:t>Orientar massas pela geometria do terreno, eixos urbanos, insolação, vistas, topografia e acessos.</w:t>
      </w:r>
    </w:p>
    <w:p>
      <w:pPr>
        <w:pStyle w:val="ListBullet"/>
        <w:spacing w:after="40"/>
      </w:pPr>
      <w:r>
        <w:t>Permitir famílias I, L, U, pátio, lâmina, torre compacta, casas isoladas/geminadas, townhouses e tipologias do Design DNA.</w:t>
      </w:r>
    </w:p>
    <w:p>
      <w:pPr>
        <w:pStyle w:val="ListBullet"/>
        <w:spacing w:after="40"/>
      </w:pPr>
      <w:r>
        <w:t>Definir min/max de torres, pavimentos e unidades por pavimento.</w:t>
      </w:r>
    </w:p>
    <w:p>
      <w:pPr>
        <w:pStyle w:val="ListBullet"/>
        <w:spacing w:after="40"/>
      </w:pPr>
      <w:r>
        <w:t>Resolver afastamentos entre edificações com valor fixo ou fórmula dependente de altura/fachada.</w:t>
      </w:r>
    </w:p>
    <w:p>
      <w:pPr>
        <w:pStyle w:val="ListBullet"/>
        <w:spacing w:after="40"/>
      </w:pPr>
      <w:r>
        <w:t>Permitir empena cega, faces bloqueadas, vistas prioritárias e envelopes assimétricos quando a regra permitir.</w:t>
      </w:r>
    </w:p>
    <w:p>
      <w:pPr>
        <w:pStyle w:val="ListBullet"/>
        <w:spacing w:after="40"/>
      </w:pPr>
      <w:r>
        <w:t>Gerar áreas de lazer e permeáveis nas sobras qualificadas, evitando tratá-las como “resto” do projeto.</w:t>
      </w:r>
    </w:p>
    <w:p>
      <w:pPr>
        <w:pStyle w:val="ListBullet"/>
        <w:spacing w:after="40"/>
      </w:pPr>
      <w:r>
        <w:t>Suportar terrenos compostos por múltiplas matrículas e cenários de remembramento/desmembramento.</w:t>
      </w:r>
    </w:p>
    <w:p>
      <w:pPr>
        <w:pStyle w:val="Heading2"/>
        <w:keepNext/>
      </w:pPr>
      <w:r>
        <w:t>28.12 Viário, acessos e emergência</w:t>
      </w:r>
    </w:p>
    <w:p>
      <w:pPr>
        <w:spacing w:after="100"/>
      </w:pPr>
      <w:r>
        <w:rPr>
          <w:i w:val="0"/>
        </w:rPr>
        <w:t>O sistema viário deve ser parte do solver, não um desenho posterior. O motor precisa considerar largura de pista/calçada, sentido, acessos, portaria, raios de giro, bolsões, embarque/desembarque, docas, caminhões, veículos de emergência e conexão com as torres/casas.</w:t>
      </w:r>
    </w:p>
    <w:p>
      <w:pPr>
        <w:pStyle w:val="ListBullet"/>
        <w:spacing w:after="40"/>
      </w:pPr>
      <w:r>
        <w:t>Gerar alternativas de anel, espinha, cul-de-sac, malha ou combinação conforme tipologia e terreno.</w:t>
      </w:r>
    </w:p>
    <w:p>
      <w:pPr>
        <w:pStyle w:val="ListBullet"/>
        <w:spacing w:after="40"/>
      </w:pPr>
      <w:r>
        <w:t>Calcular comprimentos, área consumida, cruzamentos, inclinação longitudinal e impacto em terraplenagem.</w:t>
      </w:r>
    </w:p>
    <w:p>
      <w:pPr>
        <w:pStyle w:val="ListBullet"/>
        <w:spacing w:after="40"/>
      </w:pPr>
      <w:r>
        <w:t>Evitar que a melhor solução de densidade produza um sistema viário inviável.</w:t>
      </w:r>
    </w:p>
    <w:p>
      <w:pPr>
        <w:pStyle w:val="ListBullet"/>
        <w:spacing w:after="40"/>
      </w:pPr>
      <w:r>
        <w:t>Permitir ao usuário desenhar/travar um acesso e regenerar todo o restante.</w:t>
      </w:r>
    </w:p>
    <w:p>
      <w:pPr>
        <w:pStyle w:val="Heading2"/>
        <w:keepNext/>
      </w:pPr>
      <w:r>
        <w:t>28.13 Garagem generativa</w:t>
      </w:r>
    </w:p>
    <w:p>
      <w:pPr>
        <w:spacing w:after="100"/>
      </w:pPr>
      <w:r>
        <w:rPr>
          <w:i w:val="0"/>
        </w:rPr>
        <w:t>Garagem é um solver próprio. O usuário pode informar a quantidade/razão de vagas e o motor procura o melhor arranjo em subsolo, sobressolo, térreo ou combinação. A Arqgen já descreve publicamente posicionamento automático de vagas e parametrização de dimensões; o A.I TEC deve acrescentar pilares, rampas, acessibilidade, EV e constructability [R66][R68].</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2592"/>
            <w:vAlign w:val="center"/>
            <w:shd w:fill="D9EAF7"/>
          </w:tcPr>
          <w:p>
            <w:pPr>
              <w:spacing w:after="0" w:before="0"/>
            </w:pPr>
            <w:r>
              <w:rPr>
                <w:rFonts w:ascii="Arial" w:hAnsi="Arial"/>
                <w:sz w:val="17"/>
              </w:rPr>
            </w:r>
            <w:r>
              <w:rPr>
                <w:rFonts w:ascii="Arial" w:hAnsi="Arial"/>
                <w:b/>
                <w:sz w:val="17"/>
              </w:rPr>
              <w:t>Entrada</w:t>
            </w:r>
          </w:p>
        </w:tc>
        <w:tc>
          <w:tcPr>
            <w:tcW w:type="dxa" w:w="6912"/>
            <w:vAlign w:val="center"/>
            <w:shd w:fill="D9EAF7"/>
          </w:tcPr>
          <w:p>
            <w:pPr>
              <w:spacing w:after="0" w:before="0"/>
            </w:pPr>
            <w:r>
              <w:rPr>
                <w:rFonts w:ascii="Arial" w:hAnsi="Arial"/>
                <w:sz w:val="17"/>
              </w:rPr>
            </w:r>
            <w:r>
              <w:rPr>
                <w:rFonts w:ascii="Arial" w:hAnsi="Arial"/>
                <w:b/>
                <w:sz w:val="17"/>
              </w:rPr>
              <w:t>Verificação/otimização</w:t>
            </w:r>
          </w:p>
        </w:tc>
      </w:tr>
      <w:tr>
        <w:trPr>
          <w:cantSplit/>
          <w:cantSplit/>
        </w:trPr>
        <w:tc>
          <w:tcPr>
            <w:tcW w:type="dxa" w:w="2592"/>
            <w:vAlign w:val="center"/>
          </w:tcPr>
          <w:p>
            <w:pPr>
              <w:spacing w:after="0" w:before="0"/>
            </w:pPr>
            <w:r>
              <w:rPr>
                <w:rFonts w:ascii="Arial" w:hAnsi="Arial"/>
                <w:sz w:val="17"/>
              </w:rPr>
            </w:r>
            <w:r>
              <w:rPr>
                <w:rFonts w:ascii="Arial" w:hAnsi="Arial"/>
                <w:b w:val="0"/>
                <w:sz w:val="17"/>
              </w:rPr>
              <w:t>vaga carro/moto/PCD/idoso/EV</w:t>
            </w:r>
          </w:p>
        </w:tc>
        <w:tc>
          <w:tcPr>
            <w:tcW w:type="dxa" w:w="6912"/>
            <w:vAlign w:val="center"/>
          </w:tcPr>
          <w:p>
            <w:pPr>
              <w:spacing w:after="0" w:before="0"/>
            </w:pPr>
            <w:r>
              <w:rPr>
                <w:rFonts w:ascii="Arial" w:hAnsi="Arial"/>
                <w:sz w:val="17"/>
              </w:rPr>
            </w:r>
            <w:r>
              <w:rPr>
                <w:rFonts w:ascii="Arial" w:hAnsi="Arial"/>
                <w:b w:val="0"/>
                <w:sz w:val="17"/>
              </w:rPr>
              <w:t>dimensão parametrizada por regra local/padrão do cliente; jamais hardcode nacional</w:t>
            </w:r>
          </w:p>
        </w:tc>
      </w:tr>
      <w:tr>
        <w:trPr>
          <w:cantSplit/>
          <w:cantSplit/>
        </w:trPr>
        <w:tc>
          <w:tcPr>
            <w:tcW w:type="dxa" w:w="2592"/>
            <w:vAlign w:val="center"/>
          </w:tcPr>
          <w:p>
            <w:pPr>
              <w:spacing w:after="0" w:before="0"/>
            </w:pPr>
            <w:r>
              <w:rPr>
                <w:rFonts w:ascii="Arial" w:hAnsi="Arial"/>
                <w:sz w:val="17"/>
              </w:rPr>
            </w:r>
            <w:r>
              <w:rPr>
                <w:rFonts w:ascii="Arial" w:hAnsi="Arial"/>
                <w:b w:val="0"/>
                <w:sz w:val="17"/>
              </w:rPr>
              <w:t>faixa de circulação</w:t>
            </w:r>
          </w:p>
        </w:tc>
        <w:tc>
          <w:tcPr>
            <w:tcW w:type="dxa" w:w="6912"/>
            <w:vAlign w:val="center"/>
          </w:tcPr>
          <w:p>
            <w:pPr>
              <w:spacing w:after="0" w:before="0"/>
            </w:pPr>
            <w:r>
              <w:rPr>
                <w:rFonts w:ascii="Arial" w:hAnsi="Arial"/>
                <w:sz w:val="17"/>
              </w:rPr>
            </w:r>
            <w:r>
              <w:rPr>
                <w:rFonts w:ascii="Arial" w:hAnsi="Arial"/>
                <w:b w:val="0"/>
                <w:sz w:val="17"/>
              </w:rPr>
              <w:t>largura, manobra, sentido e conflitos</w:t>
            </w:r>
          </w:p>
        </w:tc>
      </w:tr>
      <w:tr>
        <w:trPr>
          <w:cantSplit/>
          <w:cantSplit/>
        </w:trPr>
        <w:tc>
          <w:tcPr>
            <w:tcW w:type="dxa" w:w="2592"/>
            <w:vAlign w:val="center"/>
          </w:tcPr>
          <w:p>
            <w:pPr>
              <w:spacing w:after="0" w:before="0"/>
            </w:pPr>
            <w:r>
              <w:rPr>
                <w:rFonts w:ascii="Arial" w:hAnsi="Arial"/>
                <w:sz w:val="17"/>
              </w:rPr>
            </w:r>
            <w:r>
              <w:rPr>
                <w:rFonts w:ascii="Arial" w:hAnsi="Arial"/>
                <w:b w:val="0"/>
                <w:sz w:val="17"/>
              </w:rPr>
              <w:t>rampa</w:t>
            </w:r>
          </w:p>
        </w:tc>
        <w:tc>
          <w:tcPr>
            <w:tcW w:type="dxa" w:w="6912"/>
            <w:vAlign w:val="center"/>
          </w:tcPr>
          <w:p>
            <w:pPr>
              <w:spacing w:after="0" w:before="0"/>
            </w:pPr>
            <w:r>
              <w:rPr>
                <w:rFonts w:ascii="Arial" w:hAnsi="Arial"/>
                <w:sz w:val="17"/>
              </w:rPr>
            </w:r>
            <w:r>
              <w:rPr>
                <w:rFonts w:ascii="Arial" w:hAnsi="Arial"/>
                <w:b w:val="0"/>
                <w:sz w:val="17"/>
              </w:rPr>
              <w:t>posição, comprimento, declividade parametrizada, transições e conexão viária</w:t>
            </w:r>
          </w:p>
        </w:tc>
      </w:tr>
      <w:tr>
        <w:trPr>
          <w:cantSplit/>
          <w:cantSplit/>
        </w:trPr>
        <w:tc>
          <w:tcPr>
            <w:tcW w:type="dxa" w:w="2592"/>
            <w:vAlign w:val="center"/>
          </w:tcPr>
          <w:p>
            <w:pPr>
              <w:spacing w:after="0" w:before="0"/>
            </w:pPr>
            <w:r>
              <w:rPr>
                <w:rFonts w:ascii="Arial" w:hAnsi="Arial"/>
                <w:sz w:val="17"/>
              </w:rPr>
            </w:r>
            <w:r>
              <w:rPr>
                <w:rFonts w:ascii="Arial" w:hAnsi="Arial"/>
                <w:b w:val="0"/>
                <w:sz w:val="17"/>
              </w:rPr>
              <w:t>estrutura</w:t>
            </w:r>
          </w:p>
        </w:tc>
        <w:tc>
          <w:tcPr>
            <w:tcW w:type="dxa" w:w="6912"/>
            <w:vAlign w:val="center"/>
          </w:tcPr>
          <w:p>
            <w:pPr>
              <w:spacing w:after="0" w:before="0"/>
            </w:pPr>
            <w:r>
              <w:rPr>
                <w:rFonts w:ascii="Arial" w:hAnsi="Arial"/>
                <w:sz w:val="17"/>
              </w:rPr>
            </w:r>
            <w:r>
              <w:rPr>
                <w:rFonts w:ascii="Arial" w:hAnsi="Arial"/>
                <w:b w:val="0"/>
                <w:sz w:val="17"/>
              </w:rPr>
              <w:t>grid/pilares como obstáculo ou variável; evitar vagas inutilizáveis</w:t>
            </w:r>
          </w:p>
        </w:tc>
      </w:tr>
      <w:tr>
        <w:trPr>
          <w:cantSplit/>
          <w:cantSplit/>
        </w:trPr>
        <w:tc>
          <w:tcPr>
            <w:tcW w:type="dxa" w:w="2592"/>
            <w:vAlign w:val="center"/>
          </w:tcPr>
          <w:p>
            <w:pPr>
              <w:spacing w:after="0" w:before="0"/>
            </w:pPr>
            <w:r>
              <w:rPr>
                <w:rFonts w:ascii="Arial" w:hAnsi="Arial"/>
                <w:sz w:val="17"/>
              </w:rPr>
            </w:r>
            <w:r>
              <w:rPr>
                <w:rFonts w:ascii="Arial" w:hAnsi="Arial"/>
                <w:b w:val="0"/>
                <w:sz w:val="17"/>
              </w:rPr>
              <w:t>núcleo</w:t>
            </w:r>
          </w:p>
        </w:tc>
        <w:tc>
          <w:tcPr>
            <w:tcW w:type="dxa" w:w="6912"/>
            <w:vAlign w:val="center"/>
          </w:tcPr>
          <w:p>
            <w:pPr>
              <w:spacing w:after="0" w:before="0"/>
            </w:pPr>
            <w:r>
              <w:rPr>
                <w:rFonts w:ascii="Arial" w:hAnsi="Arial"/>
                <w:sz w:val="17"/>
              </w:rPr>
            </w:r>
            <w:r>
              <w:rPr>
                <w:rFonts w:ascii="Arial" w:hAnsi="Arial"/>
                <w:b w:val="0"/>
                <w:sz w:val="17"/>
              </w:rPr>
              <w:t>conexão pedonal acessível e segura com elevador/escada</w:t>
            </w:r>
          </w:p>
        </w:tc>
      </w:tr>
      <w:tr>
        <w:trPr>
          <w:cantSplit/>
          <w:cantSplit/>
        </w:trPr>
        <w:tc>
          <w:tcPr>
            <w:tcW w:type="dxa" w:w="2592"/>
            <w:vAlign w:val="center"/>
          </w:tcPr>
          <w:p>
            <w:pPr>
              <w:spacing w:after="0" w:before="0"/>
            </w:pPr>
            <w:r>
              <w:rPr>
                <w:rFonts w:ascii="Arial" w:hAnsi="Arial"/>
                <w:sz w:val="17"/>
              </w:rPr>
            </w:r>
            <w:r>
              <w:rPr>
                <w:rFonts w:ascii="Arial" w:hAnsi="Arial"/>
                <w:b w:val="0"/>
                <w:sz w:val="17"/>
              </w:rPr>
              <w:t>eficiência</w:t>
            </w:r>
          </w:p>
        </w:tc>
        <w:tc>
          <w:tcPr>
            <w:tcW w:type="dxa" w:w="6912"/>
            <w:vAlign w:val="center"/>
          </w:tcPr>
          <w:p>
            <w:pPr>
              <w:spacing w:after="0" w:before="0"/>
            </w:pPr>
            <w:r>
              <w:rPr>
                <w:rFonts w:ascii="Arial" w:hAnsi="Arial"/>
                <w:sz w:val="17"/>
              </w:rPr>
            </w:r>
            <w:r>
              <w:rPr>
                <w:rFonts w:ascii="Arial" w:hAnsi="Arial"/>
                <w:b w:val="0"/>
                <w:sz w:val="17"/>
              </w:rPr>
              <w:t>vagas por 100 m² de laje, área por vaga, custo por vaga e impacto no projeto</w:t>
            </w:r>
          </w:p>
        </w:tc>
      </w:tr>
      <w:tr>
        <w:trPr>
          <w:cantSplit/>
          <w:cantSplit/>
        </w:trPr>
        <w:tc>
          <w:tcPr>
            <w:tcW w:type="dxa" w:w="2592"/>
            <w:vAlign w:val="center"/>
          </w:tcPr>
          <w:p>
            <w:pPr>
              <w:spacing w:after="0" w:before="0"/>
            </w:pPr>
            <w:r>
              <w:rPr>
                <w:rFonts w:ascii="Arial" w:hAnsi="Arial"/>
                <w:sz w:val="17"/>
              </w:rPr>
            </w:r>
            <w:r>
              <w:rPr>
                <w:rFonts w:ascii="Arial" w:hAnsi="Arial"/>
                <w:b w:val="0"/>
                <w:sz w:val="17"/>
              </w:rPr>
              <w:t>cota</w:t>
            </w:r>
          </w:p>
        </w:tc>
        <w:tc>
          <w:tcPr>
            <w:tcW w:type="dxa" w:w="6912"/>
            <w:vAlign w:val="center"/>
          </w:tcPr>
          <w:p>
            <w:pPr>
              <w:spacing w:after="0" w:before="0"/>
            </w:pPr>
            <w:r>
              <w:rPr>
                <w:rFonts w:ascii="Arial" w:hAnsi="Arial"/>
                <w:sz w:val="17"/>
              </w:rPr>
            </w:r>
            <w:r>
              <w:rPr>
                <w:rFonts w:ascii="Arial" w:hAnsi="Arial"/>
                <w:b w:val="0"/>
                <w:sz w:val="17"/>
              </w:rPr>
              <w:t>subsolo/sobressolo, lençol/terreno quando houver dado, cut/fill e contenções</w:t>
            </w:r>
          </w:p>
        </w:tc>
      </w:tr>
    </w:tbl>
    <w:p>
      <w:pPr>
        <w:pStyle w:val="Heading2"/>
        <w:keepNext/>
      </w:pPr>
      <w:r>
        <w:t>28.14 Terraplenagem, platôs, contenções e cut/fill</w:t>
      </w:r>
    </w:p>
    <w:p>
      <w:pPr>
        <w:spacing w:after="100"/>
      </w:pPr>
      <w:r>
        <w:rPr>
          <w:i w:val="0"/>
        </w:rPr>
        <w:t>Toda alternativa deve ser avaliada contra o relevo. O solver precisa estimar platôs, cortes, aterros, rampas, muros de contenção e volumes preliminares. TestFit coloca cut/fill e custos de movimentação de terra dentro da viabilidade; o A.I TEC deve fazer o mesmo, guardando a resolução e a qualidade do modelo de terreno utilizado [R70].</w:t>
      </w:r>
    </w:p>
    <w:p>
      <w:pPr>
        <w:pStyle w:val="ListBullet"/>
        <w:spacing w:after="40"/>
      </w:pPr>
      <w:r>
        <w:t>Gerar heatmap de declividade e custo relativo de implantação.</w:t>
      </w:r>
    </w:p>
    <w:p>
      <w:pPr>
        <w:pStyle w:val="ListBullet"/>
        <w:spacing w:after="40"/>
      </w:pPr>
      <w:r>
        <w:t>Comparar alternativas com balanço corte/aterro e volumes de importação/exportação.</w:t>
      </w:r>
    </w:p>
    <w:p>
      <w:pPr>
        <w:pStyle w:val="ListBullet"/>
        <w:spacing w:after="40"/>
      </w:pPr>
      <w:r>
        <w:t>Penalizar soluções com edifícios em áreas de grande movimentação ou contenção quando houver alternativa semelhante.</w:t>
      </w:r>
    </w:p>
    <w:p>
      <w:pPr>
        <w:pStyle w:val="ListBullet"/>
        <w:spacing w:after="40"/>
      </w:pPr>
      <w:r>
        <w:t>Distinguir estimativa conceitual de projeto geotécnico/terraplenagem definitivo.</w:t>
      </w:r>
    </w:p>
    <w:p>
      <w:pPr>
        <w:pStyle w:val="Heading2"/>
        <w:keepNext/>
      </w:pPr>
      <w:r>
        <w:t>28.15 Massa 3D, pavimentos e núcleos</w:t>
      </w:r>
    </w:p>
    <w:p>
      <w:pPr>
        <w:spacing w:after="100"/>
      </w:pPr>
      <w:r>
        <w:rPr>
          <w:i w:val="0"/>
        </w:rPr>
        <w:t>Depois da implantação, cada edifício passa pelo Building Solver:</w:t>
      </w:r>
    </w:p>
    <w:p>
      <w:pPr>
        <w:pStyle w:val="ListNumber"/>
        <w:spacing w:after="40"/>
      </w:pPr>
      <w:r>
        <w:t>Construir massa/pavimentos respeitando envelope vertical e metas de área.</w:t>
      </w:r>
    </w:p>
    <w:p>
      <w:pPr>
        <w:pStyle w:val="ListNumber"/>
        <w:spacing w:after="40"/>
      </w:pPr>
      <w:r>
        <w:t>Escolher ou gerar core(s): escadas, elevadores, shafts e halls.</w:t>
      </w:r>
    </w:p>
    <w:p>
      <w:pPr>
        <w:pStyle w:val="ListNumber"/>
        <w:spacing w:after="40"/>
      </w:pPr>
      <w:r>
        <w:t>Gerar circulação horizontal e pontos de acesso às unidades/ambientes.</w:t>
      </w:r>
    </w:p>
    <w:p>
      <w:pPr>
        <w:pStyle w:val="ListNumber"/>
        <w:spacing w:after="40"/>
      </w:pPr>
      <w:r>
        <w:t>Checar alinhamento vertical e repetição entre pavimentos.</w:t>
      </w:r>
    </w:p>
    <w:p>
      <w:pPr>
        <w:pStyle w:val="ListNumber"/>
        <w:spacing w:after="40"/>
      </w:pPr>
      <w:r>
        <w:t>Distribuir áreas comuns/técnicas e classificar computável/não computável.</w:t>
      </w:r>
    </w:p>
    <w:p>
      <w:pPr>
        <w:pStyle w:val="ListNumber"/>
        <w:spacing w:after="40"/>
      </w:pPr>
      <w:r>
        <w:t>Calcular altura total, número de pavimentos, eficiência de floor plate e área de fachada.</w:t>
      </w:r>
    </w:p>
    <w:p>
      <w:pPr>
        <w:pStyle w:val="ListNumber"/>
        <w:spacing w:after="40"/>
      </w:pPr>
      <w:r>
        <w:t>Gerar alternativas de térreo, embasamento, podium e torre quando aplicável.</w:t>
      </w:r>
    </w:p>
    <w:p>
      <w:pPr>
        <w:pStyle w:val="Heading2"/>
        <w:keepNext/>
      </w:pPr>
      <w:r>
        <w:t>28.16 Unit Mix — distribuição das tipologias</w:t>
      </w:r>
    </w:p>
    <w:p>
      <w:pPr>
        <w:spacing w:after="100"/>
      </w:pPr>
      <w:r>
        <w:rPr>
          <w:i w:val="0"/>
        </w:rPr>
        <w:t>A geração de unit mix deve tratar percentuais desejados como faixa/objetivo, não como simples arredondamento. O sistema precisa encontrar combinações que caibam geometricamente no floor plate, tenham acesso ao corredor, fachada suficiente e respeitem o programa. Finch demonstra a importância de gerar unit mix em torno de circulação e permitir parâmetros de core/corredor [R73].</w:t>
      </w:r>
    </w:p>
    <w:p>
      <w:pPr>
        <w:pStyle w:val="ListBullet"/>
        <w:spacing w:after="40"/>
      </w:pPr>
      <w:r>
        <w:t>Mix por área e quantidade: studio, 1D, 2D, 3D, suítes, acessíveis ou tipologias próprias.</w:t>
      </w:r>
    </w:p>
    <w:p>
      <w:pPr>
        <w:pStyle w:val="ListBullet"/>
        <w:spacing w:after="40"/>
      </w:pPr>
      <w:r>
        <w:t>Percentual-alvo com tolerância; score por desvio do mix.</w:t>
      </w:r>
    </w:p>
    <w:p>
      <w:pPr>
        <w:pStyle w:val="ListBullet"/>
        <w:spacing w:after="40"/>
      </w:pPr>
      <w:r>
        <w:t>Regras por pavimento/torre e possibilidade de pavimentos especiais.</w:t>
      </w:r>
    </w:p>
    <w:p>
      <w:pPr>
        <w:pStyle w:val="ListBullet"/>
        <w:spacing w:after="40"/>
      </w:pPr>
      <w:r>
        <w:t>Empilhamento de áreas molhadas/shafts e compatibilidade vertical como objetivo de construtibilidade.</w:t>
      </w:r>
    </w:p>
    <w:p>
      <w:pPr>
        <w:pStyle w:val="ListBullet"/>
        <w:spacing w:after="40"/>
      </w:pPr>
      <w:r>
        <w:t>Espelhamento e repetição controlada para reduzir número de plantas distintas.</w:t>
      </w:r>
    </w:p>
    <w:p>
      <w:pPr>
        <w:pStyle w:val="Heading2"/>
        <w:keepNext/>
      </w:pPr>
      <w:r>
        <w:t>28.17 Gerador de plantas de unidades e casas</w:t>
      </w:r>
    </w:p>
    <w:p>
      <w:pPr>
        <w:spacing w:after="100"/>
      </w:pPr>
      <w:r>
        <w:rPr>
          <w:i w:val="0"/>
        </w:rPr>
        <w:t>É aqui que o A.I TEC passa de estudo de massa para inteligência arquitetônica. O sistema deve representar a planta como grafo + geometria. Ambientes são nós; portas/adjacências são arestas; paredes, janelas, shafts e perímetro materializam o grafo. Geração neural/LLM pode sugerir topologia, mas um validador geométrico e um solver de constraints precisa garantir dimensões e relações verificáveis.</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1944"/>
            <w:vAlign w:val="center"/>
            <w:shd w:fill="D9EAF7"/>
          </w:tcPr>
          <w:p>
            <w:pPr>
              <w:spacing w:after="0" w:before="0"/>
            </w:pPr>
            <w:r>
              <w:rPr>
                <w:rFonts w:ascii="Arial" w:hAnsi="Arial"/>
                <w:sz w:val="17"/>
              </w:rPr>
            </w:r>
            <w:r>
              <w:rPr>
                <w:rFonts w:ascii="Arial" w:hAnsi="Arial"/>
                <w:b/>
                <w:sz w:val="17"/>
              </w:rPr>
              <w:t>Categoria</w:t>
            </w:r>
          </w:p>
        </w:tc>
        <w:tc>
          <w:tcPr>
            <w:tcW w:type="dxa" w:w="7560"/>
            <w:vAlign w:val="center"/>
            <w:shd w:fill="D9EAF7"/>
          </w:tcPr>
          <w:p>
            <w:pPr>
              <w:spacing w:after="0" w:before="0"/>
            </w:pPr>
            <w:r>
              <w:rPr>
                <w:rFonts w:ascii="Arial" w:hAnsi="Arial"/>
                <w:sz w:val="17"/>
              </w:rPr>
            </w:r>
            <w:r>
              <w:rPr>
                <w:rFonts w:ascii="Arial" w:hAnsi="Arial"/>
                <w:b/>
                <w:sz w:val="17"/>
              </w:rPr>
              <w:t>Exemplos de constraints/objetivos</w:t>
            </w:r>
          </w:p>
        </w:tc>
      </w:tr>
      <w:tr>
        <w:trPr>
          <w:cantSplit/>
          <w:cantSplit/>
        </w:trPr>
        <w:tc>
          <w:tcPr>
            <w:tcW w:type="dxa" w:w="1944"/>
            <w:vAlign w:val="center"/>
          </w:tcPr>
          <w:p>
            <w:pPr>
              <w:spacing w:after="0" w:before="0"/>
            </w:pPr>
            <w:r>
              <w:rPr>
                <w:rFonts w:ascii="Arial" w:hAnsi="Arial"/>
                <w:sz w:val="17"/>
              </w:rPr>
            </w:r>
            <w:r>
              <w:rPr>
                <w:rFonts w:ascii="Arial" w:hAnsi="Arial"/>
                <w:b w:val="0"/>
                <w:sz w:val="17"/>
              </w:rPr>
              <w:t>Dormitórios</w:t>
            </w:r>
          </w:p>
        </w:tc>
        <w:tc>
          <w:tcPr>
            <w:tcW w:type="dxa" w:w="7560"/>
            <w:vAlign w:val="center"/>
          </w:tcPr>
          <w:p>
            <w:pPr>
              <w:spacing w:after="0" w:before="0"/>
            </w:pPr>
            <w:r>
              <w:rPr>
                <w:rFonts w:ascii="Arial" w:hAnsi="Arial"/>
                <w:sz w:val="17"/>
              </w:rPr>
            </w:r>
            <w:r>
              <w:rPr>
                <w:rFonts w:ascii="Arial" w:hAnsi="Arial"/>
                <w:b w:val="0"/>
                <w:sz w:val="17"/>
              </w:rPr>
              <w:t>quantidade, área/faixa, largura mínima configurável, suíte, closet, privacidade, fachada/janela</w:t>
            </w:r>
          </w:p>
        </w:tc>
      </w:tr>
      <w:tr>
        <w:trPr>
          <w:cantSplit/>
          <w:cantSplit/>
        </w:trPr>
        <w:tc>
          <w:tcPr>
            <w:tcW w:type="dxa" w:w="1944"/>
            <w:vAlign w:val="center"/>
          </w:tcPr>
          <w:p>
            <w:pPr>
              <w:spacing w:after="0" w:before="0"/>
            </w:pPr>
            <w:r>
              <w:rPr>
                <w:rFonts w:ascii="Arial" w:hAnsi="Arial"/>
                <w:sz w:val="17"/>
              </w:rPr>
            </w:r>
            <w:r>
              <w:rPr>
                <w:rFonts w:ascii="Arial" w:hAnsi="Arial"/>
                <w:b w:val="0"/>
                <w:sz w:val="17"/>
              </w:rPr>
              <w:t>Banheiros</w:t>
            </w:r>
          </w:p>
        </w:tc>
        <w:tc>
          <w:tcPr>
            <w:tcW w:type="dxa" w:w="7560"/>
            <w:vAlign w:val="center"/>
          </w:tcPr>
          <w:p>
            <w:pPr>
              <w:spacing w:after="0" w:before="0"/>
            </w:pPr>
            <w:r>
              <w:rPr>
                <w:rFonts w:ascii="Arial" w:hAnsi="Arial"/>
                <w:sz w:val="17"/>
              </w:rPr>
            </w:r>
            <w:r>
              <w:rPr>
                <w:rFonts w:ascii="Arial" w:hAnsi="Arial"/>
                <w:b w:val="0"/>
                <w:sz w:val="17"/>
              </w:rPr>
              <w:t>quantidade, suíte/social/lavabo, proximidade de shaft, ventilação conforme estratégia</w:t>
            </w:r>
          </w:p>
        </w:tc>
      </w:tr>
      <w:tr>
        <w:trPr>
          <w:cantSplit/>
          <w:cantSplit/>
        </w:trPr>
        <w:tc>
          <w:tcPr>
            <w:tcW w:type="dxa" w:w="1944"/>
            <w:vAlign w:val="center"/>
          </w:tcPr>
          <w:p>
            <w:pPr>
              <w:spacing w:after="0" w:before="0"/>
            </w:pPr>
            <w:r>
              <w:rPr>
                <w:rFonts w:ascii="Arial" w:hAnsi="Arial"/>
                <w:sz w:val="17"/>
              </w:rPr>
            </w:r>
            <w:r>
              <w:rPr>
                <w:rFonts w:ascii="Arial" w:hAnsi="Arial"/>
                <w:b w:val="0"/>
                <w:sz w:val="17"/>
              </w:rPr>
              <w:t>Sala/jantar</w:t>
            </w:r>
          </w:p>
        </w:tc>
        <w:tc>
          <w:tcPr>
            <w:tcW w:type="dxa" w:w="7560"/>
            <w:vAlign w:val="center"/>
          </w:tcPr>
          <w:p>
            <w:pPr>
              <w:spacing w:after="0" w:before="0"/>
            </w:pPr>
            <w:r>
              <w:rPr>
                <w:rFonts w:ascii="Arial" w:hAnsi="Arial"/>
                <w:sz w:val="17"/>
              </w:rPr>
            </w:r>
            <w:r>
              <w:rPr>
                <w:rFonts w:ascii="Arial" w:hAnsi="Arial"/>
                <w:b w:val="0"/>
                <w:sz w:val="17"/>
              </w:rPr>
              <w:t>área, relação com entrada/cozinha/varanda, largura útil, mobiliário de teste</w:t>
            </w:r>
          </w:p>
        </w:tc>
      </w:tr>
      <w:tr>
        <w:trPr>
          <w:cantSplit/>
          <w:cantSplit/>
        </w:trPr>
        <w:tc>
          <w:tcPr>
            <w:tcW w:type="dxa" w:w="1944"/>
            <w:vAlign w:val="center"/>
          </w:tcPr>
          <w:p>
            <w:pPr>
              <w:spacing w:after="0" w:before="0"/>
            </w:pPr>
            <w:r>
              <w:rPr>
                <w:rFonts w:ascii="Arial" w:hAnsi="Arial"/>
                <w:sz w:val="17"/>
              </w:rPr>
            </w:r>
            <w:r>
              <w:rPr>
                <w:rFonts w:ascii="Arial" w:hAnsi="Arial"/>
                <w:b w:val="0"/>
                <w:sz w:val="17"/>
              </w:rPr>
              <w:t>Cozinha</w:t>
            </w:r>
          </w:p>
        </w:tc>
        <w:tc>
          <w:tcPr>
            <w:tcW w:type="dxa" w:w="7560"/>
            <w:vAlign w:val="center"/>
          </w:tcPr>
          <w:p>
            <w:pPr>
              <w:spacing w:after="0" w:before="0"/>
            </w:pPr>
            <w:r>
              <w:rPr>
                <w:rFonts w:ascii="Arial" w:hAnsi="Arial"/>
                <w:sz w:val="17"/>
              </w:rPr>
            </w:r>
            <w:r>
              <w:rPr>
                <w:rFonts w:ascii="Arial" w:hAnsi="Arial"/>
                <w:b w:val="0"/>
                <w:sz w:val="17"/>
              </w:rPr>
              <w:t>aberta/fechada, bancada, triângulo funcional conceitual, shaft, lavanderia</w:t>
            </w:r>
          </w:p>
        </w:tc>
      </w:tr>
      <w:tr>
        <w:trPr>
          <w:cantSplit/>
          <w:cantSplit/>
        </w:trPr>
        <w:tc>
          <w:tcPr>
            <w:tcW w:type="dxa" w:w="1944"/>
            <w:vAlign w:val="center"/>
          </w:tcPr>
          <w:p>
            <w:pPr>
              <w:spacing w:after="0" w:before="0"/>
            </w:pPr>
            <w:r>
              <w:rPr>
                <w:rFonts w:ascii="Arial" w:hAnsi="Arial"/>
                <w:sz w:val="17"/>
              </w:rPr>
            </w:r>
            <w:r>
              <w:rPr>
                <w:rFonts w:ascii="Arial" w:hAnsi="Arial"/>
                <w:b w:val="0"/>
                <w:sz w:val="17"/>
              </w:rPr>
              <w:t>Circulação</w:t>
            </w:r>
          </w:p>
        </w:tc>
        <w:tc>
          <w:tcPr>
            <w:tcW w:type="dxa" w:w="7560"/>
            <w:vAlign w:val="center"/>
          </w:tcPr>
          <w:p>
            <w:pPr>
              <w:spacing w:after="0" w:before="0"/>
            </w:pPr>
            <w:r>
              <w:rPr>
                <w:rFonts w:ascii="Arial" w:hAnsi="Arial"/>
                <w:sz w:val="17"/>
              </w:rPr>
            </w:r>
            <w:r>
              <w:rPr>
                <w:rFonts w:ascii="Arial" w:hAnsi="Arial"/>
                <w:b w:val="0"/>
                <w:sz w:val="17"/>
              </w:rPr>
              <w:t>minimizar área perdida, eliminar becos, garantir acessos</w:t>
            </w:r>
          </w:p>
        </w:tc>
      </w:tr>
      <w:tr>
        <w:trPr>
          <w:cantSplit/>
          <w:cantSplit/>
        </w:trPr>
        <w:tc>
          <w:tcPr>
            <w:tcW w:type="dxa" w:w="1944"/>
            <w:vAlign w:val="center"/>
          </w:tcPr>
          <w:p>
            <w:pPr>
              <w:spacing w:after="0" w:before="0"/>
            </w:pPr>
            <w:r>
              <w:rPr>
                <w:rFonts w:ascii="Arial" w:hAnsi="Arial"/>
                <w:sz w:val="17"/>
              </w:rPr>
            </w:r>
            <w:r>
              <w:rPr>
                <w:rFonts w:ascii="Arial" w:hAnsi="Arial"/>
                <w:b w:val="0"/>
                <w:sz w:val="17"/>
              </w:rPr>
              <w:t>Aberturas</w:t>
            </w:r>
          </w:p>
        </w:tc>
        <w:tc>
          <w:tcPr>
            <w:tcW w:type="dxa" w:w="7560"/>
            <w:vAlign w:val="center"/>
          </w:tcPr>
          <w:p>
            <w:pPr>
              <w:spacing w:after="0" w:before="0"/>
            </w:pPr>
            <w:r>
              <w:rPr>
                <w:rFonts w:ascii="Arial" w:hAnsi="Arial"/>
                <w:sz w:val="17"/>
              </w:rPr>
            </w:r>
            <w:r>
              <w:rPr>
                <w:rFonts w:ascii="Arial" w:hAnsi="Arial"/>
                <w:b w:val="0"/>
                <w:sz w:val="17"/>
              </w:rPr>
              <w:t>fachada disponível, orientação, iluminação/ventilação, vista e conflito com vizinhança</w:t>
            </w:r>
          </w:p>
        </w:tc>
      </w:tr>
      <w:tr>
        <w:trPr>
          <w:cantSplit/>
          <w:cantSplit/>
        </w:trPr>
        <w:tc>
          <w:tcPr>
            <w:tcW w:type="dxa" w:w="1944"/>
            <w:vAlign w:val="center"/>
          </w:tcPr>
          <w:p>
            <w:pPr>
              <w:spacing w:after="0" w:before="0"/>
            </w:pPr>
            <w:r>
              <w:rPr>
                <w:rFonts w:ascii="Arial" w:hAnsi="Arial"/>
                <w:sz w:val="17"/>
              </w:rPr>
            </w:r>
            <w:r>
              <w:rPr>
                <w:rFonts w:ascii="Arial" w:hAnsi="Arial"/>
                <w:b w:val="0"/>
                <w:sz w:val="17"/>
              </w:rPr>
              <w:t>Estrutura</w:t>
            </w:r>
          </w:p>
        </w:tc>
        <w:tc>
          <w:tcPr>
            <w:tcW w:type="dxa" w:w="7560"/>
            <w:vAlign w:val="center"/>
          </w:tcPr>
          <w:p>
            <w:pPr>
              <w:spacing w:after="0" w:before="0"/>
            </w:pPr>
            <w:r>
              <w:rPr>
                <w:rFonts w:ascii="Arial" w:hAnsi="Arial"/>
                <w:sz w:val="17"/>
              </w:rPr>
            </w:r>
            <w:r>
              <w:rPr>
                <w:rFonts w:ascii="Arial" w:hAnsi="Arial"/>
                <w:b w:val="0"/>
                <w:sz w:val="17"/>
              </w:rPr>
              <w:t>grid/parede estrutural quando fornecido, alinhamento vertical e shafts</w:t>
            </w:r>
          </w:p>
        </w:tc>
      </w:tr>
      <w:tr>
        <w:trPr>
          <w:cantSplit/>
          <w:cantSplit/>
        </w:trPr>
        <w:tc>
          <w:tcPr>
            <w:tcW w:type="dxa" w:w="1944"/>
            <w:vAlign w:val="center"/>
          </w:tcPr>
          <w:p>
            <w:pPr>
              <w:spacing w:after="0" w:before="0"/>
            </w:pPr>
            <w:r>
              <w:rPr>
                <w:rFonts w:ascii="Arial" w:hAnsi="Arial"/>
                <w:sz w:val="17"/>
              </w:rPr>
            </w:r>
            <w:r>
              <w:rPr>
                <w:rFonts w:ascii="Arial" w:hAnsi="Arial"/>
                <w:b w:val="0"/>
                <w:sz w:val="17"/>
              </w:rPr>
              <w:t>Acessibilidade</w:t>
            </w:r>
          </w:p>
        </w:tc>
        <w:tc>
          <w:tcPr>
            <w:tcW w:type="dxa" w:w="7560"/>
            <w:vAlign w:val="center"/>
          </w:tcPr>
          <w:p>
            <w:pPr>
              <w:spacing w:after="0" w:before="0"/>
            </w:pPr>
            <w:r>
              <w:rPr>
                <w:rFonts w:ascii="Arial" w:hAnsi="Arial"/>
                <w:sz w:val="17"/>
              </w:rPr>
            </w:r>
            <w:r>
              <w:rPr>
                <w:rFonts w:ascii="Arial" w:hAnsi="Arial"/>
                <w:b w:val="0"/>
                <w:sz w:val="17"/>
              </w:rPr>
              <w:t>unidades adaptáveis/acessíveis conforme regras vigentes e programa</w:t>
            </w:r>
          </w:p>
        </w:tc>
      </w:tr>
    </w:tbl>
    <w:p>
      <w:pPr>
        <w:spacing w:after="100"/>
      </w:pPr>
      <w:r>
        <w:rPr>
          <w:i w:val="0"/>
        </w:rPr>
        <w:t>A edição conversacional deve ser nativa: “transforme um dos quartos em suíte”, “aumente a cozinha e reduza a varanda”, “mantenha a sala onde está e gere três alternativas para a área íntima”. Ferramentas residenciais atuais já demonstram edição de paredes/ambientes por linguagem natural, mas o A.I TEC deve manter o nível CAD/BIM e a validação profissional [R74].</w:t>
      </w:r>
    </w:p>
    <w:p>
      <w:pPr>
        <w:pStyle w:val="Heading2"/>
        <w:keepNext/>
      </w:pPr>
      <w:r>
        <w:t>28.18 Casas, condomínios horizontais e loteamentos</w:t>
      </w:r>
    </w:p>
    <w:p>
      <w:pPr>
        <w:spacing w:after="100"/>
      </w:pPr>
      <w:r>
        <w:rPr>
          <w:i w:val="0"/>
        </w:rPr>
        <w:t>Para baixa densidade, o solver troca o paradigma de “torres” por unidades repetíveis e rede urbana:</w:t>
      </w:r>
    </w:p>
    <w:p>
      <w:pPr>
        <w:pStyle w:val="ListBullet"/>
        <w:spacing w:after="40"/>
      </w:pPr>
      <w:r>
        <w:t>Gerar lotes/implantação de casas a partir de dimensões mínimas, testadas, frentes e topografia.</w:t>
      </w:r>
    </w:p>
    <w:p>
      <w:pPr>
        <w:pStyle w:val="ListBullet"/>
        <w:spacing w:after="40"/>
      </w:pPr>
      <w:r>
        <w:t>Orientar salas/quartos/jardins conforme insolação e vistas, sem violar o acesso e as regras do lote.</w:t>
      </w:r>
    </w:p>
    <w:p>
      <w:pPr>
        <w:pStyle w:val="ListBullet"/>
        <w:spacing w:after="40"/>
      </w:pPr>
      <w:r>
        <w:t>Variações de casa por lote: térrea, sobrado, geminada, townhouse e templates do Design DNA.</w:t>
      </w:r>
    </w:p>
    <w:p>
      <w:pPr>
        <w:pStyle w:val="ListBullet"/>
        <w:spacing w:after="40"/>
      </w:pPr>
      <w:r>
        <w:t>Resolver garagens individuais, visitantes, portaria, lazer, coleta, drenagem e circulação.</w:t>
      </w:r>
    </w:p>
    <w:p>
      <w:pPr>
        <w:pStyle w:val="ListBullet"/>
        <w:spacing w:after="40"/>
      </w:pPr>
      <w:r>
        <w:t>Estimar frente vendável, área de lotes, área institucional/verde/viária e fases do empreendimento.</w:t>
      </w:r>
    </w:p>
    <w:p>
      <w:pPr>
        <w:pStyle w:val="ListBullet"/>
        <w:spacing w:after="40"/>
      </w:pPr>
      <w:r>
        <w:t>No rural, cruzar automaticamente APP/embargos/restrições do RE Rural antes de gerar implantação.</w:t>
      </w:r>
    </w:p>
    <w:p>
      <w:pPr>
        <w:pStyle w:val="Heading2"/>
        <w:keepNext/>
      </w:pPr>
      <w:r>
        <w:t>28.19 Industrial, logística, varejo e usos especiais</w:t>
      </w:r>
    </w:p>
    <w:p>
      <w:pPr>
        <w:spacing w:after="100"/>
      </w:pPr>
      <w:r>
        <w:rPr>
          <w:i w:val="0"/>
        </w:rPr>
        <w:t>O framework deve ser extensível a galpões, data centers, varejo, hotelaria e outros usos por “program packs”. Cada pack define objetos, adjacências, módulos, grids, fluxos e KPIs específicos. A pesquisa de mercado mostra que soluções generativas já segmentam por tipologia; a nossa arquitetura deve evitar um algoritmo monolítico.</w:t>
      </w:r>
    </w:p>
    <w:p>
      <w:pPr>
        <w:pStyle w:val="Heading2"/>
        <w:keepNext/>
      </w:pPr>
      <w:r>
        <w:t>28.20 Análises de desempenho em cada cenário</w:t>
      </w:r>
    </w:p>
    <w:p>
      <w:pPr>
        <w:spacing w:after="100"/>
      </w:pPr>
      <w:r>
        <w:rPr>
          <w:i w:val="0"/>
        </w:rPr>
        <w:t>Autodesk Forma demonstra a utilidade de analisar sol, daylight, vento, ruído, microclima, energia e carbono durante o design conceitual [R71]. No A.I TEC, análises rápidas devem rodar durante a exploração e análises detalhadas apenas para finalistas.</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2376"/>
            <w:vAlign w:val="center"/>
            <w:shd w:fill="D9EAF7"/>
          </w:tcPr>
          <w:p>
            <w:pPr>
              <w:spacing w:after="0" w:before="0"/>
            </w:pPr>
            <w:r>
              <w:rPr>
                <w:rFonts w:ascii="Arial" w:hAnsi="Arial"/>
                <w:sz w:val="17"/>
              </w:rPr>
            </w:r>
            <w:r>
              <w:rPr>
                <w:rFonts w:ascii="Arial" w:hAnsi="Arial"/>
                <w:b/>
                <w:sz w:val="17"/>
              </w:rPr>
              <w:t>Análise</w:t>
            </w:r>
          </w:p>
        </w:tc>
        <w:tc>
          <w:tcPr>
            <w:tcW w:type="dxa" w:w="7128"/>
            <w:vAlign w:val="center"/>
            <w:shd w:fill="D9EAF7"/>
          </w:tcPr>
          <w:p>
            <w:pPr>
              <w:spacing w:after="0" w:before="0"/>
            </w:pPr>
            <w:r>
              <w:rPr>
                <w:rFonts w:ascii="Arial" w:hAnsi="Arial"/>
                <w:sz w:val="17"/>
              </w:rPr>
            </w:r>
            <w:r>
              <w:rPr>
                <w:rFonts w:ascii="Arial" w:hAnsi="Arial"/>
                <w:b/>
                <w:sz w:val="17"/>
              </w:rPr>
              <w:t>Uso no ranking</w:t>
            </w:r>
          </w:p>
        </w:tc>
      </w:tr>
      <w:tr>
        <w:trPr>
          <w:cantSplit/>
          <w:cantSplit/>
        </w:trPr>
        <w:tc>
          <w:tcPr>
            <w:tcW w:type="dxa" w:w="2376"/>
            <w:vAlign w:val="center"/>
          </w:tcPr>
          <w:p>
            <w:pPr>
              <w:spacing w:after="0" w:before="0"/>
            </w:pPr>
            <w:r>
              <w:rPr>
                <w:rFonts w:ascii="Arial" w:hAnsi="Arial"/>
                <w:sz w:val="17"/>
              </w:rPr>
            </w:r>
            <w:r>
              <w:rPr>
                <w:rFonts w:ascii="Arial" w:hAnsi="Arial"/>
                <w:b w:val="0"/>
                <w:sz w:val="17"/>
              </w:rPr>
              <w:t>Sol / horas de sol</w:t>
            </w:r>
          </w:p>
        </w:tc>
        <w:tc>
          <w:tcPr>
            <w:tcW w:type="dxa" w:w="7128"/>
            <w:vAlign w:val="center"/>
          </w:tcPr>
          <w:p>
            <w:pPr>
              <w:spacing w:after="0" w:before="0"/>
            </w:pPr>
            <w:r>
              <w:rPr>
                <w:rFonts w:ascii="Arial" w:hAnsi="Arial"/>
                <w:sz w:val="17"/>
              </w:rPr>
            </w:r>
            <w:r>
              <w:rPr>
                <w:rFonts w:ascii="Arial" w:hAnsi="Arial"/>
                <w:b w:val="0"/>
                <w:sz w:val="17"/>
              </w:rPr>
              <w:t>fachadas, áreas comuns, unidades, pátios e conflito de sombreamento</w:t>
            </w:r>
          </w:p>
        </w:tc>
      </w:tr>
      <w:tr>
        <w:trPr>
          <w:cantSplit/>
          <w:cantSplit/>
        </w:trPr>
        <w:tc>
          <w:tcPr>
            <w:tcW w:type="dxa" w:w="2376"/>
            <w:vAlign w:val="center"/>
          </w:tcPr>
          <w:p>
            <w:pPr>
              <w:spacing w:after="0" w:before="0"/>
            </w:pPr>
            <w:r>
              <w:rPr>
                <w:rFonts w:ascii="Arial" w:hAnsi="Arial"/>
                <w:sz w:val="17"/>
              </w:rPr>
            </w:r>
            <w:r>
              <w:rPr>
                <w:rFonts w:ascii="Arial" w:hAnsi="Arial"/>
                <w:b w:val="0"/>
                <w:sz w:val="17"/>
              </w:rPr>
              <w:t>Daylight</w:t>
            </w:r>
          </w:p>
        </w:tc>
        <w:tc>
          <w:tcPr>
            <w:tcW w:type="dxa" w:w="7128"/>
            <w:vAlign w:val="center"/>
          </w:tcPr>
          <w:p>
            <w:pPr>
              <w:spacing w:after="0" w:before="0"/>
            </w:pPr>
            <w:r>
              <w:rPr>
                <w:rFonts w:ascii="Arial" w:hAnsi="Arial"/>
                <w:sz w:val="17"/>
              </w:rPr>
            </w:r>
            <w:r>
              <w:rPr>
                <w:rFonts w:ascii="Arial" w:hAnsi="Arial"/>
                <w:b w:val="0"/>
                <w:sz w:val="17"/>
              </w:rPr>
              <w:t>potencial de iluminação natural em fachadas/ambientes</w:t>
            </w:r>
          </w:p>
        </w:tc>
      </w:tr>
      <w:tr>
        <w:trPr>
          <w:cantSplit/>
          <w:cantSplit/>
        </w:trPr>
        <w:tc>
          <w:tcPr>
            <w:tcW w:type="dxa" w:w="2376"/>
            <w:vAlign w:val="center"/>
          </w:tcPr>
          <w:p>
            <w:pPr>
              <w:spacing w:after="0" w:before="0"/>
            </w:pPr>
            <w:r>
              <w:rPr>
                <w:rFonts w:ascii="Arial" w:hAnsi="Arial"/>
                <w:sz w:val="17"/>
              </w:rPr>
            </w:r>
            <w:r>
              <w:rPr>
                <w:rFonts w:ascii="Arial" w:hAnsi="Arial"/>
                <w:b w:val="0"/>
                <w:sz w:val="17"/>
              </w:rPr>
              <w:t>Ventilação / vento</w:t>
            </w:r>
          </w:p>
        </w:tc>
        <w:tc>
          <w:tcPr>
            <w:tcW w:type="dxa" w:w="7128"/>
            <w:vAlign w:val="center"/>
          </w:tcPr>
          <w:p>
            <w:pPr>
              <w:spacing w:after="0" w:before="0"/>
            </w:pPr>
            <w:r>
              <w:rPr>
                <w:rFonts w:ascii="Arial" w:hAnsi="Arial"/>
                <w:sz w:val="17"/>
              </w:rPr>
            </w:r>
            <w:r>
              <w:rPr>
                <w:rFonts w:ascii="Arial" w:hAnsi="Arial"/>
                <w:b w:val="0"/>
                <w:sz w:val="17"/>
              </w:rPr>
              <w:t>orientação, conforto pedonal e riscos de aceleração</w:t>
            </w:r>
          </w:p>
        </w:tc>
      </w:tr>
      <w:tr>
        <w:trPr>
          <w:cantSplit/>
          <w:cantSplit/>
        </w:trPr>
        <w:tc>
          <w:tcPr>
            <w:tcW w:type="dxa" w:w="2376"/>
            <w:vAlign w:val="center"/>
          </w:tcPr>
          <w:p>
            <w:pPr>
              <w:spacing w:after="0" w:before="0"/>
            </w:pPr>
            <w:r>
              <w:rPr>
                <w:rFonts w:ascii="Arial" w:hAnsi="Arial"/>
                <w:sz w:val="17"/>
              </w:rPr>
            </w:r>
            <w:r>
              <w:rPr>
                <w:rFonts w:ascii="Arial" w:hAnsi="Arial"/>
                <w:b w:val="0"/>
                <w:sz w:val="17"/>
              </w:rPr>
              <w:t>Ruído</w:t>
            </w:r>
          </w:p>
        </w:tc>
        <w:tc>
          <w:tcPr>
            <w:tcW w:type="dxa" w:w="7128"/>
            <w:vAlign w:val="center"/>
          </w:tcPr>
          <w:p>
            <w:pPr>
              <w:spacing w:after="0" w:before="0"/>
            </w:pPr>
            <w:r>
              <w:rPr>
                <w:rFonts w:ascii="Arial" w:hAnsi="Arial"/>
                <w:sz w:val="17"/>
              </w:rPr>
            </w:r>
            <w:r>
              <w:rPr>
                <w:rFonts w:ascii="Arial" w:hAnsi="Arial"/>
                <w:b w:val="0"/>
                <w:sz w:val="17"/>
              </w:rPr>
              <w:t>distância/orientação em relação a vias, trilhos e fontes mapeadas</w:t>
            </w:r>
          </w:p>
        </w:tc>
      </w:tr>
      <w:tr>
        <w:trPr>
          <w:cantSplit/>
          <w:cantSplit/>
        </w:trPr>
        <w:tc>
          <w:tcPr>
            <w:tcW w:type="dxa" w:w="2376"/>
            <w:vAlign w:val="center"/>
          </w:tcPr>
          <w:p>
            <w:pPr>
              <w:spacing w:after="0" w:before="0"/>
            </w:pPr>
            <w:r>
              <w:rPr>
                <w:rFonts w:ascii="Arial" w:hAnsi="Arial"/>
                <w:sz w:val="17"/>
              </w:rPr>
            </w:r>
            <w:r>
              <w:rPr>
                <w:rFonts w:ascii="Arial" w:hAnsi="Arial"/>
                <w:b w:val="0"/>
                <w:sz w:val="17"/>
              </w:rPr>
              <w:t>Solar FV</w:t>
            </w:r>
          </w:p>
        </w:tc>
        <w:tc>
          <w:tcPr>
            <w:tcW w:type="dxa" w:w="7128"/>
            <w:vAlign w:val="center"/>
          </w:tcPr>
          <w:p>
            <w:pPr>
              <w:spacing w:after="0" w:before="0"/>
            </w:pPr>
            <w:r>
              <w:rPr>
                <w:rFonts w:ascii="Arial" w:hAnsi="Arial"/>
                <w:sz w:val="17"/>
              </w:rPr>
            </w:r>
            <w:r>
              <w:rPr>
                <w:rFonts w:ascii="Arial" w:hAnsi="Arial"/>
                <w:b w:val="0"/>
                <w:sz w:val="17"/>
              </w:rPr>
              <w:t>potencial do módulo Energia Solar em coberturas/fachadas</w:t>
            </w:r>
          </w:p>
        </w:tc>
      </w:tr>
      <w:tr>
        <w:trPr>
          <w:cantSplit/>
          <w:cantSplit/>
        </w:trPr>
        <w:tc>
          <w:tcPr>
            <w:tcW w:type="dxa" w:w="2376"/>
            <w:vAlign w:val="center"/>
          </w:tcPr>
          <w:p>
            <w:pPr>
              <w:spacing w:after="0" w:before="0"/>
            </w:pPr>
            <w:r>
              <w:rPr>
                <w:rFonts w:ascii="Arial" w:hAnsi="Arial"/>
                <w:sz w:val="17"/>
              </w:rPr>
            </w:r>
            <w:r>
              <w:rPr>
                <w:rFonts w:ascii="Arial" w:hAnsi="Arial"/>
                <w:b w:val="0"/>
                <w:sz w:val="17"/>
              </w:rPr>
              <w:t>Microclima</w:t>
            </w:r>
          </w:p>
        </w:tc>
        <w:tc>
          <w:tcPr>
            <w:tcW w:type="dxa" w:w="7128"/>
            <w:vAlign w:val="center"/>
          </w:tcPr>
          <w:p>
            <w:pPr>
              <w:spacing w:after="0" w:before="0"/>
            </w:pPr>
            <w:r>
              <w:rPr>
                <w:rFonts w:ascii="Arial" w:hAnsi="Arial"/>
                <w:sz w:val="17"/>
              </w:rPr>
            </w:r>
            <w:r>
              <w:rPr>
                <w:rFonts w:ascii="Arial" w:hAnsi="Arial"/>
                <w:b w:val="0"/>
                <w:sz w:val="17"/>
              </w:rPr>
              <w:t>conforto das áreas externas quando houver dados/modelos suficientes</w:t>
            </w:r>
          </w:p>
        </w:tc>
      </w:tr>
      <w:tr>
        <w:trPr>
          <w:cantSplit/>
          <w:cantSplit/>
        </w:trPr>
        <w:tc>
          <w:tcPr>
            <w:tcW w:type="dxa" w:w="2376"/>
            <w:vAlign w:val="center"/>
          </w:tcPr>
          <w:p>
            <w:pPr>
              <w:spacing w:after="0" w:before="0"/>
            </w:pPr>
            <w:r>
              <w:rPr>
                <w:rFonts w:ascii="Arial" w:hAnsi="Arial"/>
                <w:sz w:val="17"/>
              </w:rPr>
            </w:r>
            <w:r>
              <w:rPr>
                <w:rFonts w:ascii="Arial" w:hAnsi="Arial"/>
                <w:b w:val="0"/>
                <w:sz w:val="17"/>
              </w:rPr>
              <w:t>Carbono</w:t>
            </w:r>
          </w:p>
        </w:tc>
        <w:tc>
          <w:tcPr>
            <w:tcW w:type="dxa" w:w="7128"/>
            <w:vAlign w:val="center"/>
          </w:tcPr>
          <w:p>
            <w:pPr>
              <w:spacing w:after="0" w:before="0"/>
            </w:pPr>
            <w:r>
              <w:rPr>
                <w:rFonts w:ascii="Arial" w:hAnsi="Arial"/>
                <w:sz w:val="17"/>
              </w:rPr>
            </w:r>
            <w:r>
              <w:rPr>
                <w:rFonts w:ascii="Arial" w:hAnsi="Arial"/>
                <w:b w:val="0"/>
                <w:sz w:val="17"/>
              </w:rPr>
              <w:t>comparação de massa, estrutura e materiais em nível conceitual</w:t>
            </w:r>
          </w:p>
        </w:tc>
      </w:tr>
      <w:tr>
        <w:trPr>
          <w:cantSplit/>
          <w:cantSplit/>
        </w:trPr>
        <w:tc>
          <w:tcPr>
            <w:tcW w:type="dxa" w:w="2376"/>
            <w:vAlign w:val="center"/>
          </w:tcPr>
          <w:p>
            <w:pPr>
              <w:spacing w:after="0" w:before="0"/>
            </w:pPr>
            <w:r>
              <w:rPr>
                <w:rFonts w:ascii="Arial" w:hAnsi="Arial"/>
                <w:sz w:val="17"/>
              </w:rPr>
            </w:r>
            <w:r>
              <w:rPr>
                <w:rFonts w:ascii="Arial" w:hAnsi="Arial"/>
                <w:b w:val="0"/>
                <w:sz w:val="17"/>
              </w:rPr>
              <w:t>Drenagem/permeabilidade</w:t>
            </w:r>
          </w:p>
        </w:tc>
        <w:tc>
          <w:tcPr>
            <w:tcW w:type="dxa" w:w="7128"/>
            <w:vAlign w:val="center"/>
          </w:tcPr>
          <w:p>
            <w:pPr>
              <w:spacing w:after="0" w:before="0"/>
            </w:pPr>
            <w:r>
              <w:rPr>
                <w:rFonts w:ascii="Arial" w:hAnsi="Arial"/>
                <w:sz w:val="17"/>
              </w:rPr>
            </w:r>
            <w:r>
              <w:rPr>
                <w:rFonts w:ascii="Arial" w:hAnsi="Arial"/>
                <w:b w:val="0"/>
                <w:sz w:val="17"/>
              </w:rPr>
              <w:t>área impermeável, reservação e capacidade preliminar</w:t>
            </w:r>
          </w:p>
        </w:tc>
      </w:tr>
    </w:tbl>
    <w:p>
      <w:pPr>
        <w:pStyle w:val="Heading2"/>
        <w:keepNext/>
      </w:pPr>
      <w:r>
        <w:t>28.21 Integração com mercado e viabilidade financeira</w:t>
      </w:r>
    </w:p>
    <w:p>
      <w:pPr>
        <w:spacing w:after="100"/>
      </w:pPr>
      <w:r>
        <w:rPr>
          <w:i w:val="0"/>
        </w:rPr>
        <w:t>Uma implantação não é “melhor” apenas por usar mais CA. O A.I TEC deve usar dados do Imóvel 360 para testar produto, preço e absorção. Cada alternativa poderá ter pro forma preliminar ligado à geometria.</w:t>
      </w:r>
    </w:p>
    <w:p>
      <w:pPr>
        <w:pStyle w:val="ListBullet"/>
        <w:spacing w:after="40"/>
      </w:pPr>
      <w:r>
        <w:t>VGV por tipologia, vagas, lojas e demais receitas.</w:t>
      </w:r>
    </w:p>
    <w:p>
      <w:pPr>
        <w:pStyle w:val="ListBullet"/>
        <w:spacing w:after="40"/>
      </w:pPr>
      <w:r>
        <w:t>Custo de construção por área/tipologia/padrão, com faixas e data-base.</w:t>
      </w:r>
    </w:p>
    <w:p>
      <w:pPr>
        <w:pStyle w:val="ListBullet"/>
        <w:spacing w:after="40"/>
      </w:pPr>
      <w:r>
        <w:t>Custo específico de subsolos, contenções, terraplenagem, fachadas, elevadores e infraestrutura.</w:t>
      </w:r>
    </w:p>
    <w:p>
      <w:pPr>
        <w:pStyle w:val="ListBullet"/>
        <w:spacing w:after="40"/>
      </w:pPr>
      <w:r>
        <w:t>Eficiência privativa/construída, computável/total e área de circulação.</w:t>
      </w:r>
    </w:p>
    <w:p>
      <w:pPr>
        <w:pStyle w:val="ListBullet"/>
        <w:spacing w:after="40"/>
      </w:pPr>
      <w:r>
        <w:t>Margem, retorno, yield on cost, exposição de capital e sensibilidade.</w:t>
      </w:r>
    </w:p>
    <w:p>
      <w:pPr>
        <w:pStyle w:val="ListBullet"/>
        <w:spacing w:after="40"/>
      </w:pPr>
      <w:r>
        <w:t>Ranking alternativo por “máximo potencial”, “máxima margem”, “menor CAPEX” ou “melhor equilíbrio”.</w:t>
      </w:r>
    </w:p>
    <w:p>
      <w:pPr>
        <w:spacing w:after="60"/>
        <w:jc w:val="center"/>
      </w:pPr>
      <w:r>
        <w:drawing>
          <wp:inline xmlns:a="http://schemas.openxmlformats.org/drawingml/2006/main" xmlns:pic="http://schemas.openxmlformats.org/drawingml/2006/picture">
            <wp:extent cx="5989320" cy="3368992"/>
            <wp:docPr id="7" name="Picture 7" descr="Figura 10 — A.I TEC não escolhe uma resposta única: apresenta a fronteira de alternativas viáveis e seus trade-offs." title="Figura 10 — A.I TEC não escolhe uma resposta única: apresenta a fronteira de alternativas viáveis e seus trade-offs."/>
            <wp:cNvGraphicFramePr>
              <a:graphicFrameLocks noChangeAspect="1"/>
            </wp:cNvGraphicFramePr>
            <a:graphic>
              <a:graphicData uri="http://schemas.openxmlformats.org/drawingml/2006/picture">
                <pic:pic>
                  <pic:nvPicPr>
                    <pic:cNvPr id="0" name="aitec_pareto.png"/>
                    <pic:cNvPicPr/>
                  </pic:nvPicPr>
                  <pic:blipFill>
                    <a:blip r:embed="rId16"/>
                    <a:stretch>
                      <a:fillRect/>
                    </a:stretch>
                  </pic:blipFill>
                  <pic:spPr>
                    <a:xfrm>
                      <a:off x="0" y="0"/>
                      <a:ext cx="5989320" cy="3368992"/>
                    </a:xfrm>
                    <a:prstGeom prst="rect"/>
                  </pic:spPr>
                </pic:pic>
              </a:graphicData>
            </a:graphic>
          </wp:inline>
        </w:drawing>
      </w:r>
    </w:p>
    <w:p>
      <w:pPr>
        <w:spacing w:after="160"/>
        <w:jc w:val="center"/>
      </w:pPr>
      <w:r>
        <w:rPr>
          <w:i/>
          <w:sz w:val="18"/>
        </w:rPr>
        <w:t>Figura 10 — A.I TEC não escolhe uma resposta única: apresenta a fronteira de alternativas viáveis e seus trade-offs.</w:t>
      </w:r>
    </w:p>
    <w:p>
      <w:pPr>
        <w:pStyle w:val="Heading2"/>
        <w:keepNext/>
      </w:pPr>
      <w:r>
        <w:t>28.22 Fronteira de Pareto e ranking explicável</w:t>
      </w:r>
    </w:p>
    <w:p>
      <w:pPr>
        <w:spacing w:after="100"/>
      </w:pPr>
      <w:r>
        <w:rPr>
          <w:i w:val="0"/>
        </w:rPr>
        <w:t>Em vez de ocultar a lógica em uma nota opaca, o sistema deve mostrar por que uma alternativa está acima de outra. Usuário escolhe pesos ou objetivos predefinidos, e o sistema mantém a fronteira não dominada. Exemplos: uma solução pode ter 4% menos VGV, porém 35% menos terraplenagem; outra pode maximizar unidades, mas piorar daylight e circulação.</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2232"/>
            <w:vAlign w:val="center"/>
            <w:shd w:fill="D9EAF7"/>
          </w:tcPr>
          <w:p>
            <w:pPr>
              <w:spacing w:after="0" w:before="0"/>
            </w:pPr>
            <w:r>
              <w:rPr>
                <w:rFonts w:ascii="Arial" w:hAnsi="Arial"/>
                <w:sz w:val="17"/>
              </w:rPr>
            </w:r>
            <w:r>
              <w:rPr>
                <w:rFonts w:ascii="Arial" w:hAnsi="Arial"/>
                <w:b/>
                <w:sz w:val="17"/>
              </w:rPr>
              <w:t>Perfil de ranking</w:t>
            </w:r>
          </w:p>
        </w:tc>
        <w:tc>
          <w:tcPr>
            <w:tcW w:type="dxa" w:w="7272"/>
            <w:vAlign w:val="center"/>
            <w:shd w:fill="D9EAF7"/>
          </w:tcPr>
          <w:p>
            <w:pPr>
              <w:spacing w:after="0" w:before="0"/>
            </w:pPr>
            <w:r>
              <w:rPr>
                <w:rFonts w:ascii="Arial" w:hAnsi="Arial"/>
                <w:sz w:val="17"/>
              </w:rPr>
            </w:r>
            <w:r>
              <w:rPr>
                <w:rFonts w:ascii="Arial" w:hAnsi="Arial"/>
                <w:b/>
                <w:sz w:val="17"/>
              </w:rPr>
              <w:t>Pesos predominantes</w:t>
            </w:r>
          </w:p>
        </w:tc>
      </w:tr>
      <w:tr>
        <w:trPr>
          <w:cantSplit/>
          <w:cantSplit/>
        </w:trPr>
        <w:tc>
          <w:tcPr>
            <w:tcW w:type="dxa" w:w="2232"/>
            <w:vAlign w:val="center"/>
          </w:tcPr>
          <w:p>
            <w:pPr>
              <w:spacing w:after="0" w:before="0"/>
            </w:pPr>
            <w:r>
              <w:rPr>
                <w:rFonts w:ascii="Arial" w:hAnsi="Arial"/>
                <w:sz w:val="17"/>
              </w:rPr>
            </w:r>
            <w:r>
              <w:rPr>
                <w:rFonts w:ascii="Arial" w:hAnsi="Arial"/>
                <w:b w:val="0"/>
                <w:sz w:val="17"/>
              </w:rPr>
              <w:t>Potencial máximo</w:t>
            </w:r>
          </w:p>
        </w:tc>
        <w:tc>
          <w:tcPr>
            <w:tcW w:type="dxa" w:w="7272"/>
            <w:vAlign w:val="center"/>
          </w:tcPr>
          <w:p>
            <w:pPr>
              <w:spacing w:after="0" w:before="0"/>
            </w:pPr>
            <w:r>
              <w:rPr>
                <w:rFonts w:ascii="Arial" w:hAnsi="Arial"/>
                <w:sz w:val="17"/>
              </w:rPr>
            </w:r>
            <w:r>
              <w:rPr>
                <w:rFonts w:ascii="Arial" w:hAnsi="Arial"/>
                <w:b w:val="0"/>
                <w:sz w:val="17"/>
              </w:rPr>
              <w:t>CA usado, área privativa, unidades, VGV</w:t>
            </w:r>
          </w:p>
        </w:tc>
      </w:tr>
      <w:tr>
        <w:trPr>
          <w:cantSplit/>
          <w:cantSplit/>
        </w:trPr>
        <w:tc>
          <w:tcPr>
            <w:tcW w:type="dxa" w:w="2232"/>
            <w:vAlign w:val="center"/>
          </w:tcPr>
          <w:p>
            <w:pPr>
              <w:spacing w:after="0" w:before="0"/>
            </w:pPr>
            <w:r>
              <w:rPr>
                <w:rFonts w:ascii="Arial" w:hAnsi="Arial"/>
                <w:sz w:val="17"/>
              </w:rPr>
            </w:r>
            <w:r>
              <w:rPr>
                <w:rFonts w:ascii="Arial" w:hAnsi="Arial"/>
                <w:b w:val="0"/>
                <w:sz w:val="17"/>
              </w:rPr>
              <w:t>Financeiro</w:t>
            </w:r>
          </w:p>
        </w:tc>
        <w:tc>
          <w:tcPr>
            <w:tcW w:type="dxa" w:w="7272"/>
            <w:vAlign w:val="center"/>
          </w:tcPr>
          <w:p>
            <w:pPr>
              <w:spacing w:after="0" w:before="0"/>
            </w:pPr>
            <w:r>
              <w:rPr>
                <w:rFonts w:ascii="Arial" w:hAnsi="Arial"/>
                <w:sz w:val="17"/>
              </w:rPr>
            </w:r>
            <w:r>
              <w:rPr>
                <w:rFonts w:ascii="Arial" w:hAnsi="Arial"/>
                <w:b w:val="0"/>
                <w:sz w:val="17"/>
              </w:rPr>
              <w:t>margem, CAPEX, custo de garagem/terra, receita</w:t>
            </w:r>
          </w:p>
        </w:tc>
      </w:tr>
      <w:tr>
        <w:trPr>
          <w:cantSplit/>
          <w:cantSplit/>
        </w:trPr>
        <w:tc>
          <w:tcPr>
            <w:tcW w:type="dxa" w:w="2232"/>
            <w:vAlign w:val="center"/>
          </w:tcPr>
          <w:p>
            <w:pPr>
              <w:spacing w:after="0" w:before="0"/>
            </w:pPr>
            <w:r>
              <w:rPr>
                <w:rFonts w:ascii="Arial" w:hAnsi="Arial"/>
                <w:sz w:val="17"/>
              </w:rPr>
            </w:r>
            <w:r>
              <w:rPr>
                <w:rFonts w:ascii="Arial" w:hAnsi="Arial"/>
                <w:b w:val="0"/>
                <w:sz w:val="17"/>
              </w:rPr>
              <w:t>Arquitetura</w:t>
            </w:r>
          </w:p>
        </w:tc>
        <w:tc>
          <w:tcPr>
            <w:tcW w:type="dxa" w:w="7272"/>
            <w:vAlign w:val="center"/>
          </w:tcPr>
          <w:p>
            <w:pPr>
              <w:spacing w:after="0" w:before="0"/>
            </w:pPr>
            <w:r>
              <w:rPr>
                <w:rFonts w:ascii="Arial" w:hAnsi="Arial"/>
                <w:sz w:val="17"/>
              </w:rPr>
            </w:r>
            <w:r>
              <w:rPr>
                <w:rFonts w:ascii="Arial" w:hAnsi="Arial"/>
                <w:b w:val="0"/>
                <w:sz w:val="17"/>
              </w:rPr>
              <w:t>eficiência, circulação, repetição, vistas, qualidade de planta</w:t>
            </w:r>
          </w:p>
        </w:tc>
      </w:tr>
      <w:tr>
        <w:trPr>
          <w:cantSplit/>
          <w:cantSplit/>
        </w:trPr>
        <w:tc>
          <w:tcPr>
            <w:tcW w:type="dxa" w:w="2232"/>
            <w:vAlign w:val="center"/>
          </w:tcPr>
          <w:p>
            <w:pPr>
              <w:spacing w:after="0" w:before="0"/>
            </w:pPr>
            <w:r>
              <w:rPr>
                <w:rFonts w:ascii="Arial" w:hAnsi="Arial"/>
                <w:sz w:val="17"/>
              </w:rPr>
            </w:r>
            <w:r>
              <w:rPr>
                <w:rFonts w:ascii="Arial" w:hAnsi="Arial"/>
                <w:b w:val="0"/>
                <w:sz w:val="17"/>
              </w:rPr>
              <w:t>Ambiental</w:t>
            </w:r>
          </w:p>
        </w:tc>
        <w:tc>
          <w:tcPr>
            <w:tcW w:type="dxa" w:w="7272"/>
            <w:vAlign w:val="center"/>
          </w:tcPr>
          <w:p>
            <w:pPr>
              <w:spacing w:after="0" w:before="0"/>
            </w:pPr>
            <w:r>
              <w:rPr>
                <w:rFonts w:ascii="Arial" w:hAnsi="Arial"/>
                <w:sz w:val="17"/>
              </w:rPr>
            </w:r>
            <w:r>
              <w:rPr>
                <w:rFonts w:ascii="Arial" w:hAnsi="Arial"/>
                <w:b w:val="0"/>
                <w:sz w:val="17"/>
              </w:rPr>
              <w:t>sol, daylight, permeabilidade, energia, carbono, microclima</w:t>
            </w:r>
          </w:p>
        </w:tc>
      </w:tr>
      <w:tr>
        <w:trPr>
          <w:cantSplit/>
          <w:cantSplit/>
        </w:trPr>
        <w:tc>
          <w:tcPr>
            <w:tcW w:type="dxa" w:w="2232"/>
            <w:vAlign w:val="center"/>
          </w:tcPr>
          <w:p>
            <w:pPr>
              <w:spacing w:after="0" w:before="0"/>
            </w:pPr>
            <w:r>
              <w:rPr>
                <w:rFonts w:ascii="Arial" w:hAnsi="Arial"/>
                <w:sz w:val="17"/>
              </w:rPr>
            </w:r>
            <w:r>
              <w:rPr>
                <w:rFonts w:ascii="Arial" w:hAnsi="Arial"/>
                <w:b w:val="0"/>
                <w:sz w:val="17"/>
              </w:rPr>
              <w:t>Construtibilidade</w:t>
            </w:r>
          </w:p>
        </w:tc>
        <w:tc>
          <w:tcPr>
            <w:tcW w:type="dxa" w:w="7272"/>
            <w:vAlign w:val="center"/>
          </w:tcPr>
          <w:p>
            <w:pPr>
              <w:spacing w:after="0" w:before="0"/>
            </w:pPr>
            <w:r>
              <w:rPr>
                <w:rFonts w:ascii="Arial" w:hAnsi="Arial"/>
                <w:sz w:val="17"/>
              </w:rPr>
            </w:r>
            <w:r>
              <w:rPr>
                <w:rFonts w:ascii="Arial" w:hAnsi="Arial"/>
                <w:b w:val="0"/>
                <w:sz w:val="17"/>
              </w:rPr>
              <w:t>repetição, alinhamentos, grid, núcleos, contenções, cut/fill</w:t>
            </w:r>
          </w:p>
        </w:tc>
      </w:tr>
      <w:tr>
        <w:trPr>
          <w:cantSplit/>
          <w:cantSplit/>
        </w:trPr>
        <w:tc>
          <w:tcPr>
            <w:tcW w:type="dxa" w:w="2232"/>
            <w:vAlign w:val="center"/>
          </w:tcPr>
          <w:p>
            <w:pPr>
              <w:spacing w:after="0" w:before="0"/>
            </w:pPr>
            <w:r>
              <w:rPr>
                <w:rFonts w:ascii="Arial" w:hAnsi="Arial"/>
                <w:sz w:val="17"/>
              </w:rPr>
            </w:r>
            <w:r>
              <w:rPr>
                <w:rFonts w:ascii="Arial" w:hAnsi="Arial"/>
                <w:b w:val="0"/>
                <w:sz w:val="17"/>
              </w:rPr>
              <w:t>Equilibrado</w:t>
            </w:r>
          </w:p>
        </w:tc>
        <w:tc>
          <w:tcPr>
            <w:tcW w:type="dxa" w:w="7272"/>
            <w:vAlign w:val="center"/>
          </w:tcPr>
          <w:p>
            <w:pPr>
              <w:spacing w:after="0" w:before="0"/>
            </w:pPr>
            <w:r>
              <w:rPr>
                <w:rFonts w:ascii="Arial" w:hAnsi="Arial"/>
                <w:sz w:val="17"/>
              </w:rPr>
            </w:r>
            <w:r>
              <w:rPr>
                <w:rFonts w:ascii="Arial" w:hAnsi="Arial"/>
                <w:b w:val="0"/>
                <w:sz w:val="17"/>
              </w:rPr>
              <w:t>pesos normalizados + penalização de riscos e baixa confiança de dados</w:t>
            </w:r>
          </w:p>
        </w:tc>
      </w:tr>
    </w:tbl>
    <w:p>
      <w:pPr>
        <w:pStyle w:val="Heading2"/>
        <w:keepNext/>
      </w:pPr>
      <w:r>
        <w:t>28.23 Explore Variations: travar, editar e regenerar</w:t>
      </w:r>
    </w:p>
    <w:p>
      <w:pPr>
        <w:spacing w:after="100"/>
      </w:pPr>
      <w:r>
        <w:rPr>
          <w:i w:val="0"/>
        </w:rPr>
        <w:t>O profissional deve permanecer no controle. Uma alternativa pode virar “parent solution”; o usuário trava elementos e pede novas variações somente para o restante. A lógica é semelhante ao padrão de exploração iterativa observado em ferramentas generativas atuais [R68][R72].</w:t>
      </w:r>
    </w:p>
    <w:p>
      <w:pPr>
        <w:pStyle w:val="ListBullet"/>
        <w:spacing w:after="40"/>
      </w:pPr>
      <w:r>
        <w:t>Lock de perímetro, torre, acesso, núcleo, pavimento, unidade, área de lazer ou garagem.</w:t>
      </w:r>
    </w:p>
    <w:p>
      <w:pPr>
        <w:pStyle w:val="ListBullet"/>
        <w:spacing w:after="40"/>
      </w:pPr>
      <w:r>
        <w:t>Regenerar apenas torres não travadas.</w:t>
      </w:r>
    </w:p>
    <w:p>
      <w:pPr>
        <w:pStyle w:val="ListBullet"/>
        <w:spacing w:after="40"/>
      </w:pPr>
      <w:r>
        <w:t>Manter CA aproximado e buscar melhor garagem.</w:t>
      </w:r>
    </w:p>
    <w:p>
      <w:pPr>
        <w:pStyle w:val="ListBullet"/>
        <w:spacing w:after="40"/>
      </w:pPr>
      <w:r>
        <w:t>Manter implantação e variar unit mix.</w:t>
      </w:r>
    </w:p>
    <w:p>
      <w:pPr>
        <w:pStyle w:val="ListBullet"/>
        <w:spacing w:after="40"/>
      </w:pPr>
      <w:r>
        <w:t>Manter unit mix e variar plantas.</w:t>
      </w:r>
    </w:p>
    <w:p>
      <w:pPr>
        <w:pStyle w:val="ListBullet"/>
        <w:spacing w:after="40"/>
      </w:pPr>
      <w:r>
        <w:t>Branching: cada alteração cria uma versão/ramo comparável e reversível.</w:t>
      </w:r>
    </w:p>
    <w:p>
      <w:pPr>
        <w:pStyle w:val="ListBullet"/>
        <w:spacing w:after="40"/>
      </w:pPr>
      <w:r>
        <w:t>Diff visual e numérico entre pai e variante.</w:t>
      </w:r>
    </w:p>
    <w:p>
      <w:pPr>
        <w:pStyle w:val="Heading2"/>
        <w:keepNext/>
      </w:pPr>
      <w:r>
        <w:t>28.24 Chat A.I TEC — linguagem natural como controle do CAD</w:t>
      </w:r>
    </w:p>
    <w:p>
      <w:pPr>
        <w:spacing w:after="100"/>
      </w:pPr>
      <w:r>
        <w:rPr>
          <w:i w:val="0"/>
        </w:rPr>
        <w:t>O chat deve ser um controlador de operações verificáveis, não apenas um assistente textual. Exemplos:</w:t>
      </w:r>
    </w:p>
    <w:p>
      <w:pPr>
        <w:pStyle w:val="ListBullet"/>
        <w:spacing w:after="40"/>
      </w:pPr>
      <w:r>
        <w:t>“Gere 100 soluções com no mínimo 320 unidades e duas vagas para cada unidade de 3 dormitórios.”</w:t>
      </w:r>
    </w:p>
    <w:p>
      <w:pPr>
        <w:pStyle w:val="ListBullet"/>
        <w:spacing w:after="40"/>
      </w:pPr>
      <w:r>
        <w:t>“Evite construir na porção norte e mantenha a portaria neste ponto.”</w:t>
      </w:r>
    </w:p>
    <w:p>
      <w:pPr>
        <w:pStyle w:val="ListBullet"/>
        <w:spacing w:after="40"/>
      </w:pPr>
      <w:r>
        <w:t>“Quero mais unidades de 2 dormitórios, mas preserve o VGV da solução 42.”</w:t>
      </w:r>
    </w:p>
    <w:p>
      <w:pPr>
        <w:pStyle w:val="ListBullet"/>
        <w:spacing w:after="40"/>
      </w:pPr>
      <w:r>
        <w:t>“Use no máximo dois subsolos e minimize movimentação de terra.”</w:t>
      </w:r>
    </w:p>
    <w:p>
      <w:pPr>
        <w:pStyle w:val="ListBullet"/>
        <w:spacing w:after="40"/>
      </w:pPr>
      <w:r>
        <w:t>“Trave as torres 1 e 2 e tente melhorar a insolação das demais.”</w:t>
      </w:r>
    </w:p>
    <w:p>
      <w:pPr>
        <w:pStyle w:val="ListBullet"/>
        <w:spacing w:after="40"/>
      </w:pPr>
      <w:r>
        <w:t>“Na planta de 78 m², crie 3 quartos, 1 suíte, lavabo e cozinha integrada; mantenha o shaft.”</w:t>
      </w:r>
    </w:p>
    <w:p>
      <w:pPr>
        <w:pStyle w:val="ListBullet"/>
        <w:spacing w:after="40"/>
      </w:pPr>
      <w:r>
        <w:t>“Mostre por que esta solução não atingiu 100% das vagas.”</w:t>
      </w:r>
    </w:p>
    <w:p>
      <w:pPr>
        <w:pStyle w:val="ListBullet"/>
        <w:spacing w:after="40"/>
      </w:pPr>
      <w:r>
        <w:t>“Qual regra municipal impediu uma quarta torre?”</w:t>
      </w:r>
    </w:p>
    <w:p>
      <w:pPr>
        <w:spacing w:after="100"/>
      </w:pPr>
      <w:r>
        <w:rPr>
          <w:i w:val="0"/>
        </w:rPr>
        <w:t>Cada comando precisa ser traduzido para um conjunto explícito de operações/constraints. Antes de executar, o sistema mostra o que será alterado quando a mudança tiver grande impacto. Depois, retorna diff, métricas e qualquer regra que tenha se tornado crítica.</w:t>
      </w:r>
    </w:p>
    <w:p>
      <w:pPr>
        <w:pStyle w:val="Heading2"/>
        <w:keepNext/>
      </w:pPr>
      <w:r>
        <w:t>28.25 Canvas 2D/3D e experiência de uso</w:t>
      </w:r>
    </w:p>
    <w:p>
      <w:pPr>
        <w:spacing w:after="100"/>
      </w:pPr>
      <w:r>
        <w:rPr>
          <w:i w:val="0"/>
        </w:rPr>
        <w:t>A tela principal combina mapa georreferenciado, CAD 2D e gêmeo 3D:</w:t>
      </w:r>
    </w:p>
    <w:p>
      <w:pPr>
        <w:pStyle w:val="ListBullet"/>
        <w:spacing w:after="40"/>
      </w:pPr>
      <w:r>
        <w:t>Esquerda: árvore do projeto e layers (lote, lei, topografia, restrições, proposta, análises).</w:t>
      </w:r>
    </w:p>
    <w:p>
      <w:pPr>
        <w:pStyle w:val="ListBullet"/>
        <w:spacing w:after="40"/>
      </w:pPr>
      <w:r>
        <w:t>Centro: canvas 2D/3D sincronizado, seleção e edição direta dos objetos.</w:t>
      </w:r>
    </w:p>
    <w:p>
      <w:pPr>
        <w:pStyle w:val="ListBullet"/>
        <w:spacing w:after="40"/>
      </w:pPr>
      <w:r>
        <w:t>Direita: programa, constraints, objetivos, KPIs e propriedades do objeto selecionado.</w:t>
      </w:r>
    </w:p>
    <w:p>
      <w:pPr>
        <w:pStyle w:val="ListBullet"/>
        <w:spacing w:after="40"/>
      </w:pPr>
      <w:r>
        <w:t>Inferior: solution tray com cards, filtros, favoritos, Pareto e comparação.</w:t>
      </w:r>
    </w:p>
    <w:p>
      <w:pPr>
        <w:pStyle w:val="ListBullet"/>
        <w:spacing w:after="40"/>
      </w:pPr>
      <w:r>
        <w:t>Chat contextual flutuante com conhecimento do objeto selecionado.</w:t>
      </w:r>
    </w:p>
    <w:p>
      <w:pPr>
        <w:pStyle w:val="ListBullet"/>
        <w:spacing w:after="40"/>
      </w:pPr>
      <w:r>
        <w:t>Timeline/version tree para navegar entre branches gerados.</w:t>
      </w:r>
    </w:p>
    <w:p>
      <w:pPr>
        <w:pStyle w:val="ListBullet"/>
        <w:spacing w:after="40"/>
      </w:pPr>
      <w:r>
        <w:t>Heatmaps para declividade, sol, daylight, ruído, custo, terraplenagem e valor.</w:t>
      </w:r>
    </w:p>
    <w:p>
      <w:pPr>
        <w:pStyle w:val="Heading2"/>
        <w:keepNext/>
      </w:pPr>
      <w:r>
        <w:t>28.26 Quadro de áreas e métricas obrigatórias</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2088"/>
            <w:vAlign w:val="center"/>
            <w:shd w:fill="D9EAF7"/>
          </w:tcPr>
          <w:p>
            <w:pPr>
              <w:spacing w:after="0" w:before="0"/>
            </w:pPr>
            <w:r>
              <w:rPr>
                <w:rFonts w:ascii="Arial" w:hAnsi="Arial"/>
                <w:sz w:val="17"/>
              </w:rPr>
            </w:r>
            <w:r>
              <w:rPr>
                <w:rFonts w:ascii="Arial" w:hAnsi="Arial"/>
                <w:b/>
                <w:sz w:val="17"/>
              </w:rPr>
              <w:t>Bloco</w:t>
            </w:r>
          </w:p>
        </w:tc>
        <w:tc>
          <w:tcPr>
            <w:tcW w:type="dxa" w:w="7416"/>
            <w:vAlign w:val="center"/>
            <w:shd w:fill="D9EAF7"/>
          </w:tcPr>
          <w:p>
            <w:pPr>
              <w:spacing w:after="0" w:before="0"/>
            </w:pPr>
            <w:r>
              <w:rPr>
                <w:rFonts w:ascii="Arial" w:hAnsi="Arial"/>
                <w:sz w:val="17"/>
              </w:rPr>
            </w:r>
            <w:r>
              <w:rPr>
                <w:rFonts w:ascii="Arial" w:hAnsi="Arial"/>
                <w:b/>
                <w:sz w:val="17"/>
              </w:rPr>
              <w:t>KPIs</w:t>
            </w:r>
          </w:p>
        </w:tc>
      </w:tr>
      <w:tr>
        <w:trPr>
          <w:cantSplit/>
          <w:cantSplit/>
        </w:trPr>
        <w:tc>
          <w:tcPr>
            <w:tcW w:type="dxa" w:w="2088"/>
            <w:vAlign w:val="center"/>
          </w:tcPr>
          <w:p>
            <w:pPr>
              <w:spacing w:after="0" w:before="0"/>
            </w:pPr>
            <w:r>
              <w:rPr>
                <w:rFonts w:ascii="Arial" w:hAnsi="Arial"/>
                <w:sz w:val="17"/>
              </w:rPr>
            </w:r>
            <w:r>
              <w:rPr>
                <w:rFonts w:ascii="Arial" w:hAnsi="Arial"/>
                <w:b w:val="0"/>
                <w:sz w:val="17"/>
              </w:rPr>
              <w:t>Terreno</w:t>
            </w:r>
          </w:p>
        </w:tc>
        <w:tc>
          <w:tcPr>
            <w:tcW w:type="dxa" w:w="7416"/>
            <w:vAlign w:val="center"/>
          </w:tcPr>
          <w:p>
            <w:pPr>
              <w:spacing w:after="0" w:before="0"/>
            </w:pPr>
            <w:r>
              <w:rPr>
                <w:rFonts w:ascii="Arial" w:hAnsi="Arial"/>
                <w:sz w:val="17"/>
              </w:rPr>
            </w:r>
            <w:r>
              <w:rPr>
                <w:rFonts w:ascii="Arial" w:hAnsi="Arial"/>
                <w:b w:val="0"/>
                <w:sz w:val="17"/>
              </w:rPr>
              <w:t>área geométrica, matrícula, aproveitável, restrita, declividade, frente</w:t>
            </w:r>
          </w:p>
        </w:tc>
      </w:tr>
      <w:tr>
        <w:trPr>
          <w:cantSplit/>
          <w:cantSplit/>
        </w:trPr>
        <w:tc>
          <w:tcPr>
            <w:tcW w:type="dxa" w:w="2088"/>
            <w:vAlign w:val="center"/>
          </w:tcPr>
          <w:p>
            <w:pPr>
              <w:spacing w:after="0" w:before="0"/>
            </w:pPr>
            <w:r>
              <w:rPr>
                <w:rFonts w:ascii="Arial" w:hAnsi="Arial"/>
                <w:sz w:val="17"/>
              </w:rPr>
            </w:r>
            <w:r>
              <w:rPr>
                <w:rFonts w:ascii="Arial" w:hAnsi="Arial"/>
                <w:b w:val="0"/>
                <w:sz w:val="17"/>
              </w:rPr>
              <w:t>Urbanístico</w:t>
            </w:r>
          </w:p>
        </w:tc>
        <w:tc>
          <w:tcPr>
            <w:tcW w:type="dxa" w:w="7416"/>
            <w:vAlign w:val="center"/>
          </w:tcPr>
          <w:p>
            <w:pPr>
              <w:spacing w:after="0" w:before="0"/>
            </w:pPr>
            <w:r>
              <w:rPr>
                <w:rFonts w:ascii="Arial" w:hAnsi="Arial"/>
                <w:sz w:val="17"/>
              </w:rPr>
            </w:r>
            <w:r>
              <w:rPr>
                <w:rFonts w:ascii="Arial" w:hAnsi="Arial"/>
                <w:b w:val="0"/>
                <w:sz w:val="17"/>
              </w:rPr>
              <w:t>CA básico/máximo/usado, TO, permeabilidade, altura, recuos, incentivos</w:t>
            </w:r>
          </w:p>
        </w:tc>
      </w:tr>
      <w:tr>
        <w:trPr>
          <w:cantSplit/>
          <w:cantSplit/>
        </w:trPr>
        <w:tc>
          <w:tcPr>
            <w:tcW w:type="dxa" w:w="2088"/>
            <w:vAlign w:val="center"/>
          </w:tcPr>
          <w:p>
            <w:pPr>
              <w:spacing w:after="0" w:before="0"/>
            </w:pPr>
            <w:r>
              <w:rPr>
                <w:rFonts w:ascii="Arial" w:hAnsi="Arial"/>
                <w:sz w:val="17"/>
              </w:rPr>
            </w:r>
            <w:r>
              <w:rPr>
                <w:rFonts w:ascii="Arial" w:hAnsi="Arial"/>
                <w:b w:val="0"/>
                <w:sz w:val="17"/>
              </w:rPr>
              <w:t>Implantação</w:t>
            </w:r>
          </w:p>
        </w:tc>
        <w:tc>
          <w:tcPr>
            <w:tcW w:type="dxa" w:w="7416"/>
            <w:vAlign w:val="center"/>
          </w:tcPr>
          <w:p>
            <w:pPr>
              <w:spacing w:after="0" w:before="0"/>
            </w:pPr>
            <w:r>
              <w:rPr>
                <w:rFonts w:ascii="Arial" w:hAnsi="Arial"/>
                <w:sz w:val="17"/>
              </w:rPr>
            </w:r>
            <w:r>
              <w:rPr>
                <w:rFonts w:ascii="Arial" w:hAnsi="Arial"/>
                <w:b w:val="0"/>
                <w:sz w:val="17"/>
              </w:rPr>
              <w:t>torres/blocos/casas, pavimentos, footprint, lazer, viário, vagas</w:t>
            </w:r>
          </w:p>
        </w:tc>
      </w:tr>
      <w:tr>
        <w:trPr>
          <w:cantSplit/>
          <w:cantSplit/>
        </w:trPr>
        <w:tc>
          <w:tcPr>
            <w:tcW w:type="dxa" w:w="2088"/>
            <w:vAlign w:val="center"/>
          </w:tcPr>
          <w:p>
            <w:pPr>
              <w:spacing w:after="0" w:before="0"/>
            </w:pPr>
            <w:r>
              <w:rPr>
                <w:rFonts w:ascii="Arial" w:hAnsi="Arial"/>
                <w:sz w:val="17"/>
              </w:rPr>
            </w:r>
            <w:r>
              <w:rPr>
                <w:rFonts w:ascii="Arial" w:hAnsi="Arial"/>
                <w:b w:val="0"/>
                <w:sz w:val="17"/>
              </w:rPr>
              <w:t>Produto</w:t>
            </w:r>
          </w:p>
        </w:tc>
        <w:tc>
          <w:tcPr>
            <w:tcW w:type="dxa" w:w="7416"/>
            <w:vAlign w:val="center"/>
          </w:tcPr>
          <w:p>
            <w:pPr>
              <w:spacing w:after="0" w:before="0"/>
            </w:pPr>
            <w:r>
              <w:rPr>
                <w:rFonts w:ascii="Arial" w:hAnsi="Arial"/>
                <w:sz w:val="17"/>
              </w:rPr>
            </w:r>
            <w:r>
              <w:rPr>
                <w:rFonts w:ascii="Arial" w:hAnsi="Arial"/>
                <w:b w:val="0"/>
                <w:sz w:val="17"/>
              </w:rPr>
              <w:t>unidades por tipologia/torre/pavimento, área privativa e mix</w:t>
            </w:r>
          </w:p>
        </w:tc>
      </w:tr>
      <w:tr>
        <w:trPr>
          <w:cantSplit/>
          <w:cantSplit/>
        </w:trPr>
        <w:tc>
          <w:tcPr>
            <w:tcW w:type="dxa" w:w="2088"/>
            <w:vAlign w:val="center"/>
          </w:tcPr>
          <w:p>
            <w:pPr>
              <w:spacing w:after="0" w:before="0"/>
            </w:pPr>
            <w:r>
              <w:rPr>
                <w:rFonts w:ascii="Arial" w:hAnsi="Arial"/>
                <w:sz w:val="17"/>
              </w:rPr>
            </w:r>
            <w:r>
              <w:rPr>
                <w:rFonts w:ascii="Arial" w:hAnsi="Arial"/>
                <w:b w:val="0"/>
                <w:sz w:val="17"/>
              </w:rPr>
              <w:t>Áreas</w:t>
            </w:r>
          </w:p>
        </w:tc>
        <w:tc>
          <w:tcPr>
            <w:tcW w:type="dxa" w:w="7416"/>
            <w:vAlign w:val="center"/>
          </w:tcPr>
          <w:p>
            <w:pPr>
              <w:spacing w:after="0" w:before="0"/>
            </w:pPr>
            <w:r>
              <w:rPr>
                <w:rFonts w:ascii="Arial" w:hAnsi="Arial"/>
                <w:sz w:val="17"/>
              </w:rPr>
            </w:r>
            <w:r>
              <w:rPr>
                <w:rFonts w:ascii="Arial" w:hAnsi="Arial"/>
                <w:b w:val="0"/>
                <w:sz w:val="17"/>
              </w:rPr>
              <w:t>privativa, construída, computável, não computável, circulação, técnica, garagem</w:t>
            </w:r>
          </w:p>
        </w:tc>
      </w:tr>
      <w:tr>
        <w:trPr>
          <w:cantSplit/>
          <w:cantSplit/>
        </w:trPr>
        <w:tc>
          <w:tcPr>
            <w:tcW w:type="dxa" w:w="2088"/>
            <w:vAlign w:val="center"/>
          </w:tcPr>
          <w:p>
            <w:pPr>
              <w:spacing w:after="0" w:before="0"/>
            </w:pPr>
            <w:r>
              <w:rPr>
                <w:rFonts w:ascii="Arial" w:hAnsi="Arial"/>
                <w:sz w:val="17"/>
              </w:rPr>
            </w:r>
            <w:r>
              <w:rPr>
                <w:rFonts w:ascii="Arial" w:hAnsi="Arial"/>
                <w:b w:val="0"/>
                <w:sz w:val="17"/>
              </w:rPr>
              <w:t>Eficiência</w:t>
            </w:r>
          </w:p>
        </w:tc>
        <w:tc>
          <w:tcPr>
            <w:tcW w:type="dxa" w:w="7416"/>
            <w:vAlign w:val="center"/>
          </w:tcPr>
          <w:p>
            <w:pPr>
              <w:spacing w:after="0" w:before="0"/>
            </w:pPr>
            <w:r>
              <w:rPr>
                <w:rFonts w:ascii="Arial" w:hAnsi="Arial"/>
                <w:sz w:val="17"/>
              </w:rPr>
            </w:r>
            <w:r>
              <w:rPr>
                <w:rFonts w:ascii="Arial" w:hAnsi="Arial"/>
                <w:b w:val="0"/>
                <w:sz w:val="17"/>
              </w:rPr>
              <w:t>privativa/construída, vendável/terreno, circulação/pavimento, área por vaga</w:t>
            </w:r>
          </w:p>
        </w:tc>
      </w:tr>
      <w:tr>
        <w:trPr>
          <w:cantSplit/>
          <w:cantSplit/>
        </w:trPr>
        <w:tc>
          <w:tcPr>
            <w:tcW w:type="dxa" w:w="2088"/>
            <w:vAlign w:val="center"/>
          </w:tcPr>
          <w:p>
            <w:pPr>
              <w:spacing w:after="0" w:before="0"/>
            </w:pPr>
            <w:r>
              <w:rPr>
                <w:rFonts w:ascii="Arial" w:hAnsi="Arial"/>
                <w:sz w:val="17"/>
              </w:rPr>
            </w:r>
            <w:r>
              <w:rPr>
                <w:rFonts w:ascii="Arial" w:hAnsi="Arial"/>
                <w:b w:val="0"/>
                <w:sz w:val="17"/>
              </w:rPr>
              <w:t>Terra</w:t>
            </w:r>
          </w:p>
        </w:tc>
        <w:tc>
          <w:tcPr>
            <w:tcW w:type="dxa" w:w="7416"/>
            <w:vAlign w:val="center"/>
          </w:tcPr>
          <w:p>
            <w:pPr>
              <w:spacing w:after="0" w:before="0"/>
            </w:pPr>
            <w:r>
              <w:rPr>
                <w:rFonts w:ascii="Arial" w:hAnsi="Arial"/>
                <w:sz w:val="17"/>
              </w:rPr>
            </w:r>
            <w:r>
              <w:rPr>
                <w:rFonts w:ascii="Arial" w:hAnsi="Arial"/>
                <w:b w:val="0"/>
                <w:sz w:val="17"/>
              </w:rPr>
              <w:t>corte, aterro, balanço, muros/platôs preliminares</w:t>
            </w:r>
          </w:p>
        </w:tc>
      </w:tr>
      <w:tr>
        <w:trPr>
          <w:cantSplit/>
          <w:cantSplit/>
        </w:trPr>
        <w:tc>
          <w:tcPr>
            <w:tcW w:type="dxa" w:w="2088"/>
            <w:vAlign w:val="center"/>
          </w:tcPr>
          <w:p>
            <w:pPr>
              <w:spacing w:after="0" w:before="0"/>
            </w:pPr>
            <w:r>
              <w:rPr>
                <w:rFonts w:ascii="Arial" w:hAnsi="Arial"/>
                <w:sz w:val="17"/>
              </w:rPr>
            </w:r>
            <w:r>
              <w:rPr>
                <w:rFonts w:ascii="Arial" w:hAnsi="Arial"/>
                <w:b w:val="0"/>
                <w:sz w:val="17"/>
              </w:rPr>
              <w:t>Ambiental</w:t>
            </w:r>
          </w:p>
        </w:tc>
        <w:tc>
          <w:tcPr>
            <w:tcW w:type="dxa" w:w="7416"/>
            <w:vAlign w:val="center"/>
          </w:tcPr>
          <w:p>
            <w:pPr>
              <w:spacing w:after="0" w:before="0"/>
            </w:pPr>
            <w:r>
              <w:rPr>
                <w:rFonts w:ascii="Arial" w:hAnsi="Arial"/>
                <w:sz w:val="17"/>
              </w:rPr>
            </w:r>
            <w:r>
              <w:rPr>
                <w:rFonts w:ascii="Arial" w:hAnsi="Arial"/>
                <w:b w:val="0"/>
                <w:sz w:val="17"/>
              </w:rPr>
              <w:t>sol/daylight, permeável, sombra, FV, carbono e indicadores disponíveis</w:t>
            </w:r>
          </w:p>
        </w:tc>
      </w:tr>
      <w:tr>
        <w:trPr>
          <w:cantSplit/>
          <w:cantSplit/>
        </w:trPr>
        <w:tc>
          <w:tcPr>
            <w:tcW w:type="dxa" w:w="2088"/>
            <w:vAlign w:val="center"/>
          </w:tcPr>
          <w:p>
            <w:pPr>
              <w:spacing w:after="0" w:before="0"/>
            </w:pPr>
            <w:r>
              <w:rPr>
                <w:rFonts w:ascii="Arial" w:hAnsi="Arial"/>
                <w:sz w:val="17"/>
              </w:rPr>
            </w:r>
            <w:r>
              <w:rPr>
                <w:rFonts w:ascii="Arial" w:hAnsi="Arial"/>
                <w:b w:val="0"/>
                <w:sz w:val="17"/>
              </w:rPr>
              <w:t>Financeiro</w:t>
            </w:r>
          </w:p>
        </w:tc>
        <w:tc>
          <w:tcPr>
            <w:tcW w:type="dxa" w:w="7416"/>
            <w:vAlign w:val="center"/>
          </w:tcPr>
          <w:p>
            <w:pPr>
              <w:spacing w:after="0" w:before="0"/>
            </w:pPr>
            <w:r>
              <w:rPr>
                <w:rFonts w:ascii="Arial" w:hAnsi="Arial"/>
                <w:sz w:val="17"/>
              </w:rPr>
            </w:r>
            <w:r>
              <w:rPr>
                <w:rFonts w:ascii="Arial" w:hAnsi="Arial"/>
                <w:b w:val="0"/>
                <w:sz w:val="17"/>
              </w:rPr>
              <w:t>VGV, CAPEX, margem, custo/área, sensibilidade</w:t>
            </w:r>
          </w:p>
        </w:tc>
      </w:tr>
      <w:tr>
        <w:trPr>
          <w:cantSplit/>
          <w:cantSplit/>
        </w:trPr>
        <w:tc>
          <w:tcPr>
            <w:tcW w:type="dxa" w:w="2088"/>
            <w:vAlign w:val="center"/>
          </w:tcPr>
          <w:p>
            <w:pPr>
              <w:spacing w:after="0" w:before="0"/>
            </w:pPr>
            <w:r>
              <w:rPr>
                <w:rFonts w:ascii="Arial" w:hAnsi="Arial"/>
                <w:sz w:val="17"/>
              </w:rPr>
            </w:r>
            <w:r>
              <w:rPr>
                <w:rFonts w:ascii="Arial" w:hAnsi="Arial"/>
                <w:b w:val="0"/>
                <w:sz w:val="17"/>
              </w:rPr>
              <w:t>Confiabilidade</w:t>
            </w:r>
          </w:p>
        </w:tc>
        <w:tc>
          <w:tcPr>
            <w:tcW w:type="dxa" w:w="7416"/>
            <w:vAlign w:val="center"/>
          </w:tcPr>
          <w:p>
            <w:pPr>
              <w:spacing w:after="0" w:before="0"/>
            </w:pPr>
            <w:r>
              <w:rPr>
                <w:rFonts w:ascii="Arial" w:hAnsi="Arial"/>
                <w:sz w:val="17"/>
              </w:rPr>
            </w:r>
            <w:r>
              <w:rPr>
                <w:rFonts w:ascii="Arial" w:hAnsi="Arial"/>
                <w:b w:val="0"/>
                <w:sz w:val="17"/>
              </w:rPr>
              <w:t>dados confirmados/provisórios, regras com fonte e hipóteses do cenário</w:t>
            </w:r>
          </w:p>
        </w:tc>
      </w:tr>
    </w:tbl>
    <w:p>
      <w:pPr>
        <w:pStyle w:val="Heading2"/>
        <w:keepNext/>
      </w:pPr>
      <w:r>
        <w:t>28.27 Exportação e continuidade CAD/BIM</w:t>
      </w:r>
    </w:p>
    <w:p>
      <w:pPr>
        <w:spacing w:after="100"/>
      </w:pPr>
      <w:r>
        <w:rPr>
          <w:i w:val="0"/>
        </w:rPr>
        <w:t>O A.I TEC deve gerar dados reutilizáveis, evitando “redesenho do estudo” na etapa seguinte. Arqgen oferece exportações de implantação/áreas e RVT em planos avançados; Finch enfatiza continuidade para Revit/Rhino/BIM [R66][R73]. Nossa estratégia deve ser aberta e orientada a objetos.</w:t>
      </w:r>
    </w:p>
    <w:p>
      <w:pPr>
        <w:pStyle w:val="ListBullet"/>
        <w:spacing w:after="40"/>
      </w:pPr>
      <w:r>
        <w:t>DWG/DXF com layers padronizados e blocos/objetos quando tecnicamente possível.</w:t>
      </w:r>
    </w:p>
    <w:p>
      <w:pPr>
        <w:pStyle w:val="ListBullet"/>
        <w:spacing w:after="40"/>
      </w:pPr>
      <w:r>
        <w:t>IFC com entidades e propriedades; IfcOpenShell pode participar da leitura/escrita/validação IFC [R77].</w:t>
      </w:r>
    </w:p>
    <w:p>
      <w:pPr>
        <w:pStyle w:val="ListBullet"/>
        <w:spacing w:after="40"/>
      </w:pPr>
      <w:r>
        <w:t>RVT por conector/API/licenciamento apropriado ou fluxo via IFC/Speckle/Autodesk Platform Services.</w:t>
      </w:r>
    </w:p>
    <w:p>
      <w:pPr>
        <w:pStyle w:val="ListBullet"/>
        <w:spacing w:after="40"/>
      </w:pPr>
      <w:r>
        <w:t>Speckle como opção de interoperabilidade e colaboração entre Rhino, Revit, IFC e outros ecossistemas [R78].</w:t>
      </w:r>
    </w:p>
    <w:p>
      <w:pPr>
        <w:pStyle w:val="ListBullet"/>
        <w:spacing w:after="40"/>
      </w:pPr>
      <w:r>
        <w:t>XLSX/CSV do quadro de áreas e todos os KPIs.</w:t>
      </w:r>
    </w:p>
    <w:p>
      <w:pPr>
        <w:pStyle w:val="ListBullet"/>
        <w:spacing w:after="40"/>
      </w:pPr>
      <w:r>
        <w:t>PDF do Estudo A.I TEC 360.</w:t>
      </w:r>
    </w:p>
    <w:p>
      <w:pPr>
        <w:pStyle w:val="ListBullet"/>
        <w:spacing w:after="40"/>
      </w:pPr>
      <w:r>
        <w:t>KMZ/GeoJSON/GPKG para GIS.</w:t>
      </w:r>
    </w:p>
    <w:p>
      <w:pPr>
        <w:pStyle w:val="ListBullet"/>
        <w:spacing w:after="40"/>
      </w:pPr>
      <w:r>
        <w:t>glTF/3D Tiles para visualização web e compartilhamento.</w:t>
      </w:r>
    </w:p>
    <w:p>
      <w:pPr>
        <w:pStyle w:val="Heading2"/>
        <w:keepNext/>
      </w:pPr>
      <w:r>
        <w:t>28.28 Arquitetura técnica recomendada</w:t>
      </w:r>
    </w:p>
    <w:p>
      <w:pPr>
        <w:spacing w:after="60"/>
        <w:jc w:val="center"/>
      </w:pPr>
      <w:r>
        <w:drawing>
          <wp:inline xmlns:a="http://schemas.openxmlformats.org/drawingml/2006/main" xmlns:pic="http://schemas.openxmlformats.org/drawingml/2006/picture">
            <wp:extent cx="5989320" cy="3743325"/>
            <wp:docPr id="8" name="Picture 8" descr="Figura 11 — Arquitetura funcional do A.I TEC: contexto, geometria, solvers, análises, decisão e exportação." title="Figura 11 — Arquitetura funcional do A.I TEC: contexto, geometria, solvers, análises, decisão e exportação."/>
            <wp:cNvGraphicFramePr>
              <a:graphicFrameLocks noChangeAspect="1"/>
            </wp:cNvGraphicFramePr>
            <a:graphic>
              <a:graphicData uri="http://schemas.openxmlformats.org/drawingml/2006/picture">
                <pic:pic>
                  <pic:nvPicPr>
                    <pic:cNvPr id="0" name="aitec_architecture.png"/>
                    <pic:cNvPicPr/>
                  </pic:nvPicPr>
                  <pic:blipFill>
                    <a:blip r:embed="rId17"/>
                    <a:stretch>
                      <a:fillRect/>
                    </a:stretch>
                  </pic:blipFill>
                  <pic:spPr>
                    <a:xfrm>
                      <a:off x="0" y="0"/>
                      <a:ext cx="5989320" cy="3743325"/>
                    </a:xfrm>
                    <a:prstGeom prst="rect"/>
                  </pic:spPr>
                </pic:pic>
              </a:graphicData>
            </a:graphic>
          </wp:inline>
        </w:drawing>
      </w:r>
    </w:p>
    <w:p>
      <w:pPr>
        <w:spacing w:after="160"/>
        <w:jc w:val="center"/>
      </w:pPr>
      <w:r>
        <w:rPr>
          <w:i/>
          <w:sz w:val="18"/>
        </w:rPr>
        <w:t>Figura 11 — Arquitetura funcional do A.I TEC: contexto, geometria, solvers, análises, decisão e exportação.</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2376"/>
            <w:vAlign w:val="center"/>
            <w:shd w:fill="D9EAF7"/>
          </w:tcPr>
          <w:p>
            <w:pPr>
              <w:spacing w:after="0" w:before="0"/>
            </w:pPr>
            <w:r>
              <w:rPr>
                <w:rFonts w:ascii="Arial" w:hAnsi="Arial"/>
                <w:sz w:val="17"/>
              </w:rPr>
            </w:r>
            <w:r>
              <w:rPr>
                <w:rFonts w:ascii="Arial" w:hAnsi="Arial"/>
                <w:b/>
                <w:sz w:val="17"/>
              </w:rPr>
              <w:t>Componente</w:t>
            </w:r>
          </w:p>
        </w:tc>
        <w:tc>
          <w:tcPr>
            <w:tcW w:type="dxa" w:w="7128"/>
            <w:vAlign w:val="center"/>
            <w:shd w:fill="D9EAF7"/>
          </w:tcPr>
          <w:p>
            <w:pPr>
              <w:spacing w:after="0" w:before="0"/>
            </w:pPr>
            <w:r>
              <w:rPr>
                <w:rFonts w:ascii="Arial" w:hAnsi="Arial"/>
                <w:sz w:val="17"/>
              </w:rPr>
            </w:r>
            <w:r>
              <w:rPr>
                <w:rFonts w:ascii="Arial" w:hAnsi="Arial"/>
                <w:b/>
                <w:sz w:val="17"/>
              </w:rPr>
              <w:t>Tecnologia/capacidade recomendada</w:t>
            </w:r>
          </w:p>
        </w:tc>
      </w:tr>
      <w:tr>
        <w:trPr>
          <w:cantSplit/>
          <w:cantSplit/>
        </w:trPr>
        <w:tc>
          <w:tcPr>
            <w:tcW w:type="dxa" w:w="2376"/>
            <w:vAlign w:val="center"/>
          </w:tcPr>
          <w:p>
            <w:pPr>
              <w:spacing w:after="0" w:before="0"/>
            </w:pPr>
            <w:r>
              <w:rPr>
                <w:rFonts w:ascii="Arial" w:hAnsi="Arial"/>
                <w:sz w:val="17"/>
              </w:rPr>
            </w:r>
            <w:r>
              <w:rPr>
                <w:rFonts w:ascii="Arial" w:hAnsi="Arial"/>
                <w:b w:val="0"/>
                <w:sz w:val="17"/>
              </w:rPr>
              <w:t>API/orquestração</w:t>
            </w:r>
          </w:p>
        </w:tc>
        <w:tc>
          <w:tcPr>
            <w:tcW w:type="dxa" w:w="7128"/>
            <w:vAlign w:val="center"/>
          </w:tcPr>
          <w:p>
            <w:pPr>
              <w:spacing w:after="0" w:before="0"/>
            </w:pPr>
            <w:r>
              <w:rPr>
                <w:rFonts w:ascii="Arial" w:hAnsi="Arial"/>
                <w:sz w:val="17"/>
              </w:rPr>
            </w:r>
            <w:r>
              <w:rPr>
                <w:rFonts w:ascii="Arial" w:hAnsi="Arial"/>
                <w:b w:val="0"/>
                <w:sz w:val="17"/>
              </w:rPr>
              <w:t>FastAPI/Python ou serviço equivalente; jobs assíncronos, versionamento e streaming de progresso</w:t>
            </w:r>
          </w:p>
        </w:tc>
      </w:tr>
      <w:tr>
        <w:trPr>
          <w:cantSplit/>
          <w:cantSplit/>
        </w:trPr>
        <w:tc>
          <w:tcPr>
            <w:tcW w:type="dxa" w:w="2376"/>
            <w:vAlign w:val="center"/>
          </w:tcPr>
          <w:p>
            <w:pPr>
              <w:spacing w:after="0" w:before="0"/>
            </w:pPr>
            <w:r>
              <w:rPr>
                <w:rFonts w:ascii="Arial" w:hAnsi="Arial"/>
                <w:sz w:val="17"/>
              </w:rPr>
            </w:r>
            <w:r>
              <w:rPr>
                <w:rFonts w:ascii="Arial" w:hAnsi="Arial"/>
                <w:b w:val="0"/>
                <w:sz w:val="17"/>
              </w:rPr>
              <w:t>GIS</w:t>
            </w:r>
          </w:p>
        </w:tc>
        <w:tc>
          <w:tcPr>
            <w:tcW w:type="dxa" w:w="7128"/>
            <w:vAlign w:val="center"/>
          </w:tcPr>
          <w:p>
            <w:pPr>
              <w:spacing w:after="0" w:before="0"/>
            </w:pPr>
            <w:r>
              <w:rPr>
                <w:rFonts w:ascii="Arial" w:hAnsi="Arial"/>
                <w:sz w:val="17"/>
              </w:rPr>
            </w:r>
            <w:r>
              <w:rPr>
                <w:rFonts w:ascii="Arial" w:hAnsi="Arial"/>
                <w:b w:val="0"/>
                <w:sz w:val="17"/>
              </w:rPr>
              <w:t>PostgreSQL/PostGIS, GDAL/OGR, PROJ; geometria georreferenciada e índices espaciais</w:t>
            </w:r>
          </w:p>
        </w:tc>
      </w:tr>
      <w:tr>
        <w:trPr>
          <w:cantSplit/>
          <w:cantSplit/>
        </w:trPr>
        <w:tc>
          <w:tcPr>
            <w:tcW w:type="dxa" w:w="2376"/>
            <w:vAlign w:val="center"/>
          </w:tcPr>
          <w:p>
            <w:pPr>
              <w:spacing w:after="0" w:before="0"/>
            </w:pPr>
            <w:r>
              <w:rPr>
                <w:rFonts w:ascii="Arial" w:hAnsi="Arial"/>
                <w:sz w:val="17"/>
              </w:rPr>
            </w:r>
            <w:r>
              <w:rPr>
                <w:rFonts w:ascii="Arial" w:hAnsi="Arial"/>
                <w:b w:val="0"/>
                <w:sz w:val="17"/>
              </w:rPr>
              <w:t>Geometry kernel</w:t>
            </w:r>
          </w:p>
        </w:tc>
        <w:tc>
          <w:tcPr>
            <w:tcW w:type="dxa" w:w="7128"/>
            <w:vAlign w:val="center"/>
          </w:tcPr>
          <w:p>
            <w:pPr>
              <w:spacing w:after="0" w:before="0"/>
            </w:pPr>
            <w:r>
              <w:rPr>
                <w:rFonts w:ascii="Arial" w:hAnsi="Arial"/>
                <w:sz w:val="17"/>
              </w:rPr>
            </w:r>
            <w:r>
              <w:rPr>
                <w:rFonts w:ascii="Arial" w:hAnsi="Arial"/>
                <w:b w:val="0"/>
                <w:sz w:val="17"/>
              </w:rPr>
              <w:t>OpenCascade/pythonOCC, Shapely/GEOS e/ou kernel especializado para BRep/booleans/offsets robustos</w:t>
            </w:r>
          </w:p>
        </w:tc>
      </w:tr>
      <w:tr>
        <w:trPr>
          <w:cantSplit/>
          <w:cantSplit/>
        </w:trPr>
        <w:tc>
          <w:tcPr>
            <w:tcW w:type="dxa" w:w="2376"/>
            <w:vAlign w:val="center"/>
          </w:tcPr>
          <w:p>
            <w:pPr>
              <w:spacing w:after="0" w:before="0"/>
            </w:pPr>
            <w:r>
              <w:rPr>
                <w:rFonts w:ascii="Arial" w:hAnsi="Arial"/>
                <w:sz w:val="17"/>
              </w:rPr>
            </w:r>
            <w:r>
              <w:rPr>
                <w:rFonts w:ascii="Arial" w:hAnsi="Arial"/>
                <w:b w:val="0"/>
                <w:sz w:val="17"/>
              </w:rPr>
              <w:t>Optimization</w:t>
            </w:r>
          </w:p>
        </w:tc>
        <w:tc>
          <w:tcPr>
            <w:tcW w:type="dxa" w:w="7128"/>
            <w:vAlign w:val="center"/>
          </w:tcPr>
          <w:p>
            <w:pPr>
              <w:spacing w:after="0" w:before="0"/>
            </w:pPr>
            <w:r>
              <w:rPr>
                <w:rFonts w:ascii="Arial" w:hAnsi="Arial"/>
                <w:sz w:val="17"/>
              </w:rPr>
            </w:r>
            <w:r>
              <w:rPr>
                <w:rFonts w:ascii="Arial" w:hAnsi="Arial"/>
                <w:b w:val="0"/>
                <w:sz w:val="17"/>
              </w:rPr>
              <w:t>OR-Tools CP-SAT/MathOpt; solver MILP opcional; heurísticas/evolutionary para espaço contínuo/multiobjetivo</w:t>
            </w:r>
          </w:p>
        </w:tc>
      </w:tr>
      <w:tr>
        <w:trPr>
          <w:cantSplit/>
          <w:cantSplit/>
        </w:trPr>
        <w:tc>
          <w:tcPr>
            <w:tcW w:type="dxa" w:w="2376"/>
            <w:vAlign w:val="center"/>
          </w:tcPr>
          <w:p>
            <w:pPr>
              <w:spacing w:after="0" w:before="0"/>
            </w:pPr>
            <w:r>
              <w:rPr>
                <w:rFonts w:ascii="Arial" w:hAnsi="Arial"/>
                <w:sz w:val="17"/>
              </w:rPr>
            </w:r>
            <w:r>
              <w:rPr>
                <w:rFonts w:ascii="Arial" w:hAnsi="Arial"/>
                <w:b w:val="0"/>
                <w:sz w:val="17"/>
              </w:rPr>
              <w:t>BIM</w:t>
            </w:r>
          </w:p>
        </w:tc>
        <w:tc>
          <w:tcPr>
            <w:tcW w:type="dxa" w:w="7128"/>
            <w:vAlign w:val="center"/>
          </w:tcPr>
          <w:p>
            <w:pPr>
              <w:spacing w:after="0" w:before="0"/>
            </w:pPr>
            <w:r>
              <w:rPr>
                <w:rFonts w:ascii="Arial" w:hAnsi="Arial"/>
                <w:sz w:val="17"/>
              </w:rPr>
            </w:r>
            <w:r>
              <w:rPr>
                <w:rFonts w:ascii="Arial" w:hAnsi="Arial"/>
                <w:b w:val="0"/>
                <w:sz w:val="17"/>
              </w:rPr>
              <w:t>IfcOpenShell + conectores Speckle/APS quando autorizados</w:t>
            </w:r>
          </w:p>
        </w:tc>
      </w:tr>
      <w:tr>
        <w:trPr>
          <w:cantSplit/>
          <w:cantSplit/>
        </w:trPr>
        <w:tc>
          <w:tcPr>
            <w:tcW w:type="dxa" w:w="2376"/>
            <w:vAlign w:val="center"/>
          </w:tcPr>
          <w:p>
            <w:pPr>
              <w:spacing w:after="0" w:before="0"/>
            </w:pPr>
            <w:r>
              <w:rPr>
                <w:rFonts w:ascii="Arial" w:hAnsi="Arial"/>
                <w:sz w:val="17"/>
              </w:rPr>
            </w:r>
            <w:r>
              <w:rPr>
                <w:rFonts w:ascii="Arial" w:hAnsi="Arial"/>
                <w:b w:val="0"/>
                <w:sz w:val="17"/>
              </w:rPr>
              <w:t>3D web</w:t>
            </w:r>
          </w:p>
        </w:tc>
        <w:tc>
          <w:tcPr>
            <w:tcW w:type="dxa" w:w="7128"/>
            <w:vAlign w:val="center"/>
          </w:tcPr>
          <w:p>
            <w:pPr>
              <w:spacing w:after="0" w:before="0"/>
            </w:pPr>
            <w:r>
              <w:rPr>
                <w:rFonts w:ascii="Arial" w:hAnsi="Arial"/>
                <w:sz w:val="17"/>
              </w:rPr>
            </w:r>
            <w:r>
              <w:rPr>
                <w:rFonts w:ascii="Arial" w:hAnsi="Arial"/>
                <w:b w:val="0"/>
                <w:sz w:val="17"/>
              </w:rPr>
              <w:t>Three.js/WebGPU ou Cesium/3D Tiles; picking e edição de objetos</w:t>
            </w:r>
          </w:p>
        </w:tc>
      </w:tr>
      <w:tr>
        <w:trPr>
          <w:cantSplit/>
          <w:cantSplit/>
        </w:trPr>
        <w:tc>
          <w:tcPr>
            <w:tcW w:type="dxa" w:w="2376"/>
            <w:vAlign w:val="center"/>
          </w:tcPr>
          <w:p>
            <w:pPr>
              <w:spacing w:after="0" w:before="0"/>
            </w:pPr>
            <w:r>
              <w:rPr>
                <w:rFonts w:ascii="Arial" w:hAnsi="Arial"/>
                <w:sz w:val="17"/>
              </w:rPr>
            </w:r>
            <w:r>
              <w:rPr>
                <w:rFonts w:ascii="Arial" w:hAnsi="Arial"/>
                <w:b w:val="0"/>
                <w:sz w:val="17"/>
              </w:rPr>
              <w:t>AI</w:t>
            </w:r>
          </w:p>
        </w:tc>
        <w:tc>
          <w:tcPr>
            <w:tcW w:type="dxa" w:w="7128"/>
            <w:vAlign w:val="center"/>
          </w:tcPr>
          <w:p>
            <w:pPr>
              <w:spacing w:after="0" w:before="0"/>
            </w:pPr>
            <w:r>
              <w:rPr>
                <w:rFonts w:ascii="Arial" w:hAnsi="Arial"/>
                <w:sz w:val="17"/>
              </w:rPr>
            </w:r>
            <w:r>
              <w:rPr>
                <w:rFonts w:ascii="Arial" w:hAnsi="Arial"/>
                <w:b w:val="0"/>
                <w:sz w:val="17"/>
              </w:rPr>
              <w:t>LLM para intenção/orquestração; modelos geometry-aware para seeds/planta; embeddings apenas para conhecimento textual</w:t>
            </w:r>
          </w:p>
        </w:tc>
      </w:tr>
      <w:tr>
        <w:trPr>
          <w:cantSplit/>
          <w:cantSplit/>
        </w:trPr>
        <w:tc>
          <w:tcPr>
            <w:tcW w:type="dxa" w:w="2376"/>
            <w:vAlign w:val="center"/>
          </w:tcPr>
          <w:p>
            <w:pPr>
              <w:spacing w:after="0" w:before="0"/>
            </w:pPr>
            <w:r>
              <w:rPr>
                <w:rFonts w:ascii="Arial" w:hAnsi="Arial"/>
                <w:sz w:val="17"/>
              </w:rPr>
            </w:r>
            <w:r>
              <w:rPr>
                <w:rFonts w:ascii="Arial" w:hAnsi="Arial"/>
                <w:b w:val="0"/>
                <w:sz w:val="17"/>
              </w:rPr>
              <w:t>Analysis</w:t>
            </w:r>
          </w:p>
        </w:tc>
        <w:tc>
          <w:tcPr>
            <w:tcW w:type="dxa" w:w="7128"/>
            <w:vAlign w:val="center"/>
          </w:tcPr>
          <w:p>
            <w:pPr>
              <w:spacing w:after="0" w:before="0"/>
            </w:pPr>
            <w:r>
              <w:rPr>
                <w:rFonts w:ascii="Arial" w:hAnsi="Arial"/>
                <w:sz w:val="17"/>
              </w:rPr>
            </w:r>
            <w:r>
              <w:rPr>
                <w:rFonts w:ascii="Arial" w:hAnsi="Arial"/>
                <w:b w:val="0"/>
                <w:sz w:val="17"/>
              </w:rPr>
              <w:t>solar/daylight, terreno/cut-fill, custos e modelos rápidos; workers especializados</w:t>
            </w:r>
          </w:p>
        </w:tc>
      </w:tr>
      <w:tr>
        <w:trPr>
          <w:cantSplit/>
          <w:cantSplit/>
        </w:trPr>
        <w:tc>
          <w:tcPr>
            <w:tcW w:type="dxa" w:w="2376"/>
            <w:vAlign w:val="center"/>
          </w:tcPr>
          <w:p>
            <w:pPr>
              <w:spacing w:after="0" w:before="0"/>
            </w:pPr>
            <w:r>
              <w:rPr>
                <w:rFonts w:ascii="Arial" w:hAnsi="Arial"/>
                <w:sz w:val="17"/>
              </w:rPr>
            </w:r>
            <w:r>
              <w:rPr>
                <w:rFonts w:ascii="Arial" w:hAnsi="Arial"/>
                <w:b w:val="0"/>
                <w:sz w:val="17"/>
              </w:rPr>
              <w:t>Queue/cache</w:t>
            </w:r>
          </w:p>
        </w:tc>
        <w:tc>
          <w:tcPr>
            <w:tcW w:type="dxa" w:w="7128"/>
            <w:vAlign w:val="center"/>
          </w:tcPr>
          <w:p>
            <w:pPr>
              <w:spacing w:after="0" w:before="0"/>
            </w:pPr>
            <w:r>
              <w:rPr>
                <w:rFonts w:ascii="Arial" w:hAnsi="Arial"/>
                <w:sz w:val="17"/>
              </w:rPr>
            </w:r>
            <w:r>
              <w:rPr>
                <w:rFonts w:ascii="Arial" w:hAnsi="Arial"/>
                <w:b w:val="0"/>
                <w:sz w:val="17"/>
              </w:rPr>
              <w:t>Redis/Valkey + worker pool; armazenamento de artefatos em S3 compatível</w:t>
            </w:r>
          </w:p>
        </w:tc>
      </w:tr>
      <w:tr>
        <w:trPr>
          <w:cantSplit/>
          <w:cantSplit/>
        </w:trPr>
        <w:tc>
          <w:tcPr>
            <w:tcW w:type="dxa" w:w="2376"/>
            <w:vAlign w:val="center"/>
          </w:tcPr>
          <w:p>
            <w:pPr>
              <w:spacing w:after="0" w:before="0"/>
            </w:pPr>
            <w:r>
              <w:rPr>
                <w:rFonts w:ascii="Arial" w:hAnsi="Arial"/>
                <w:sz w:val="17"/>
              </w:rPr>
            </w:r>
            <w:r>
              <w:rPr>
                <w:rFonts w:ascii="Arial" w:hAnsi="Arial"/>
                <w:b w:val="0"/>
                <w:sz w:val="17"/>
              </w:rPr>
              <w:t>Observabilidade</w:t>
            </w:r>
          </w:p>
        </w:tc>
        <w:tc>
          <w:tcPr>
            <w:tcW w:type="dxa" w:w="7128"/>
            <w:vAlign w:val="center"/>
          </w:tcPr>
          <w:p>
            <w:pPr>
              <w:spacing w:after="0" w:before="0"/>
            </w:pPr>
            <w:r>
              <w:rPr>
                <w:rFonts w:ascii="Arial" w:hAnsi="Arial"/>
                <w:sz w:val="17"/>
              </w:rPr>
            </w:r>
            <w:r>
              <w:rPr>
                <w:rFonts w:ascii="Arial" w:hAnsi="Arial"/>
                <w:b w:val="0"/>
                <w:sz w:val="17"/>
              </w:rPr>
              <w:t>job trace, seed do solver, versão do algoritmo, regras, tempos, memória, falhas e métricas</w:t>
            </w:r>
          </w:p>
        </w:tc>
      </w:tr>
    </w:tbl>
    <w:p>
      <w:pPr>
        <w:pStyle w:val="Heading2"/>
        <w:keepNext/>
      </w:pPr>
      <w:r>
        <w:t>28.29 Serviços internos e fronteiras</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2592"/>
            <w:vAlign w:val="center"/>
            <w:shd w:fill="D9EAF7"/>
          </w:tcPr>
          <w:p>
            <w:pPr>
              <w:spacing w:after="0" w:before="0"/>
            </w:pPr>
            <w:r>
              <w:rPr>
                <w:rFonts w:ascii="Arial" w:hAnsi="Arial"/>
                <w:sz w:val="17"/>
              </w:rPr>
            </w:r>
            <w:r>
              <w:rPr>
                <w:rFonts w:ascii="Arial" w:hAnsi="Arial"/>
                <w:b/>
                <w:sz w:val="17"/>
              </w:rPr>
              <w:t>Serviço</w:t>
            </w:r>
          </w:p>
        </w:tc>
        <w:tc>
          <w:tcPr>
            <w:tcW w:type="dxa" w:w="6912"/>
            <w:vAlign w:val="center"/>
            <w:shd w:fill="D9EAF7"/>
          </w:tcPr>
          <w:p>
            <w:pPr>
              <w:spacing w:after="0" w:before="0"/>
            </w:pPr>
            <w:r>
              <w:rPr>
                <w:rFonts w:ascii="Arial" w:hAnsi="Arial"/>
                <w:sz w:val="17"/>
              </w:rPr>
            </w:r>
            <w:r>
              <w:rPr>
                <w:rFonts w:ascii="Arial" w:hAnsi="Arial"/>
                <w:b/>
                <w:sz w:val="17"/>
              </w:rPr>
              <w:t>Responsabilidade</w:t>
            </w:r>
          </w:p>
        </w:tc>
      </w:tr>
      <w:tr>
        <w:trPr>
          <w:cantSplit/>
          <w:cantSplit/>
        </w:trPr>
        <w:tc>
          <w:tcPr>
            <w:tcW w:type="dxa" w:w="2592"/>
            <w:vAlign w:val="center"/>
          </w:tcPr>
          <w:p>
            <w:pPr>
              <w:spacing w:after="0" w:before="0"/>
            </w:pPr>
            <w:r>
              <w:rPr>
                <w:rFonts w:ascii="Arial" w:hAnsi="Arial"/>
                <w:sz w:val="17"/>
              </w:rPr>
            </w:r>
            <w:r>
              <w:rPr>
                <w:rFonts w:ascii="Arial" w:hAnsi="Arial"/>
                <w:b w:val="0"/>
                <w:sz w:val="17"/>
              </w:rPr>
              <w:t>aitec-ingest</w:t>
            </w:r>
          </w:p>
        </w:tc>
        <w:tc>
          <w:tcPr>
            <w:tcW w:type="dxa" w:w="6912"/>
            <w:vAlign w:val="center"/>
          </w:tcPr>
          <w:p>
            <w:pPr>
              <w:spacing w:after="0" w:before="0"/>
            </w:pPr>
            <w:r>
              <w:rPr>
                <w:rFonts w:ascii="Arial" w:hAnsi="Arial"/>
                <w:sz w:val="17"/>
              </w:rPr>
            </w:r>
            <w:r>
              <w:rPr>
                <w:rFonts w:ascii="Arial" w:hAnsi="Arial"/>
                <w:b w:val="0"/>
                <w:sz w:val="17"/>
              </w:rPr>
              <w:t>parse/validação de arquivos, CRS, unidades, layers e geometria</w:t>
            </w:r>
          </w:p>
        </w:tc>
      </w:tr>
      <w:tr>
        <w:trPr>
          <w:cantSplit/>
          <w:cantSplit/>
        </w:trPr>
        <w:tc>
          <w:tcPr>
            <w:tcW w:type="dxa" w:w="2592"/>
            <w:vAlign w:val="center"/>
          </w:tcPr>
          <w:p>
            <w:pPr>
              <w:spacing w:after="0" w:before="0"/>
            </w:pPr>
            <w:r>
              <w:rPr>
                <w:rFonts w:ascii="Arial" w:hAnsi="Arial"/>
                <w:sz w:val="17"/>
              </w:rPr>
            </w:r>
            <w:r>
              <w:rPr>
                <w:rFonts w:ascii="Arial" w:hAnsi="Arial"/>
                <w:b w:val="0"/>
                <w:sz w:val="17"/>
              </w:rPr>
              <w:t>aitec-terrain</w:t>
            </w:r>
          </w:p>
        </w:tc>
        <w:tc>
          <w:tcPr>
            <w:tcW w:type="dxa" w:w="6912"/>
            <w:vAlign w:val="center"/>
          </w:tcPr>
          <w:p>
            <w:pPr>
              <w:spacing w:after="0" w:before="0"/>
            </w:pPr>
            <w:r>
              <w:rPr>
                <w:rFonts w:ascii="Arial" w:hAnsi="Arial"/>
                <w:sz w:val="17"/>
              </w:rPr>
            </w:r>
            <w:r>
              <w:rPr>
                <w:rFonts w:ascii="Arial" w:hAnsi="Arial"/>
                <w:b w:val="0"/>
                <w:sz w:val="17"/>
              </w:rPr>
              <w:t>DEM/TIN, slope, contour, platôs, cut/fill</w:t>
            </w:r>
          </w:p>
        </w:tc>
      </w:tr>
      <w:tr>
        <w:trPr>
          <w:cantSplit/>
          <w:cantSplit/>
        </w:trPr>
        <w:tc>
          <w:tcPr>
            <w:tcW w:type="dxa" w:w="2592"/>
            <w:vAlign w:val="center"/>
          </w:tcPr>
          <w:p>
            <w:pPr>
              <w:spacing w:after="0" w:before="0"/>
            </w:pPr>
            <w:r>
              <w:rPr>
                <w:rFonts w:ascii="Arial" w:hAnsi="Arial"/>
                <w:sz w:val="17"/>
              </w:rPr>
            </w:r>
            <w:r>
              <w:rPr>
                <w:rFonts w:ascii="Arial" w:hAnsi="Arial"/>
                <w:b w:val="0"/>
                <w:sz w:val="17"/>
              </w:rPr>
              <w:t>aitec-envelope</w:t>
            </w:r>
          </w:p>
        </w:tc>
        <w:tc>
          <w:tcPr>
            <w:tcW w:type="dxa" w:w="6912"/>
            <w:vAlign w:val="center"/>
          </w:tcPr>
          <w:p>
            <w:pPr>
              <w:spacing w:after="0" w:before="0"/>
            </w:pPr>
            <w:r>
              <w:rPr>
                <w:rFonts w:ascii="Arial" w:hAnsi="Arial"/>
                <w:sz w:val="17"/>
              </w:rPr>
            </w:r>
            <w:r>
              <w:rPr>
                <w:rFonts w:ascii="Arial" w:hAnsi="Arial"/>
                <w:b w:val="0"/>
                <w:sz w:val="17"/>
              </w:rPr>
              <w:t>restrições legais → envelope 2D/3D explicável</w:t>
            </w:r>
          </w:p>
        </w:tc>
      </w:tr>
      <w:tr>
        <w:trPr>
          <w:cantSplit/>
          <w:cantSplit/>
        </w:trPr>
        <w:tc>
          <w:tcPr>
            <w:tcW w:type="dxa" w:w="2592"/>
            <w:vAlign w:val="center"/>
          </w:tcPr>
          <w:p>
            <w:pPr>
              <w:spacing w:after="0" w:before="0"/>
            </w:pPr>
            <w:r>
              <w:rPr>
                <w:rFonts w:ascii="Arial" w:hAnsi="Arial"/>
                <w:sz w:val="17"/>
              </w:rPr>
            </w:r>
            <w:r>
              <w:rPr>
                <w:rFonts w:ascii="Arial" w:hAnsi="Arial"/>
                <w:b w:val="0"/>
                <w:sz w:val="17"/>
              </w:rPr>
              <w:t>aitec-site-solver</w:t>
            </w:r>
          </w:p>
        </w:tc>
        <w:tc>
          <w:tcPr>
            <w:tcW w:type="dxa" w:w="6912"/>
            <w:vAlign w:val="center"/>
          </w:tcPr>
          <w:p>
            <w:pPr>
              <w:spacing w:after="0" w:before="0"/>
            </w:pPr>
            <w:r>
              <w:rPr>
                <w:rFonts w:ascii="Arial" w:hAnsi="Arial"/>
                <w:sz w:val="17"/>
              </w:rPr>
            </w:r>
            <w:r>
              <w:rPr>
                <w:rFonts w:ascii="Arial" w:hAnsi="Arial"/>
                <w:b w:val="0"/>
                <w:sz w:val="17"/>
              </w:rPr>
              <w:t>implantação, massas, viário e lazer</w:t>
            </w:r>
          </w:p>
        </w:tc>
      </w:tr>
      <w:tr>
        <w:trPr>
          <w:cantSplit/>
          <w:cantSplit/>
        </w:trPr>
        <w:tc>
          <w:tcPr>
            <w:tcW w:type="dxa" w:w="2592"/>
            <w:vAlign w:val="center"/>
          </w:tcPr>
          <w:p>
            <w:pPr>
              <w:spacing w:after="0" w:before="0"/>
            </w:pPr>
            <w:r>
              <w:rPr>
                <w:rFonts w:ascii="Arial" w:hAnsi="Arial"/>
                <w:sz w:val="17"/>
              </w:rPr>
            </w:r>
            <w:r>
              <w:rPr>
                <w:rFonts w:ascii="Arial" w:hAnsi="Arial"/>
                <w:b w:val="0"/>
                <w:sz w:val="17"/>
              </w:rPr>
              <w:t>aitec-parking-solver</w:t>
            </w:r>
          </w:p>
        </w:tc>
        <w:tc>
          <w:tcPr>
            <w:tcW w:type="dxa" w:w="6912"/>
            <w:vAlign w:val="center"/>
          </w:tcPr>
          <w:p>
            <w:pPr>
              <w:spacing w:after="0" w:before="0"/>
            </w:pPr>
            <w:r>
              <w:rPr>
                <w:rFonts w:ascii="Arial" w:hAnsi="Arial"/>
                <w:sz w:val="17"/>
              </w:rPr>
            </w:r>
            <w:r>
              <w:rPr>
                <w:rFonts w:ascii="Arial" w:hAnsi="Arial"/>
                <w:b w:val="0"/>
                <w:sz w:val="17"/>
              </w:rPr>
              <w:t>garagem e vagas</w:t>
            </w:r>
          </w:p>
        </w:tc>
      </w:tr>
      <w:tr>
        <w:trPr>
          <w:cantSplit/>
          <w:cantSplit/>
        </w:trPr>
        <w:tc>
          <w:tcPr>
            <w:tcW w:type="dxa" w:w="2592"/>
            <w:vAlign w:val="center"/>
          </w:tcPr>
          <w:p>
            <w:pPr>
              <w:spacing w:after="0" w:before="0"/>
            </w:pPr>
            <w:r>
              <w:rPr>
                <w:rFonts w:ascii="Arial" w:hAnsi="Arial"/>
                <w:sz w:val="17"/>
              </w:rPr>
            </w:r>
            <w:r>
              <w:rPr>
                <w:rFonts w:ascii="Arial" w:hAnsi="Arial"/>
                <w:b w:val="0"/>
                <w:sz w:val="17"/>
              </w:rPr>
              <w:t>aitec-building-solver</w:t>
            </w:r>
          </w:p>
        </w:tc>
        <w:tc>
          <w:tcPr>
            <w:tcW w:type="dxa" w:w="6912"/>
            <w:vAlign w:val="center"/>
          </w:tcPr>
          <w:p>
            <w:pPr>
              <w:spacing w:after="0" w:before="0"/>
            </w:pPr>
            <w:r>
              <w:rPr>
                <w:rFonts w:ascii="Arial" w:hAnsi="Arial"/>
                <w:sz w:val="17"/>
              </w:rPr>
            </w:r>
            <w:r>
              <w:rPr>
                <w:rFonts w:ascii="Arial" w:hAnsi="Arial"/>
                <w:b w:val="0"/>
                <w:sz w:val="17"/>
              </w:rPr>
              <w:t>pavimentos, core, circulação e shafts</w:t>
            </w:r>
          </w:p>
        </w:tc>
      </w:tr>
      <w:tr>
        <w:trPr>
          <w:cantSplit/>
          <w:cantSplit/>
        </w:trPr>
        <w:tc>
          <w:tcPr>
            <w:tcW w:type="dxa" w:w="2592"/>
            <w:vAlign w:val="center"/>
          </w:tcPr>
          <w:p>
            <w:pPr>
              <w:spacing w:after="0" w:before="0"/>
            </w:pPr>
            <w:r>
              <w:rPr>
                <w:rFonts w:ascii="Arial" w:hAnsi="Arial"/>
                <w:sz w:val="17"/>
              </w:rPr>
            </w:r>
            <w:r>
              <w:rPr>
                <w:rFonts w:ascii="Arial" w:hAnsi="Arial"/>
                <w:b w:val="0"/>
                <w:sz w:val="17"/>
              </w:rPr>
              <w:t>aitec-unit-solver</w:t>
            </w:r>
          </w:p>
        </w:tc>
        <w:tc>
          <w:tcPr>
            <w:tcW w:type="dxa" w:w="6912"/>
            <w:vAlign w:val="center"/>
          </w:tcPr>
          <w:p>
            <w:pPr>
              <w:spacing w:after="0" w:before="0"/>
            </w:pPr>
            <w:r>
              <w:rPr>
                <w:rFonts w:ascii="Arial" w:hAnsi="Arial"/>
                <w:sz w:val="17"/>
              </w:rPr>
            </w:r>
            <w:r>
              <w:rPr>
                <w:rFonts w:ascii="Arial" w:hAnsi="Arial"/>
                <w:b w:val="0"/>
                <w:sz w:val="17"/>
              </w:rPr>
              <w:t>unit mix e floor plans</w:t>
            </w:r>
          </w:p>
        </w:tc>
      </w:tr>
      <w:tr>
        <w:trPr>
          <w:cantSplit/>
          <w:cantSplit/>
        </w:trPr>
        <w:tc>
          <w:tcPr>
            <w:tcW w:type="dxa" w:w="2592"/>
            <w:vAlign w:val="center"/>
          </w:tcPr>
          <w:p>
            <w:pPr>
              <w:spacing w:after="0" w:before="0"/>
            </w:pPr>
            <w:r>
              <w:rPr>
                <w:rFonts w:ascii="Arial" w:hAnsi="Arial"/>
                <w:sz w:val="17"/>
              </w:rPr>
            </w:r>
            <w:r>
              <w:rPr>
                <w:rFonts w:ascii="Arial" w:hAnsi="Arial"/>
                <w:b w:val="0"/>
                <w:sz w:val="17"/>
              </w:rPr>
              <w:t>aitec-analysis</w:t>
            </w:r>
          </w:p>
        </w:tc>
        <w:tc>
          <w:tcPr>
            <w:tcW w:type="dxa" w:w="6912"/>
            <w:vAlign w:val="center"/>
          </w:tcPr>
          <w:p>
            <w:pPr>
              <w:spacing w:after="0" w:before="0"/>
            </w:pPr>
            <w:r>
              <w:rPr>
                <w:rFonts w:ascii="Arial" w:hAnsi="Arial"/>
                <w:sz w:val="17"/>
              </w:rPr>
            </w:r>
            <w:r>
              <w:rPr>
                <w:rFonts w:ascii="Arial" w:hAnsi="Arial"/>
                <w:b w:val="0"/>
                <w:sz w:val="17"/>
              </w:rPr>
              <w:t>sol/daylight/vento/ruído/energia/carbono/custos</w:t>
            </w:r>
          </w:p>
        </w:tc>
      </w:tr>
      <w:tr>
        <w:trPr>
          <w:cantSplit/>
          <w:cantSplit/>
        </w:trPr>
        <w:tc>
          <w:tcPr>
            <w:tcW w:type="dxa" w:w="2592"/>
            <w:vAlign w:val="center"/>
          </w:tcPr>
          <w:p>
            <w:pPr>
              <w:spacing w:after="0" w:before="0"/>
            </w:pPr>
            <w:r>
              <w:rPr>
                <w:rFonts w:ascii="Arial" w:hAnsi="Arial"/>
                <w:sz w:val="17"/>
              </w:rPr>
            </w:r>
            <w:r>
              <w:rPr>
                <w:rFonts w:ascii="Arial" w:hAnsi="Arial"/>
                <w:b w:val="0"/>
                <w:sz w:val="17"/>
              </w:rPr>
              <w:t>aitec-ranking</w:t>
            </w:r>
          </w:p>
        </w:tc>
        <w:tc>
          <w:tcPr>
            <w:tcW w:type="dxa" w:w="6912"/>
            <w:vAlign w:val="center"/>
          </w:tcPr>
          <w:p>
            <w:pPr>
              <w:spacing w:after="0" w:before="0"/>
            </w:pPr>
            <w:r>
              <w:rPr>
                <w:rFonts w:ascii="Arial" w:hAnsi="Arial"/>
                <w:sz w:val="17"/>
              </w:rPr>
            </w:r>
            <w:r>
              <w:rPr>
                <w:rFonts w:ascii="Arial" w:hAnsi="Arial"/>
                <w:b w:val="0"/>
                <w:sz w:val="17"/>
              </w:rPr>
              <w:t>Pareto, scores, filtros e recomendações</w:t>
            </w:r>
          </w:p>
        </w:tc>
      </w:tr>
      <w:tr>
        <w:trPr>
          <w:cantSplit/>
          <w:cantSplit/>
        </w:trPr>
        <w:tc>
          <w:tcPr>
            <w:tcW w:type="dxa" w:w="2592"/>
            <w:vAlign w:val="center"/>
          </w:tcPr>
          <w:p>
            <w:pPr>
              <w:spacing w:after="0" w:before="0"/>
            </w:pPr>
            <w:r>
              <w:rPr>
                <w:rFonts w:ascii="Arial" w:hAnsi="Arial"/>
                <w:sz w:val="17"/>
              </w:rPr>
            </w:r>
            <w:r>
              <w:rPr>
                <w:rFonts w:ascii="Arial" w:hAnsi="Arial"/>
                <w:b w:val="0"/>
                <w:sz w:val="17"/>
              </w:rPr>
              <w:t>aitec-export</w:t>
            </w:r>
          </w:p>
        </w:tc>
        <w:tc>
          <w:tcPr>
            <w:tcW w:type="dxa" w:w="6912"/>
            <w:vAlign w:val="center"/>
          </w:tcPr>
          <w:p>
            <w:pPr>
              <w:spacing w:after="0" w:before="0"/>
            </w:pPr>
            <w:r>
              <w:rPr>
                <w:rFonts w:ascii="Arial" w:hAnsi="Arial"/>
                <w:sz w:val="17"/>
              </w:rPr>
            </w:r>
            <w:r>
              <w:rPr>
                <w:rFonts w:ascii="Arial" w:hAnsi="Arial"/>
                <w:b w:val="0"/>
                <w:sz w:val="17"/>
              </w:rPr>
              <w:t>DWG/DXF/IFC/XLSX/PDF/GeoJSON/glTF</w:t>
            </w:r>
          </w:p>
        </w:tc>
      </w:tr>
      <w:tr>
        <w:trPr>
          <w:cantSplit/>
          <w:cantSplit/>
        </w:trPr>
        <w:tc>
          <w:tcPr>
            <w:tcW w:type="dxa" w:w="2592"/>
            <w:vAlign w:val="center"/>
          </w:tcPr>
          <w:p>
            <w:pPr>
              <w:spacing w:after="0" w:before="0"/>
            </w:pPr>
            <w:r>
              <w:rPr>
                <w:rFonts w:ascii="Arial" w:hAnsi="Arial"/>
                <w:sz w:val="17"/>
              </w:rPr>
            </w:r>
            <w:r>
              <w:rPr>
                <w:rFonts w:ascii="Arial" w:hAnsi="Arial"/>
                <w:b w:val="0"/>
                <w:sz w:val="17"/>
              </w:rPr>
              <w:t>aitec-agent</w:t>
            </w:r>
          </w:p>
        </w:tc>
        <w:tc>
          <w:tcPr>
            <w:tcW w:type="dxa" w:w="6912"/>
            <w:vAlign w:val="center"/>
          </w:tcPr>
          <w:p>
            <w:pPr>
              <w:spacing w:after="0" w:before="0"/>
            </w:pPr>
            <w:r>
              <w:rPr>
                <w:rFonts w:ascii="Arial" w:hAnsi="Arial"/>
                <w:sz w:val="17"/>
              </w:rPr>
            </w:r>
            <w:r>
              <w:rPr>
                <w:rFonts w:ascii="Arial" w:hAnsi="Arial"/>
                <w:b w:val="0"/>
                <w:sz w:val="17"/>
              </w:rPr>
              <w:t>chat, tradução de intenção em comandos e explicação do resultado</w:t>
            </w:r>
          </w:p>
        </w:tc>
      </w:tr>
    </w:tbl>
    <w:p>
      <w:pPr>
        <w:pStyle w:val="Heading2"/>
        <w:keepNext/>
      </w:pPr>
      <w:r>
        <w:t>28.30 Modelo de dados recomendado</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2880"/>
            <w:vAlign w:val="center"/>
            <w:shd w:fill="D9EAF7"/>
          </w:tcPr>
          <w:p>
            <w:pPr>
              <w:spacing w:after="0" w:before="0"/>
            </w:pPr>
            <w:r>
              <w:rPr>
                <w:rFonts w:ascii="Arial" w:hAnsi="Arial"/>
                <w:sz w:val="17"/>
              </w:rPr>
            </w:r>
            <w:r>
              <w:rPr>
                <w:rFonts w:ascii="Arial" w:hAnsi="Arial"/>
                <w:b/>
                <w:sz w:val="17"/>
              </w:rPr>
              <w:t>Entidade</w:t>
            </w:r>
          </w:p>
        </w:tc>
        <w:tc>
          <w:tcPr>
            <w:tcW w:type="dxa" w:w="6624"/>
            <w:vAlign w:val="center"/>
            <w:shd w:fill="D9EAF7"/>
          </w:tcPr>
          <w:p>
            <w:pPr>
              <w:spacing w:after="0" w:before="0"/>
            </w:pPr>
            <w:r>
              <w:rPr>
                <w:rFonts w:ascii="Arial" w:hAnsi="Arial"/>
                <w:sz w:val="17"/>
              </w:rPr>
            </w:r>
            <w:r>
              <w:rPr>
                <w:rFonts w:ascii="Arial" w:hAnsi="Arial"/>
                <w:b/>
                <w:sz w:val="17"/>
              </w:rPr>
              <w:t>Campos/relacionamentos essenciais</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aitec.project</w:t>
            </w:r>
          </w:p>
        </w:tc>
        <w:tc>
          <w:tcPr>
            <w:tcW w:type="dxa" w:w="6624"/>
            <w:vAlign w:val="center"/>
          </w:tcPr>
          <w:p>
            <w:pPr>
              <w:spacing w:after="0" w:before="0"/>
            </w:pPr>
            <w:r>
              <w:rPr>
                <w:rFonts w:ascii="Arial" w:hAnsi="Arial"/>
                <w:sz w:val="17"/>
              </w:rPr>
            </w:r>
            <w:r>
              <w:rPr>
                <w:rFonts w:ascii="Arial" w:hAnsi="Arial"/>
                <w:b w:val="0"/>
                <w:sz w:val="17"/>
              </w:rPr>
              <w:t>tenant, asset_id, municipality, source geometry, CRS, program, status</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aitec.input_artifact</w:t>
            </w:r>
          </w:p>
        </w:tc>
        <w:tc>
          <w:tcPr>
            <w:tcW w:type="dxa" w:w="6624"/>
            <w:vAlign w:val="center"/>
          </w:tcPr>
          <w:p>
            <w:pPr>
              <w:spacing w:after="0" w:before="0"/>
            </w:pPr>
            <w:r>
              <w:rPr>
                <w:rFonts w:ascii="Arial" w:hAnsi="Arial"/>
                <w:sz w:val="17"/>
              </w:rPr>
            </w:r>
            <w:r>
              <w:rPr>
                <w:rFonts w:ascii="Arial" w:hAnsi="Arial"/>
                <w:b w:val="0"/>
                <w:sz w:val="17"/>
              </w:rPr>
              <w:t>file, type, hash, source, parser_version, transform log</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aitec.constraint_set</w:t>
            </w:r>
          </w:p>
        </w:tc>
        <w:tc>
          <w:tcPr>
            <w:tcW w:type="dxa" w:w="6624"/>
            <w:vAlign w:val="center"/>
          </w:tcPr>
          <w:p>
            <w:pPr>
              <w:spacing w:after="0" w:before="0"/>
            </w:pPr>
            <w:r>
              <w:rPr>
                <w:rFonts w:ascii="Arial" w:hAnsi="Arial"/>
                <w:sz w:val="17"/>
              </w:rPr>
            </w:r>
            <w:r>
              <w:rPr>
                <w:rFonts w:ascii="Arial" w:hAnsi="Arial"/>
                <w:b w:val="0"/>
                <w:sz w:val="17"/>
              </w:rPr>
              <w:t>rule snapshot, hard/soft, source/evidence, effective date</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aitec.design_template</w:t>
            </w:r>
          </w:p>
        </w:tc>
        <w:tc>
          <w:tcPr>
            <w:tcW w:type="dxa" w:w="6624"/>
            <w:vAlign w:val="center"/>
          </w:tcPr>
          <w:p>
            <w:pPr>
              <w:spacing w:after="0" w:before="0"/>
            </w:pPr>
            <w:r>
              <w:rPr>
                <w:rFonts w:ascii="Arial" w:hAnsi="Arial"/>
                <w:sz w:val="17"/>
              </w:rPr>
            </w:r>
            <w:r>
              <w:rPr>
                <w:rFonts w:ascii="Arial" w:hAnsi="Arial"/>
                <w:b w:val="0"/>
                <w:sz w:val="17"/>
              </w:rPr>
              <w:t>tenant/global, typology, parametric schema, version, approval</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aitec.solution</w:t>
            </w:r>
          </w:p>
        </w:tc>
        <w:tc>
          <w:tcPr>
            <w:tcW w:type="dxa" w:w="6624"/>
            <w:vAlign w:val="center"/>
          </w:tcPr>
          <w:p>
            <w:pPr>
              <w:spacing w:after="0" w:before="0"/>
            </w:pPr>
            <w:r>
              <w:rPr>
                <w:rFonts w:ascii="Arial" w:hAnsi="Arial"/>
                <w:sz w:val="17"/>
              </w:rPr>
            </w:r>
            <w:r>
              <w:rPr>
                <w:rFonts w:ascii="Arial" w:hAnsi="Arial"/>
                <w:b w:val="0"/>
                <w:sz w:val="17"/>
              </w:rPr>
              <w:t>parent_solution, solver_version, seed, status, metrics, rank</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aitec.geometry_object</w:t>
            </w:r>
          </w:p>
        </w:tc>
        <w:tc>
          <w:tcPr>
            <w:tcW w:type="dxa" w:w="6624"/>
            <w:vAlign w:val="center"/>
          </w:tcPr>
          <w:p>
            <w:pPr>
              <w:spacing w:after="0" w:before="0"/>
            </w:pPr>
            <w:r>
              <w:rPr>
                <w:rFonts w:ascii="Arial" w:hAnsi="Arial"/>
                <w:sz w:val="17"/>
              </w:rPr>
            </w:r>
            <w:r>
              <w:rPr>
                <w:rFonts w:ascii="Arial" w:hAnsi="Arial"/>
                <w:b w:val="0"/>
                <w:sz w:val="17"/>
              </w:rPr>
              <w:t>solution, type, geom2d/geom3d, properties, lineage</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aitec.building</w:t>
            </w:r>
          </w:p>
        </w:tc>
        <w:tc>
          <w:tcPr>
            <w:tcW w:type="dxa" w:w="6624"/>
            <w:vAlign w:val="center"/>
          </w:tcPr>
          <w:p>
            <w:pPr>
              <w:spacing w:after="0" w:before="0"/>
            </w:pPr>
            <w:r>
              <w:rPr>
                <w:rFonts w:ascii="Arial" w:hAnsi="Arial"/>
                <w:sz w:val="17"/>
              </w:rPr>
            </w:r>
            <w:r>
              <w:rPr>
                <w:rFonts w:ascii="Arial" w:hAnsi="Arial"/>
                <w:b w:val="0"/>
                <w:sz w:val="17"/>
              </w:rPr>
              <w:t>footprint, floors, core, height, areas, metrics</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aitec.floor</w:t>
            </w:r>
          </w:p>
        </w:tc>
        <w:tc>
          <w:tcPr>
            <w:tcW w:type="dxa" w:w="6624"/>
            <w:vAlign w:val="center"/>
          </w:tcPr>
          <w:p>
            <w:pPr>
              <w:spacing w:after="0" w:before="0"/>
            </w:pPr>
            <w:r>
              <w:rPr>
                <w:rFonts w:ascii="Arial" w:hAnsi="Arial"/>
                <w:sz w:val="17"/>
              </w:rPr>
            </w:r>
            <w:r>
              <w:rPr>
                <w:rFonts w:ascii="Arial" w:hAnsi="Arial"/>
                <w:b w:val="0"/>
                <w:sz w:val="17"/>
              </w:rPr>
              <w:t>elevation, plate, core, circulation, units</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aitec.unit</w:t>
            </w:r>
          </w:p>
        </w:tc>
        <w:tc>
          <w:tcPr>
            <w:tcW w:type="dxa" w:w="6624"/>
            <w:vAlign w:val="center"/>
          </w:tcPr>
          <w:p>
            <w:pPr>
              <w:spacing w:after="0" w:before="0"/>
            </w:pPr>
            <w:r>
              <w:rPr>
                <w:rFonts w:ascii="Arial" w:hAnsi="Arial"/>
                <w:sz w:val="17"/>
              </w:rPr>
            </w:r>
            <w:r>
              <w:rPr>
                <w:rFonts w:ascii="Arial" w:hAnsi="Arial"/>
                <w:b w:val="0"/>
                <w:sz w:val="17"/>
              </w:rPr>
              <w:t>typology, area, room graph, geometry, façade, metrics</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aitec.room</w:t>
            </w:r>
          </w:p>
        </w:tc>
        <w:tc>
          <w:tcPr>
            <w:tcW w:type="dxa" w:w="6624"/>
            <w:vAlign w:val="center"/>
          </w:tcPr>
          <w:p>
            <w:pPr>
              <w:spacing w:after="0" w:before="0"/>
            </w:pPr>
            <w:r>
              <w:rPr>
                <w:rFonts w:ascii="Arial" w:hAnsi="Arial"/>
                <w:sz w:val="17"/>
              </w:rPr>
            </w:r>
            <w:r>
              <w:rPr>
                <w:rFonts w:ascii="Arial" w:hAnsi="Arial"/>
                <w:b w:val="0"/>
                <w:sz w:val="17"/>
              </w:rPr>
              <w:t>type, area, min/max, adjacency, openings, geometry</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aitec.parking_layout</w:t>
            </w:r>
          </w:p>
        </w:tc>
        <w:tc>
          <w:tcPr>
            <w:tcW w:type="dxa" w:w="6624"/>
            <w:vAlign w:val="center"/>
          </w:tcPr>
          <w:p>
            <w:pPr>
              <w:spacing w:after="0" w:before="0"/>
            </w:pPr>
            <w:r>
              <w:rPr>
                <w:rFonts w:ascii="Arial" w:hAnsi="Arial"/>
                <w:sz w:val="17"/>
              </w:rPr>
            </w:r>
            <w:r>
              <w:rPr>
                <w:rFonts w:ascii="Arial" w:hAnsi="Arial"/>
                <w:b w:val="0"/>
                <w:sz w:val="17"/>
              </w:rPr>
              <w:t>level, stalls, ramps, circulation, efficiency</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aitec.analysis_result</w:t>
            </w:r>
          </w:p>
        </w:tc>
        <w:tc>
          <w:tcPr>
            <w:tcW w:type="dxa" w:w="6624"/>
            <w:vAlign w:val="center"/>
          </w:tcPr>
          <w:p>
            <w:pPr>
              <w:spacing w:after="0" w:before="0"/>
            </w:pPr>
            <w:r>
              <w:rPr>
                <w:rFonts w:ascii="Arial" w:hAnsi="Arial"/>
                <w:sz w:val="17"/>
              </w:rPr>
            </w:r>
            <w:r>
              <w:rPr>
                <w:rFonts w:ascii="Arial" w:hAnsi="Arial"/>
                <w:b w:val="0"/>
                <w:sz w:val="17"/>
              </w:rPr>
              <w:t>type, method, resolution, inputs, outputs, confidence</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aitec.metric</w:t>
            </w:r>
          </w:p>
        </w:tc>
        <w:tc>
          <w:tcPr>
            <w:tcW w:type="dxa" w:w="6624"/>
            <w:vAlign w:val="center"/>
          </w:tcPr>
          <w:p>
            <w:pPr>
              <w:spacing w:after="0" w:before="0"/>
            </w:pPr>
            <w:r>
              <w:rPr>
                <w:rFonts w:ascii="Arial" w:hAnsi="Arial"/>
                <w:sz w:val="17"/>
              </w:rPr>
            </w:r>
            <w:r>
              <w:rPr>
                <w:rFonts w:ascii="Arial" w:hAnsi="Arial"/>
                <w:b w:val="0"/>
                <w:sz w:val="17"/>
              </w:rPr>
              <w:t>solution/object, code, value, unit, objective/constraint</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aitec.violation</w:t>
            </w:r>
          </w:p>
        </w:tc>
        <w:tc>
          <w:tcPr>
            <w:tcW w:type="dxa" w:w="6624"/>
            <w:vAlign w:val="center"/>
          </w:tcPr>
          <w:p>
            <w:pPr>
              <w:spacing w:after="0" w:before="0"/>
            </w:pPr>
            <w:r>
              <w:rPr>
                <w:rFonts w:ascii="Arial" w:hAnsi="Arial"/>
                <w:sz w:val="17"/>
              </w:rPr>
            </w:r>
            <w:r>
              <w:rPr>
                <w:rFonts w:ascii="Arial" w:hAnsi="Arial"/>
                <w:b w:val="0"/>
                <w:sz w:val="17"/>
              </w:rPr>
              <w:t>constraint, object, severity, explanation, geometry</w:t>
            </w:r>
          </w:p>
        </w:tc>
      </w:tr>
      <w:tr>
        <w:trPr>
          <w:cantSplit/>
          <w:cantSplit/>
        </w:trPr>
        <w:tc>
          <w:tcPr>
            <w:tcW w:type="dxa" w:w="2880"/>
            <w:vAlign w:val="center"/>
          </w:tcPr>
          <w:p>
            <w:pPr>
              <w:spacing w:after="0" w:before="0"/>
            </w:pPr>
            <w:r>
              <w:rPr>
                <w:rFonts w:ascii="Arial" w:hAnsi="Arial"/>
                <w:sz w:val="17"/>
              </w:rPr>
            </w:r>
            <w:r>
              <w:rPr>
                <w:rFonts w:ascii="Arial" w:hAnsi="Arial"/>
                <w:b w:val="0"/>
                <w:sz w:val="17"/>
              </w:rPr>
              <w:t>aitec.export_artifact</w:t>
            </w:r>
          </w:p>
        </w:tc>
        <w:tc>
          <w:tcPr>
            <w:tcW w:type="dxa" w:w="6624"/>
            <w:vAlign w:val="center"/>
          </w:tcPr>
          <w:p>
            <w:pPr>
              <w:spacing w:after="0" w:before="0"/>
            </w:pPr>
            <w:r>
              <w:rPr>
                <w:rFonts w:ascii="Arial" w:hAnsi="Arial"/>
                <w:sz w:val="17"/>
              </w:rPr>
            </w:r>
            <w:r>
              <w:rPr>
                <w:rFonts w:ascii="Arial" w:hAnsi="Arial"/>
                <w:b w:val="0"/>
                <w:sz w:val="17"/>
              </w:rPr>
              <w:t>format, version, hash, generated_at</w:t>
            </w:r>
          </w:p>
        </w:tc>
      </w:tr>
    </w:tbl>
    <w:p>
      <w:pPr>
        <w:pStyle w:val="Heading2"/>
        <w:keepNext/>
      </w:pPr>
      <w:r>
        <w:t>28.31 APIs recomendadas</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3816"/>
            <w:vAlign w:val="center"/>
            <w:shd w:fill="D9EAF7"/>
          </w:tcPr>
          <w:p>
            <w:pPr>
              <w:spacing w:after="0" w:before="0"/>
            </w:pPr>
            <w:r>
              <w:rPr>
                <w:rFonts w:ascii="Arial" w:hAnsi="Arial"/>
                <w:sz w:val="17"/>
              </w:rPr>
            </w:r>
            <w:r>
              <w:rPr>
                <w:rFonts w:ascii="Arial" w:hAnsi="Arial"/>
                <w:b/>
                <w:sz w:val="17"/>
              </w:rPr>
              <w:t>Endpoint</w:t>
            </w:r>
          </w:p>
        </w:tc>
        <w:tc>
          <w:tcPr>
            <w:tcW w:type="dxa" w:w="5688"/>
            <w:vAlign w:val="center"/>
            <w:shd w:fill="D9EAF7"/>
          </w:tcPr>
          <w:p>
            <w:pPr>
              <w:spacing w:after="0" w:before="0"/>
            </w:pPr>
            <w:r>
              <w:rPr>
                <w:rFonts w:ascii="Arial" w:hAnsi="Arial"/>
                <w:sz w:val="17"/>
              </w:rPr>
            </w:r>
            <w:r>
              <w:rPr>
                <w:rFonts w:ascii="Arial" w:hAnsi="Arial"/>
                <w:b/>
                <w:sz w:val="17"/>
              </w:rPr>
              <w:t>Função</w:t>
            </w:r>
          </w:p>
        </w:tc>
      </w:tr>
      <w:tr>
        <w:trPr>
          <w:cantSplit/>
          <w:cantSplit/>
        </w:trPr>
        <w:tc>
          <w:tcPr>
            <w:tcW w:type="dxa" w:w="3816"/>
            <w:vAlign w:val="center"/>
          </w:tcPr>
          <w:p>
            <w:pPr>
              <w:spacing w:after="0" w:before="0"/>
            </w:pPr>
            <w:r>
              <w:rPr>
                <w:rFonts w:ascii="Arial" w:hAnsi="Arial"/>
                <w:sz w:val="17"/>
              </w:rPr>
            </w:r>
            <w:r>
              <w:rPr>
                <w:rFonts w:ascii="Arial" w:hAnsi="Arial"/>
                <w:b w:val="0"/>
                <w:sz w:val="17"/>
              </w:rPr>
              <w:t>POST /aitec/projects</w:t>
            </w:r>
          </w:p>
        </w:tc>
        <w:tc>
          <w:tcPr>
            <w:tcW w:type="dxa" w:w="5688"/>
            <w:vAlign w:val="center"/>
          </w:tcPr>
          <w:p>
            <w:pPr>
              <w:spacing w:after="0" w:before="0"/>
            </w:pPr>
            <w:r>
              <w:rPr>
                <w:rFonts w:ascii="Arial" w:hAnsi="Arial"/>
                <w:sz w:val="17"/>
              </w:rPr>
            </w:r>
            <w:r>
              <w:rPr>
                <w:rFonts w:ascii="Arial" w:hAnsi="Arial"/>
                <w:b w:val="0"/>
                <w:sz w:val="17"/>
              </w:rPr>
              <w:t>criar estudo e vincular imóvel/terreno</w:t>
            </w:r>
          </w:p>
        </w:tc>
      </w:tr>
      <w:tr>
        <w:trPr>
          <w:cantSplit/>
          <w:cantSplit/>
        </w:trPr>
        <w:tc>
          <w:tcPr>
            <w:tcW w:type="dxa" w:w="3816"/>
            <w:vAlign w:val="center"/>
          </w:tcPr>
          <w:p>
            <w:pPr>
              <w:spacing w:after="0" w:before="0"/>
            </w:pPr>
            <w:r>
              <w:rPr>
                <w:rFonts w:ascii="Arial" w:hAnsi="Arial"/>
                <w:sz w:val="17"/>
              </w:rPr>
            </w:r>
            <w:r>
              <w:rPr>
                <w:rFonts w:ascii="Arial" w:hAnsi="Arial"/>
                <w:b w:val="0"/>
                <w:sz w:val="17"/>
              </w:rPr>
              <w:t>POST /aitec/projects/{id}/inputs</w:t>
            </w:r>
          </w:p>
        </w:tc>
        <w:tc>
          <w:tcPr>
            <w:tcW w:type="dxa" w:w="5688"/>
            <w:vAlign w:val="center"/>
          </w:tcPr>
          <w:p>
            <w:pPr>
              <w:spacing w:after="0" w:before="0"/>
            </w:pPr>
            <w:r>
              <w:rPr>
                <w:rFonts w:ascii="Arial" w:hAnsi="Arial"/>
                <w:sz w:val="17"/>
              </w:rPr>
            </w:r>
            <w:r>
              <w:rPr>
                <w:rFonts w:ascii="Arial" w:hAnsi="Arial"/>
                <w:b w:val="0"/>
                <w:sz w:val="17"/>
              </w:rPr>
              <w:t>upload/import de arquivo</w:t>
            </w:r>
          </w:p>
        </w:tc>
      </w:tr>
      <w:tr>
        <w:trPr>
          <w:cantSplit/>
          <w:cantSplit/>
        </w:trPr>
        <w:tc>
          <w:tcPr>
            <w:tcW w:type="dxa" w:w="3816"/>
            <w:vAlign w:val="center"/>
          </w:tcPr>
          <w:p>
            <w:pPr>
              <w:spacing w:after="0" w:before="0"/>
            </w:pPr>
            <w:r>
              <w:rPr>
                <w:rFonts w:ascii="Arial" w:hAnsi="Arial"/>
                <w:sz w:val="17"/>
              </w:rPr>
            </w:r>
            <w:r>
              <w:rPr>
                <w:rFonts w:ascii="Arial" w:hAnsi="Arial"/>
                <w:b w:val="0"/>
                <w:sz w:val="17"/>
              </w:rPr>
              <w:t>POST /aitec/projects/{id}/resolve</w:t>
            </w:r>
          </w:p>
        </w:tc>
        <w:tc>
          <w:tcPr>
            <w:tcW w:type="dxa" w:w="5688"/>
            <w:vAlign w:val="center"/>
          </w:tcPr>
          <w:p>
            <w:pPr>
              <w:spacing w:after="0" w:before="0"/>
            </w:pPr>
            <w:r>
              <w:rPr>
                <w:rFonts w:ascii="Arial" w:hAnsi="Arial"/>
                <w:sz w:val="17"/>
              </w:rPr>
            </w:r>
            <w:r>
              <w:rPr>
                <w:rFonts w:ascii="Arial" w:hAnsi="Arial"/>
                <w:b w:val="0"/>
                <w:sz w:val="17"/>
              </w:rPr>
              <w:t>normalizar terreno, contexto e envelope</w:t>
            </w:r>
          </w:p>
        </w:tc>
      </w:tr>
      <w:tr>
        <w:trPr>
          <w:cantSplit/>
          <w:cantSplit/>
        </w:trPr>
        <w:tc>
          <w:tcPr>
            <w:tcW w:type="dxa" w:w="3816"/>
            <w:vAlign w:val="center"/>
          </w:tcPr>
          <w:p>
            <w:pPr>
              <w:spacing w:after="0" w:before="0"/>
            </w:pPr>
            <w:r>
              <w:rPr>
                <w:rFonts w:ascii="Arial" w:hAnsi="Arial"/>
                <w:sz w:val="17"/>
              </w:rPr>
            </w:r>
            <w:r>
              <w:rPr>
                <w:rFonts w:ascii="Arial" w:hAnsi="Arial"/>
                <w:b w:val="0"/>
                <w:sz w:val="17"/>
              </w:rPr>
              <w:t>GET /aitec/projects/{id}/constraints</w:t>
            </w:r>
          </w:p>
        </w:tc>
        <w:tc>
          <w:tcPr>
            <w:tcW w:type="dxa" w:w="5688"/>
            <w:vAlign w:val="center"/>
          </w:tcPr>
          <w:p>
            <w:pPr>
              <w:spacing w:after="0" w:before="0"/>
            </w:pPr>
            <w:r>
              <w:rPr>
                <w:rFonts w:ascii="Arial" w:hAnsi="Arial"/>
                <w:sz w:val="17"/>
              </w:rPr>
            </w:r>
            <w:r>
              <w:rPr>
                <w:rFonts w:ascii="Arial" w:hAnsi="Arial"/>
                <w:b w:val="0"/>
                <w:sz w:val="17"/>
              </w:rPr>
              <w:t>listar regras/constraints com evidência</w:t>
            </w:r>
          </w:p>
        </w:tc>
      </w:tr>
      <w:tr>
        <w:trPr>
          <w:cantSplit/>
          <w:cantSplit/>
        </w:trPr>
        <w:tc>
          <w:tcPr>
            <w:tcW w:type="dxa" w:w="3816"/>
            <w:vAlign w:val="center"/>
          </w:tcPr>
          <w:p>
            <w:pPr>
              <w:spacing w:after="0" w:before="0"/>
            </w:pPr>
            <w:r>
              <w:rPr>
                <w:rFonts w:ascii="Arial" w:hAnsi="Arial"/>
                <w:sz w:val="17"/>
              </w:rPr>
            </w:r>
            <w:r>
              <w:rPr>
                <w:rFonts w:ascii="Arial" w:hAnsi="Arial"/>
                <w:b w:val="0"/>
                <w:sz w:val="17"/>
              </w:rPr>
              <w:t>PUT /aitec/projects/{id}/program</w:t>
            </w:r>
          </w:p>
        </w:tc>
        <w:tc>
          <w:tcPr>
            <w:tcW w:type="dxa" w:w="5688"/>
            <w:vAlign w:val="center"/>
          </w:tcPr>
          <w:p>
            <w:pPr>
              <w:spacing w:after="0" w:before="0"/>
            </w:pPr>
            <w:r>
              <w:rPr>
                <w:rFonts w:ascii="Arial" w:hAnsi="Arial"/>
                <w:sz w:val="17"/>
              </w:rPr>
            </w:r>
            <w:r>
              <w:rPr>
                <w:rFonts w:ascii="Arial" w:hAnsi="Arial"/>
                <w:b w:val="0"/>
                <w:sz w:val="17"/>
              </w:rPr>
              <w:t>salvar programa arquitetônico</w:t>
            </w:r>
          </w:p>
        </w:tc>
      </w:tr>
      <w:tr>
        <w:trPr>
          <w:cantSplit/>
          <w:cantSplit/>
        </w:trPr>
        <w:tc>
          <w:tcPr>
            <w:tcW w:type="dxa" w:w="3816"/>
            <w:vAlign w:val="center"/>
          </w:tcPr>
          <w:p>
            <w:pPr>
              <w:spacing w:after="0" w:before="0"/>
            </w:pPr>
            <w:r>
              <w:rPr>
                <w:rFonts w:ascii="Arial" w:hAnsi="Arial"/>
                <w:sz w:val="17"/>
              </w:rPr>
            </w:r>
            <w:r>
              <w:rPr>
                <w:rFonts w:ascii="Arial" w:hAnsi="Arial"/>
                <w:b w:val="0"/>
                <w:sz w:val="17"/>
              </w:rPr>
              <w:t>POST /aitec/projects/{id}/generate</w:t>
            </w:r>
          </w:p>
        </w:tc>
        <w:tc>
          <w:tcPr>
            <w:tcW w:type="dxa" w:w="5688"/>
            <w:vAlign w:val="center"/>
          </w:tcPr>
          <w:p>
            <w:pPr>
              <w:spacing w:after="0" w:before="0"/>
            </w:pPr>
            <w:r>
              <w:rPr>
                <w:rFonts w:ascii="Arial" w:hAnsi="Arial"/>
                <w:sz w:val="17"/>
              </w:rPr>
            </w:r>
            <w:r>
              <w:rPr>
                <w:rFonts w:ascii="Arial" w:hAnsi="Arial"/>
                <w:b w:val="0"/>
                <w:sz w:val="17"/>
              </w:rPr>
              <w:t>iniciar job de geração</w:t>
            </w:r>
          </w:p>
        </w:tc>
      </w:tr>
      <w:tr>
        <w:trPr>
          <w:cantSplit/>
          <w:cantSplit/>
        </w:trPr>
        <w:tc>
          <w:tcPr>
            <w:tcW w:type="dxa" w:w="3816"/>
            <w:vAlign w:val="center"/>
          </w:tcPr>
          <w:p>
            <w:pPr>
              <w:spacing w:after="0" w:before="0"/>
            </w:pPr>
            <w:r>
              <w:rPr>
                <w:rFonts w:ascii="Arial" w:hAnsi="Arial"/>
                <w:sz w:val="17"/>
              </w:rPr>
            </w:r>
            <w:r>
              <w:rPr>
                <w:rFonts w:ascii="Arial" w:hAnsi="Arial"/>
                <w:b w:val="0"/>
                <w:sz w:val="17"/>
              </w:rPr>
              <w:t>GET /aitec/jobs/{id}</w:t>
            </w:r>
          </w:p>
        </w:tc>
        <w:tc>
          <w:tcPr>
            <w:tcW w:type="dxa" w:w="5688"/>
            <w:vAlign w:val="center"/>
          </w:tcPr>
          <w:p>
            <w:pPr>
              <w:spacing w:after="0" w:before="0"/>
            </w:pPr>
            <w:r>
              <w:rPr>
                <w:rFonts w:ascii="Arial" w:hAnsi="Arial"/>
                <w:sz w:val="17"/>
              </w:rPr>
            </w:r>
            <w:r>
              <w:rPr>
                <w:rFonts w:ascii="Arial" w:hAnsi="Arial"/>
                <w:b w:val="0"/>
                <w:sz w:val="17"/>
              </w:rPr>
              <w:t>progresso, estágio, métricas e logs amigáveis</w:t>
            </w:r>
          </w:p>
        </w:tc>
      </w:tr>
      <w:tr>
        <w:trPr>
          <w:cantSplit/>
          <w:cantSplit/>
        </w:trPr>
        <w:tc>
          <w:tcPr>
            <w:tcW w:type="dxa" w:w="3816"/>
            <w:vAlign w:val="center"/>
          </w:tcPr>
          <w:p>
            <w:pPr>
              <w:spacing w:after="0" w:before="0"/>
            </w:pPr>
            <w:r>
              <w:rPr>
                <w:rFonts w:ascii="Arial" w:hAnsi="Arial"/>
                <w:sz w:val="17"/>
              </w:rPr>
            </w:r>
            <w:r>
              <w:rPr>
                <w:rFonts w:ascii="Arial" w:hAnsi="Arial"/>
                <w:b w:val="0"/>
                <w:sz w:val="17"/>
              </w:rPr>
              <w:t>GET /aitec/projects/{id}/solutions</w:t>
            </w:r>
          </w:p>
        </w:tc>
        <w:tc>
          <w:tcPr>
            <w:tcW w:type="dxa" w:w="5688"/>
            <w:vAlign w:val="center"/>
          </w:tcPr>
          <w:p>
            <w:pPr>
              <w:spacing w:after="0" w:before="0"/>
            </w:pPr>
            <w:r>
              <w:rPr>
                <w:rFonts w:ascii="Arial" w:hAnsi="Arial"/>
                <w:sz w:val="17"/>
              </w:rPr>
            </w:r>
            <w:r>
              <w:rPr>
                <w:rFonts w:ascii="Arial" w:hAnsi="Arial"/>
                <w:b w:val="0"/>
                <w:sz w:val="17"/>
              </w:rPr>
              <w:t>listar/filter/rank soluções</w:t>
            </w:r>
          </w:p>
        </w:tc>
      </w:tr>
      <w:tr>
        <w:trPr>
          <w:cantSplit/>
          <w:cantSplit/>
        </w:trPr>
        <w:tc>
          <w:tcPr>
            <w:tcW w:type="dxa" w:w="3816"/>
            <w:vAlign w:val="center"/>
          </w:tcPr>
          <w:p>
            <w:pPr>
              <w:spacing w:after="0" w:before="0"/>
            </w:pPr>
            <w:r>
              <w:rPr>
                <w:rFonts w:ascii="Arial" w:hAnsi="Arial"/>
                <w:sz w:val="17"/>
              </w:rPr>
            </w:r>
            <w:r>
              <w:rPr>
                <w:rFonts w:ascii="Arial" w:hAnsi="Arial"/>
                <w:b w:val="0"/>
                <w:sz w:val="17"/>
              </w:rPr>
              <w:t>POST /aitec/solutions/{id}/branch</w:t>
            </w:r>
          </w:p>
        </w:tc>
        <w:tc>
          <w:tcPr>
            <w:tcW w:type="dxa" w:w="5688"/>
            <w:vAlign w:val="center"/>
          </w:tcPr>
          <w:p>
            <w:pPr>
              <w:spacing w:after="0" w:before="0"/>
            </w:pPr>
            <w:r>
              <w:rPr>
                <w:rFonts w:ascii="Arial" w:hAnsi="Arial"/>
                <w:sz w:val="17"/>
              </w:rPr>
            </w:r>
            <w:r>
              <w:rPr>
                <w:rFonts w:ascii="Arial" w:hAnsi="Arial"/>
                <w:b w:val="0"/>
                <w:sz w:val="17"/>
              </w:rPr>
              <w:t>criar variação preservando locks</w:t>
            </w:r>
          </w:p>
        </w:tc>
      </w:tr>
      <w:tr>
        <w:trPr>
          <w:cantSplit/>
          <w:cantSplit/>
        </w:trPr>
        <w:tc>
          <w:tcPr>
            <w:tcW w:type="dxa" w:w="3816"/>
            <w:vAlign w:val="center"/>
          </w:tcPr>
          <w:p>
            <w:pPr>
              <w:spacing w:after="0" w:before="0"/>
            </w:pPr>
            <w:r>
              <w:rPr>
                <w:rFonts w:ascii="Arial" w:hAnsi="Arial"/>
                <w:sz w:val="17"/>
              </w:rPr>
            </w:r>
            <w:r>
              <w:rPr>
                <w:rFonts w:ascii="Arial" w:hAnsi="Arial"/>
                <w:b w:val="0"/>
                <w:sz w:val="17"/>
              </w:rPr>
              <w:t>POST /aitec/solutions/{id}/locks</w:t>
            </w:r>
          </w:p>
        </w:tc>
        <w:tc>
          <w:tcPr>
            <w:tcW w:type="dxa" w:w="5688"/>
            <w:vAlign w:val="center"/>
          </w:tcPr>
          <w:p>
            <w:pPr>
              <w:spacing w:after="0" w:before="0"/>
            </w:pPr>
            <w:r>
              <w:rPr>
                <w:rFonts w:ascii="Arial" w:hAnsi="Arial"/>
                <w:sz w:val="17"/>
              </w:rPr>
            </w:r>
            <w:r>
              <w:rPr>
                <w:rFonts w:ascii="Arial" w:hAnsi="Arial"/>
                <w:b w:val="0"/>
                <w:sz w:val="17"/>
              </w:rPr>
              <w:t>travar objetos/constraints</w:t>
            </w:r>
          </w:p>
        </w:tc>
      </w:tr>
      <w:tr>
        <w:trPr>
          <w:cantSplit/>
          <w:cantSplit/>
        </w:trPr>
        <w:tc>
          <w:tcPr>
            <w:tcW w:type="dxa" w:w="3816"/>
            <w:vAlign w:val="center"/>
          </w:tcPr>
          <w:p>
            <w:pPr>
              <w:spacing w:after="0" w:before="0"/>
            </w:pPr>
            <w:r>
              <w:rPr>
                <w:rFonts w:ascii="Arial" w:hAnsi="Arial"/>
                <w:sz w:val="17"/>
              </w:rPr>
            </w:r>
            <w:r>
              <w:rPr>
                <w:rFonts w:ascii="Arial" w:hAnsi="Arial"/>
                <w:b w:val="0"/>
                <w:sz w:val="17"/>
              </w:rPr>
              <w:t>POST /aitec/solutions/{id}/analyze</w:t>
            </w:r>
          </w:p>
        </w:tc>
        <w:tc>
          <w:tcPr>
            <w:tcW w:type="dxa" w:w="5688"/>
            <w:vAlign w:val="center"/>
          </w:tcPr>
          <w:p>
            <w:pPr>
              <w:spacing w:after="0" w:before="0"/>
            </w:pPr>
            <w:r>
              <w:rPr>
                <w:rFonts w:ascii="Arial" w:hAnsi="Arial"/>
                <w:sz w:val="17"/>
              </w:rPr>
            </w:r>
            <w:r>
              <w:rPr>
                <w:rFonts w:ascii="Arial" w:hAnsi="Arial"/>
                <w:b w:val="0"/>
                <w:sz w:val="17"/>
              </w:rPr>
              <w:t>rodar análise específica/detalhada</w:t>
            </w:r>
          </w:p>
        </w:tc>
      </w:tr>
      <w:tr>
        <w:trPr>
          <w:cantSplit/>
          <w:cantSplit/>
        </w:trPr>
        <w:tc>
          <w:tcPr>
            <w:tcW w:type="dxa" w:w="3816"/>
            <w:vAlign w:val="center"/>
          </w:tcPr>
          <w:p>
            <w:pPr>
              <w:spacing w:after="0" w:before="0"/>
            </w:pPr>
            <w:r>
              <w:rPr>
                <w:rFonts w:ascii="Arial" w:hAnsi="Arial"/>
                <w:sz w:val="17"/>
              </w:rPr>
            </w:r>
            <w:r>
              <w:rPr>
                <w:rFonts w:ascii="Arial" w:hAnsi="Arial"/>
                <w:b w:val="0"/>
                <w:sz w:val="17"/>
              </w:rPr>
              <w:t>POST /aitec/solutions/{id}/chat</w:t>
            </w:r>
          </w:p>
        </w:tc>
        <w:tc>
          <w:tcPr>
            <w:tcW w:type="dxa" w:w="5688"/>
            <w:vAlign w:val="center"/>
          </w:tcPr>
          <w:p>
            <w:pPr>
              <w:spacing w:after="0" w:before="0"/>
            </w:pPr>
            <w:r>
              <w:rPr>
                <w:rFonts w:ascii="Arial" w:hAnsi="Arial"/>
                <w:sz w:val="17"/>
              </w:rPr>
            </w:r>
            <w:r>
              <w:rPr>
                <w:rFonts w:ascii="Arial" w:hAnsi="Arial"/>
                <w:b w:val="0"/>
                <w:sz w:val="17"/>
              </w:rPr>
              <w:t>comando conversacional contextual</w:t>
            </w:r>
          </w:p>
        </w:tc>
      </w:tr>
      <w:tr>
        <w:trPr>
          <w:cantSplit/>
          <w:cantSplit/>
        </w:trPr>
        <w:tc>
          <w:tcPr>
            <w:tcW w:type="dxa" w:w="3816"/>
            <w:vAlign w:val="center"/>
          </w:tcPr>
          <w:p>
            <w:pPr>
              <w:spacing w:after="0" w:before="0"/>
            </w:pPr>
            <w:r>
              <w:rPr>
                <w:rFonts w:ascii="Arial" w:hAnsi="Arial"/>
                <w:sz w:val="17"/>
              </w:rPr>
            </w:r>
            <w:r>
              <w:rPr>
                <w:rFonts w:ascii="Arial" w:hAnsi="Arial"/>
                <w:b w:val="0"/>
                <w:sz w:val="17"/>
              </w:rPr>
              <w:t>GET /aitec/solutions/{id}/violations</w:t>
            </w:r>
          </w:p>
        </w:tc>
        <w:tc>
          <w:tcPr>
            <w:tcW w:type="dxa" w:w="5688"/>
            <w:vAlign w:val="center"/>
          </w:tcPr>
          <w:p>
            <w:pPr>
              <w:spacing w:after="0" w:before="0"/>
            </w:pPr>
            <w:r>
              <w:rPr>
                <w:rFonts w:ascii="Arial" w:hAnsi="Arial"/>
                <w:sz w:val="17"/>
              </w:rPr>
            </w:r>
            <w:r>
              <w:rPr>
                <w:rFonts w:ascii="Arial" w:hAnsi="Arial"/>
                <w:b w:val="0"/>
                <w:sz w:val="17"/>
              </w:rPr>
              <w:t>explicação de conflitos/regras</w:t>
            </w:r>
          </w:p>
        </w:tc>
      </w:tr>
      <w:tr>
        <w:trPr>
          <w:cantSplit/>
          <w:cantSplit/>
        </w:trPr>
        <w:tc>
          <w:tcPr>
            <w:tcW w:type="dxa" w:w="3816"/>
            <w:vAlign w:val="center"/>
          </w:tcPr>
          <w:p>
            <w:pPr>
              <w:spacing w:after="0" w:before="0"/>
            </w:pPr>
            <w:r>
              <w:rPr>
                <w:rFonts w:ascii="Arial" w:hAnsi="Arial"/>
                <w:sz w:val="17"/>
              </w:rPr>
            </w:r>
            <w:r>
              <w:rPr>
                <w:rFonts w:ascii="Arial" w:hAnsi="Arial"/>
                <w:b w:val="0"/>
                <w:sz w:val="17"/>
              </w:rPr>
              <w:t>POST /aitec/solutions/{id}/export</w:t>
            </w:r>
          </w:p>
        </w:tc>
        <w:tc>
          <w:tcPr>
            <w:tcW w:type="dxa" w:w="5688"/>
            <w:vAlign w:val="center"/>
          </w:tcPr>
          <w:p>
            <w:pPr>
              <w:spacing w:after="0" w:before="0"/>
            </w:pPr>
            <w:r>
              <w:rPr>
                <w:rFonts w:ascii="Arial" w:hAnsi="Arial"/>
                <w:sz w:val="17"/>
              </w:rPr>
            </w:r>
            <w:r>
              <w:rPr>
                <w:rFonts w:ascii="Arial" w:hAnsi="Arial"/>
                <w:b w:val="0"/>
                <w:sz w:val="17"/>
              </w:rPr>
              <w:t>gerar CAD/BIM/GIS/relatório</w:t>
            </w:r>
          </w:p>
        </w:tc>
      </w:tr>
    </w:tbl>
    <w:p>
      <w:pPr>
        <w:pStyle w:val="Heading2"/>
        <w:keepNext/>
      </w:pPr>
      <w:r>
        <w:t>28.32 Protocolo de geração e reprodutibilidade</w:t>
      </w:r>
    </w:p>
    <w:p>
      <w:pPr>
        <w:spacing w:after="100"/>
      </w:pPr>
      <w:r>
        <w:rPr>
          <w:i w:val="0"/>
        </w:rPr>
        <w:t>Toda solução precisa ser reproduzível. Guardar:</w:t>
      </w:r>
    </w:p>
    <w:p>
      <w:pPr>
        <w:pStyle w:val="ListBullet"/>
        <w:spacing w:after="40"/>
      </w:pPr>
      <w:r>
        <w:t>snapshot do terreno e de todas as regras aplicadas;</w:t>
      </w:r>
    </w:p>
    <w:p>
      <w:pPr>
        <w:pStyle w:val="ListBullet"/>
        <w:spacing w:after="40"/>
      </w:pPr>
      <w:r>
        <w:t>programa e objetivos com versões;</w:t>
      </w:r>
    </w:p>
    <w:p>
      <w:pPr>
        <w:pStyle w:val="ListBullet"/>
        <w:spacing w:after="40"/>
      </w:pPr>
      <w:r>
        <w:t>solver/model version e hash do código de geração;</w:t>
      </w:r>
    </w:p>
    <w:p>
      <w:pPr>
        <w:pStyle w:val="ListBullet"/>
        <w:spacing w:after="40"/>
      </w:pPr>
      <w:r>
        <w:t>seed aleatória e parâmetros de busca;</w:t>
      </w:r>
    </w:p>
    <w:p>
      <w:pPr>
        <w:pStyle w:val="ListBullet"/>
        <w:spacing w:after="40"/>
      </w:pPr>
      <w:r>
        <w:t>templates e bibliotecas usadas;</w:t>
      </w:r>
    </w:p>
    <w:p>
      <w:pPr>
        <w:pStyle w:val="ListBullet"/>
        <w:spacing w:after="40"/>
      </w:pPr>
      <w:r>
        <w:t>dados ambientais/topográficos e data-base;</w:t>
      </w:r>
    </w:p>
    <w:p>
      <w:pPr>
        <w:pStyle w:val="ListBullet"/>
        <w:spacing w:after="40"/>
      </w:pPr>
      <w:r>
        <w:t>tempo/limites de execução;</w:t>
      </w:r>
    </w:p>
    <w:p>
      <w:pPr>
        <w:pStyle w:val="ListBullet"/>
        <w:spacing w:after="40"/>
      </w:pPr>
      <w:r>
        <w:t>métricas, violações descartadas e motivo de descarte;</w:t>
      </w:r>
    </w:p>
    <w:p>
      <w:pPr>
        <w:pStyle w:val="ListBullet"/>
        <w:spacing w:after="40"/>
      </w:pPr>
      <w:r>
        <w:t>ações humanas de lock/edit/regenerate.</w:t>
      </w:r>
    </w:p>
    <w:p>
      <w:pPr>
        <w:pStyle w:val="Heading2"/>
        <w:keepNext/>
      </w:pPr>
      <w:r>
        <w:t>28.33 Dados de treinamento e propriedade intelectual</w:t>
      </w:r>
    </w:p>
    <w:p>
      <w:pPr>
        <w:spacing w:after="100"/>
      </w:pPr>
      <w:r>
        <w:rPr>
          <w:i w:val="0"/>
        </w:rPr>
        <w:t>A principal proteção do produto é não depender de um dataset obscuro. O A.I TEC deve combinar regras explícitas e bibliotecas paramétricas com IA treinada/licenciada de forma controlada. Plantas de clientes só entram em treinamento compartilhado mediante autorização expressa.</w:t>
      </w:r>
    </w:p>
    <w:p>
      <w:pPr>
        <w:pStyle w:val="ListBullet"/>
        <w:spacing w:after="40"/>
      </w:pPr>
      <w:r>
        <w:t>Plan Library privada por tenant.</w:t>
      </w:r>
    </w:p>
    <w:p>
      <w:pPr>
        <w:pStyle w:val="ListBullet"/>
        <w:spacing w:after="40"/>
      </w:pPr>
      <w:r>
        <w:t>Dataset global somente com obras próprias, licenciadas, domínio público ou autorização compatível.</w:t>
      </w:r>
    </w:p>
    <w:p>
      <w:pPr>
        <w:pStyle w:val="ListBullet"/>
        <w:spacing w:after="40"/>
      </w:pPr>
      <w:r>
        <w:t>Separar modelos “base” de adapters/finetunes específicos do cliente quando houver justificativa.</w:t>
      </w:r>
    </w:p>
    <w:p>
      <w:pPr>
        <w:pStyle w:val="ListBullet"/>
        <w:spacing w:after="40"/>
      </w:pPr>
      <w:r>
        <w:t>Registrar proveniência de dataset, versão e termos de uso.</w:t>
      </w:r>
    </w:p>
    <w:p>
      <w:pPr>
        <w:pStyle w:val="ListBullet"/>
        <w:spacing w:after="40"/>
      </w:pPr>
      <w:r>
        <w:t>Não reproduzir plantas de referência de terceiros de forma memorística.</w:t>
      </w:r>
    </w:p>
    <w:p>
      <w:pPr>
        <w:pStyle w:val="ListBullet"/>
        <w:spacing w:after="40"/>
      </w:pPr>
      <w:r>
        <w:t>Permitir opt-out de treinamento e isolamento enterprise.</w:t>
      </w:r>
    </w:p>
    <w:p>
      <w:pPr>
        <w:pStyle w:val="Heading2"/>
        <w:keepNext/>
      </w:pPr>
      <w:r>
        <w:t>28.34 Validação geométrica e compliance</w:t>
      </w:r>
    </w:p>
    <w:p>
      <w:pPr>
        <w:spacing w:after="100"/>
      </w:pPr>
      <w:r>
        <w:rPr>
          <w:i w:val="0"/>
        </w:rPr>
        <w:t>Cada solução passa por gates antes de aparecer como “viável”:</w:t>
      </w:r>
    </w:p>
    <w:p>
      <w:pPr>
        <w:pStyle w:val="ListNumber"/>
        <w:spacing w:after="40"/>
      </w:pPr>
      <w:r>
        <w:t>Geometry gate: polígonos válidos, sem self-intersections, gaps críticos ou overlaps proibidos.</w:t>
      </w:r>
    </w:p>
    <w:p>
      <w:pPr>
        <w:pStyle w:val="ListNumber"/>
        <w:spacing w:after="40"/>
      </w:pPr>
      <w:r>
        <w:t>Legal gate: envelope, CA, TO, permeabilidade, altura, recuos e demais regras computáveis.</w:t>
      </w:r>
    </w:p>
    <w:p>
      <w:pPr>
        <w:pStyle w:val="ListNumber"/>
        <w:spacing w:after="40"/>
      </w:pPr>
      <w:r>
        <w:t>Program gate: requisitos obrigatórios e faixas mínimas do cliente.</w:t>
      </w:r>
    </w:p>
    <w:p>
      <w:pPr>
        <w:pStyle w:val="ListNumber"/>
        <w:spacing w:after="40"/>
      </w:pPr>
      <w:r>
        <w:t>Circulation gate: acessos, corredores, núcleos e conectividade configurados.</w:t>
      </w:r>
    </w:p>
    <w:p>
      <w:pPr>
        <w:pStyle w:val="ListNumber"/>
        <w:spacing w:after="40"/>
      </w:pPr>
      <w:r>
        <w:t>Parking gate: quantidade mínima e geometria funcional exigida.</w:t>
      </w:r>
    </w:p>
    <w:p>
      <w:pPr>
        <w:pStyle w:val="ListNumber"/>
        <w:spacing w:after="40"/>
      </w:pPr>
      <w:r>
        <w:t>Terrain gate: inclinações/rampas/platôs dentro dos limites configurados.</w:t>
      </w:r>
    </w:p>
    <w:p>
      <w:pPr>
        <w:pStyle w:val="ListNumber"/>
        <w:spacing w:after="40"/>
      </w:pPr>
      <w:r>
        <w:t>Data-confidence gate: impedir selo “conforme” quando regra/fonte está ausente ou não confirmada.</w:t>
      </w:r>
    </w:p>
    <w:p>
      <w:pPr>
        <w:pStyle w:val="ListNumber"/>
        <w:spacing w:after="40"/>
      </w:pPr>
      <w:r>
        <w:t>Human review gate: status final “pré-projeto aprovado para avanço” só por usuário autorizado.</w:t>
      </w:r>
    </w:p>
    <w:p>
      <w:pPr>
        <w:pStyle w:val="Heading2"/>
        <w:keepNext/>
      </w:pPr>
      <w:r>
        <w:t>28.35 Explainability — por que cabe, por que não cabe</w:t>
      </w:r>
    </w:p>
    <w:p>
      <w:pPr>
        <w:spacing w:after="100"/>
      </w:pPr>
      <w:r>
        <w:rPr>
          <w:i w:val="0"/>
        </w:rPr>
        <w:t>O A.I TEC deve ser capaz de explicar uma solução e também uma impossibilidade. Exemplo: “não foi possível atingir 420 unidades com 2 vagas/unidade porque o limite de área computável, o envelope de recuos e a garagem de dois subsolos entram em conflito”. Quando possível, o sistema calcula o “constraint bottleneck” e sugere quais premissas alteráveis destravam o problema.</w:t>
      </w:r>
    </w:p>
    <w:p>
      <w:pPr>
        <w:pStyle w:val="ListBullet"/>
        <w:spacing w:after="40"/>
      </w:pPr>
      <w:r>
        <w:t>Mostrar rule/evidence para cada limite legal.</w:t>
      </w:r>
    </w:p>
    <w:p>
      <w:pPr>
        <w:pStyle w:val="ListBullet"/>
        <w:spacing w:after="40"/>
      </w:pPr>
      <w:r>
        <w:t>Mostrar quais objetivos perderam pontos e por quê.</w:t>
      </w:r>
    </w:p>
    <w:p>
      <w:pPr>
        <w:pStyle w:val="ListBullet"/>
        <w:spacing w:after="40"/>
      </w:pPr>
      <w:r>
        <w:t>Analisar inviabilidade e conflitos de constraints quando o solver permitir.</w:t>
      </w:r>
    </w:p>
    <w:p>
      <w:pPr>
        <w:pStyle w:val="ListBullet"/>
        <w:spacing w:after="40"/>
      </w:pPr>
      <w:r>
        <w:t>Distinguir “impossível”, “não encontrado no tempo limite” e “dados insuficientes”.</w:t>
      </w:r>
    </w:p>
    <w:p>
      <w:pPr>
        <w:pStyle w:val="ListBullet"/>
        <w:spacing w:after="40"/>
      </w:pPr>
      <w:r>
        <w:t>Nunca converter UNKNOWN/timeout em conclusão de inviabilidade.</w:t>
      </w:r>
    </w:p>
    <w:p>
      <w:pPr>
        <w:pStyle w:val="Heading2"/>
        <w:keepNext/>
      </w:pPr>
      <w:r>
        <w:t>28.36 Responsabilidade profissional e limites</w:t>
      </w:r>
    </w:p>
    <w:p>
      <w:pPr>
        <w:spacing w:after="100"/>
      </w:pPr>
      <w:r>
        <w:rPr>
          <w:i w:val="0"/>
        </w:rPr>
        <w:t>A.I TEC produz estudo de viabilidade e pré-projeto. Saídas não substituem projeto arquitetônico legal, executivo, estrutural, instalações, prevenção de incêndio, geotecnia, drenagem ou aprovações dos órgãos. Regras técnicas protegidas por licença (por exemplo normas ABNT) devem ser integradas por mecanismos legais/licenciados e configuradas por profissionais, não reproduzidas indevidamente.</w:t>
      </w:r>
    </w:p>
    <w:p>
      <w:pPr>
        <w:pStyle w:val="ListBullet"/>
        <w:spacing w:after="40"/>
      </w:pPr>
      <w:r>
        <w:t>Cada relatório identifica autor do estudo, usuário responsável e versão do motor.</w:t>
      </w:r>
    </w:p>
    <w:p>
      <w:pPr>
        <w:pStyle w:val="ListBullet"/>
        <w:spacing w:after="40"/>
      </w:pPr>
      <w:r>
        <w:t>Selo “conforme” só para regras que o sistema conseguiu verificar e cuja fonte está vigente/confirmada.</w:t>
      </w:r>
    </w:p>
    <w:p>
      <w:pPr>
        <w:pStyle w:val="ListBullet"/>
        <w:spacing w:after="40"/>
      </w:pPr>
      <w:r>
        <w:t>Alertas críticos exigem revisão do arquiteto/engenheiro.</w:t>
      </w:r>
    </w:p>
    <w:p>
      <w:pPr>
        <w:pStyle w:val="ListBullet"/>
        <w:spacing w:after="40"/>
      </w:pPr>
      <w:r>
        <w:t>Exportação pode incluir disclaimer e lista de verificações pendentes.</w:t>
      </w:r>
    </w:p>
    <w:p>
      <w:pPr>
        <w:pStyle w:val="ListBullet"/>
        <w:spacing w:after="40"/>
      </w:pPr>
      <w:r>
        <w:t>ART/RRT e demais responsabilidades continuam humanas.</w:t>
      </w:r>
    </w:p>
    <w:p>
      <w:pPr>
        <w:pStyle w:val="Heading2"/>
        <w:keepNext/>
      </w:pPr>
      <w:r>
        <w:t>28.37 Segurança e isolamento</w:t>
      </w:r>
    </w:p>
    <w:p>
      <w:pPr>
        <w:pStyle w:val="ListBullet"/>
        <w:spacing w:after="40"/>
      </w:pPr>
      <w:r>
        <w:t>Projetos e Design DNA segregados por tenant; row-level security quando aplicável.</w:t>
      </w:r>
    </w:p>
    <w:p>
      <w:pPr>
        <w:pStyle w:val="ListBullet"/>
        <w:spacing w:after="40"/>
      </w:pPr>
      <w:r>
        <w:t>Arquivos CAD/BIM tratados como propriedade intelectual sensível.</w:t>
      </w:r>
    </w:p>
    <w:p>
      <w:pPr>
        <w:pStyle w:val="ListBullet"/>
        <w:spacing w:after="40"/>
      </w:pPr>
      <w:r>
        <w:t>URLs temporárias, criptografia em repouso e trilha de download/export.</w:t>
      </w:r>
    </w:p>
    <w:p>
      <w:pPr>
        <w:pStyle w:val="ListBullet"/>
        <w:spacing w:after="40"/>
      </w:pPr>
      <w:r>
        <w:t>Jobs de IA não podem usar dados de outro cliente.</w:t>
      </w:r>
    </w:p>
    <w:p>
      <w:pPr>
        <w:pStyle w:val="ListBullet"/>
        <w:spacing w:after="40"/>
      </w:pPr>
      <w:r>
        <w:t>Logs não devem armazenar plantas integrais/prompts sensíveis sem política explícita.</w:t>
      </w:r>
    </w:p>
    <w:p>
      <w:pPr>
        <w:pStyle w:val="ListBullet"/>
        <w:spacing w:after="40"/>
      </w:pPr>
      <w:r>
        <w:t>Permissões distintas: visualizar, gerar, editar, aprovar, exportar e administrar biblioteca.</w:t>
      </w:r>
    </w:p>
    <w:p>
      <w:pPr>
        <w:pStyle w:val="Heading2"/>
        <w:keepNext/>
      </w:pPr>
      <w:r>
        <w:t>28.38 Estudo A.I TEC 360 — relatório</w:t>
      </w:r>
    </w:p>
    <w:p>
      <w:pPr>
        <w:spacing w:after="100"/>
      </w:pPr>
      <w:r>
        <w:rPr>
          <w:i w:val="0"/>
        </w:rPr>
        <w:t>O relatório final de cada alternativa/finalista deve conter:</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1944"/>
            <w:vAlign w:val="center"/>
            <w:shd w:fill="D9EAF7"/>
          </w:tcPr>
          <w:p>
            <w:pPr>
              <w:spacing w:after="0" w:before="0"/>
            </w:pPr>
            <w:r>
              <w:rPr>
                <w:rFonts w:ascii="Arial" w:hAnsi="Arial"/>
                <w:sz w:val="17"/>
              </w:rPr>
            </w:r>
            <w:r>
              <w:rPr>
                <w:rFonts w:ascii="Arial" w:hAnsi="Arial"/>
                <w:b/>
                <w:sz w:val="17"/>
              </w:rPr>
              <w:t>Bloco</w:t>
            </w:r>
          </w:p>
        </w:tc>
        <w:tc>
          <w:tcPr>
            <w:tcW w:type="dxa" w:w="7560"/>
            <w:vAlign w:val="center"/>
            <w:shd w:fill="D9EAF7"/>
          </w:tcPr>
          <w:p>
            <w:pPr>
              <w:spacing w:after="0" w:before="0"/>
            </w:pPr>
            <w:r>
              <w:rPr>
                <w:rFonts w:ascii="Arial" w:hAnsi="Arial"/>
                <w:sz w:val="17"/>
              </w:rPr>
            </w:r>
            <w:r>
              <w:rPr>
                <w:rFonts w:ascii="Arial" w:hAnsi="Arial"/>
                <w:b/>
                <w:sz w:val="17"/>
              </w:rPr>
              <w:t>Conteúdo</w:t>
            </w:r>
          </w:p>
        </w:tc>
      </w:tr>
      <w:tr>
        <w:trPr>
          <w:cantSplit/>
          <w:cantSplit/>
        </w:trPr>
        <w:tc>
          <w:tcPr>
            <w:tcW w:type="dxa" w:w="1944"/>
            <w:vAlign w:val="center"/>
          </w:tcPr>
          <w:p>
            <w:pPr>
              <w:spacing w:after="0" w:before="0"/>
            </w:pPr>
            <w:r>
              <w:rPr>
                <w:rFonts w:ascii="Arial" w:hAnsi="Arial"/>
                <w:sz w:val="17"/>
              </w:rPr>
            </w:r>
            <w:r>
              <w:rPr>
                <w:rFonts w:ascii="Arial" w:hAnsi="Arial"/>
                <w:b w:val="0"/>
                <w:sz w:val="17"/>
              </w:rPr>
              <w:t>1. Identificação</w:t>
            </w:r>
          </w:p>
        </w:tc>
        <w:tc>
          <w:tcPr>
            <w:tcW w:type="dxa" w:w="7560"/>
            <w:vAlign w:val="center"/>
          </w:tcPr>
          <w:p>
            <w:pPr>
              <w:spacing w:after="0" w:before="0"/>
            </w:pPr>
            <w:r>
              <w:rPr>
                <w:rFonts w:ascii="Arial" w:hAnsi="Arial"/>
                <w:sz w:val="17"/>
              </w:rPr>
            </w:r>
            <w:r>
              <w:rPr>
                <w:rFonts w:ascii="Arial" w:hAnsi="Arial"/>
                <w:b w:val="0"/>
                <w:sz w:val="17"/>
              </w:rPr>
              <w:t>terreno, endereço, coordenadas, área, arquivos e data-base</w:t>
            </w:r>
          </w:p>
        </w:tc>
      </w:tr>
      <w:tr>
        <w:trPr>
          <w:cantSplit/>
          <w:cantSplit/>
        </w:trPr>
        <w:tc>
          <w:tcPr>
            <w:tcW w:type="dxa" w:w="1944"/>
            <w:vAlign w:val="center"/>
          </w:tcPr>
          <w:p>
            <w:pPr>
              <w:spacing w:after="0" w:before="0"/>
            </w:pPr>
            <w:r>
              <w:rPr>
                <w:rFonts w:ascii="Arial" w:hAnsi="Arial"/>
                <w:sz w:val="17"/>
              </w:rPr>
            </w:r>
            <w:r>
              <w:rPr>
                <w:rFonts w:ascii="Arial" w:hAnsi="Arial"/>
                <w:b w:val="0"/>
                <w:sz w:val="17"/>
              </w:rPr>
              <w:t>2. Fontes/regras</w:t>
            </w:r>
          </w:p>
        </w:tc>
        <w:tc>
          <w:tcPr>
            <w:tcW w:type="dxa" w:w="7560"/>
            <w:vAlign w:val="center"/>
          </w:tcPr>
          <w:p>
            <w:pPr>
              <w:spacing w:after="0" w:before="0"/>
            </w:pPr>
            <w:r>
              <w:rPr>
                <w:rFonts w:ascii="Arial" w:hAnsi="Arial"/>
                <w:sz w:val="17"/>
              </w:rPr>
            </w:r>
            <w:r>
              <w:rPr>
                <w:rFonts w:ascii="Arial" w:hAnsi="Arial"/>
                <w:b w:val="0"/>
                <w:sz w:val="17"/>
              </w:rPr>
              <w:t>zoneamento, leis, restrições, evidências e confiança</w:t>
            </w:r>
          </w:p>
        </w:tc>
      </w:tr>
      <w:tr>
        <w:trPr>
          <w:cantSplit/>
          <w:cantSplit/>
        </w:trPr>
        <w:tc>
          <w:tcPr>
            <w:tcW w:type="dxa" w:w="1944"/>
            <w:vAlign w:val="center"/>
          </w:tcPr>
          <w:p>
            <w:pPr>
              <w:spacing w:after="0" w:before="0"/>
            </w:pPr>
            <w:r>
              <w:rPr>
                <w:rFonts w:ascii="Arial" w:hAnsi="Arial"/>
                <w:sz w:val="17"/>
              </w:rPr>
            </w:r>
            <w:r>
              <w:rPr>
                <w:rFonts w:ascii="Arial" w:hAnsi="Arial"/>
                <w:b w:val="0"/>
                <w:sz w:val="17"/>
              </w:rPr>
              <w:t>3. Programa</w:t>
            </w:r>
          </w:p>
        </w:tc>
        <w:tc>
          <w:tcPr>
            <w:tcW w:type="dxa" w:w="7560"/>
            <w:vAlign w:val="center"/>
          </w:tcPr>
          <w:p>
            <w:pPr>
              <w:spacing w:after="0" w:before="0"/>
            </w:pPr>
            <w:r>
              <w:rPr>
                <w:rFonts w:ascii="Arial" w:hAnsi="Arial"/>
                <w:sz w:val="17"/>
              </w:rPr>
            </w:r>
            <w:r>
              <w:rPr>
                <w:rFonts w:ascii="Arial" w:hAnsi="Arial"/>
                <w:b w:val="0"/>
                <w:sz w:val="17"/>
              </w:rPr>
              <w:t>tipologias, mix, vagas, lazer, pavimentos, objetivos</w:t>
            </w:r>
          </w:p>
        </w:tc>
      </w:tr>
      <w:tr>
        <w:trPr>
          <w:cantSplit/>
          <w:cantSplit/>
        </w:trPr>
        <w:tc>
          <w:tcPr>
            <w:tcW w:type="dxa" w:w="1944"/>
            <w:vAlign w:val="center"/>
          </w:tcPr>
          <w:p>
            <w:pPr>
              <w:spacing w:after="0" w:before="0"/>
            </w:pPr>
            <w:r>
              <w:rPr>
                <w:rFonts w:ascii="Arial" w:hAnsi="Arial"/>
                <w:sz w:val="17"/>
              </w:rPr>
            </w:r>
            <w:r>
              <w:rPr>
                <w:rFonts w:ascii="Arial" w:hAnsi="Arial"/>
                <w:b w:val="0"/>
                <w:sz w:val="17"/>
              </w:rPr>
              <w:t>4. Implantação</w:t>
            </w:r>
          </w:p>
        </w:tc>
        <w:tc>
          <w:tcPr>
            <w:tcW w:type="dxa" w:w="7560"/>
            <w:vAlign w:val="center"/>
          </w:tcPr>
          <w:p>
            <w:pPr>
              <w:spacing w:after="0" w:before="0"/>
            </w:pPr>
            <w:r>
              <w:rPr>
                <w:rFonts w:ascii="Arial" w:hAnsi="Arial"/>
                <w:sz w:val="17"/>
              </w:rPr>
            </w:r>
            <w:r>
              <w:rPr>
                <w:rFonts w:ascii="Arial" w:hAnsi="Arial"/>
                <w:b w:val="0"/>
                <w:sz w:val="17"/>
              </w:rPr>
              <w:t>planta, massas 3D, acessos, viário, lazer e áreas livres</w:t>
            </w:r>
          </w:p>
        </w:tc>
      </w:tr>
      <w:tr>
        <w:trPr>
          <w:cantSplit/>
          <w:cantSplit/>
        </w:trPr>
        <w:tc>
          <w:tcPr>
            <w:tcW w:type="dxa" w:w="1944"/>
            <w:vAlign w:val="center"/>
          </w:tcPr>
          <w:p>
            <w:pPr>
              <w:spacing w:after="0" w:before="0"/>
            </w:pPr>
            <w:r>
              <w:rPr>
                <w:rFonts w:ascii="Arial" w:hAnsi="Arial"/>
                <w:sz w:val="17"/>
              </w:rPr>
            </w:r>
            <w:r>
              <w:rPr>
                <w:rFonts w:ascii="Arial" w:hAnsi="Arial"/>
                <w:b w:val="0"/>
                <w:sz w:val="17"/>
              </w:rPr>
              <w:t>5. Terreno</w:t>
            </w:r>
          </w:p>
        </w:tc>
        <w:tc>
          <w:tcPr>
            <w:tcW w:type="dxa" w:w="7560"/>
            <w:vAlign w:val="center"/>
          </w:tcPr>
          <w:p>
            <w:pPr>
              <w:spacing w:after="0" w:before="0"/>
            </w:pPr>
            <w:r>
              <w:rPr>
                <w:rFonts w:ascii="Arial" w:hAnsi="Arial"/>
                <w:sz w:val="17"/>
              </w:rPr>
            </w:r>
            <w:r>
              <w:rPr>
                <w:rFonts w:ascii="Arial" w:hAnsi="Arial"/>
                <w:b w:val="0"/>
                <w:sz w:val="17"/>
              </w:rPr>
              <w:t>declividade, platôs, cut/fill e condicionantes</w:t>
            </w:r>
          </w:p>
        </w:tc>
      </w:tr>
      <w:tr>
        <w:trPr>
          <w:cantSplit/>
          <w:cantSplit/>
        </w:trPr>
        <w:tc>
          <w:tcPr>
            <w:tcW w:type="dxa" w:w="1944"/>
            <w:vAlign w:val="center"/>
          </w:tcPr>
          <w:p>
            <w:pPr>
              <w:spacing w:after="0" w:before="0"/>
            </w:pPr>
            <w:r>
              <w:rPr>
                <w:rFonts w:ascii="Arial" w:hAnsi="Arial"/>
                <w:sz w:val="17"/>
              </w:rPr>
            </w:r>
            <w:r>
              <w:rPr>
                <w:rFonts w:ascii="Arial" w:hAnsi="Arial"/>
                <w:b w:val="0"/>
                <w:sz w:val="17"/>
              </w:rPr>
              <w:t>6. Garagem</w:t>
            </w:r>
          </w:p>
        </w:tc>
        <w:tc>
          <w:tcPr>
            <w:tcW w:type="dxa" w:w="7560"/>
            <w:vAlign w:val="center"/>
          </w:tcPr>
          <w:p>
            <w:pPr>
              <w:spacing w:after="0" w:before="0"/>
            </w:pPr>
            <w:r>
              <w:rPr>
                <w:rFonts w:ascii="Arial" w:hAnsi="Arial"/>
                <w:sz w:val="17"/>
              </w:rPr>
            </w:r>
            <w:r>
              <w:rPr>
                <w:rFonts w:ascii="Arial" w:hAnsi="Arial"/>
                <w:b w:val="0"/>
                <w:sz w:val="17"/>
              </w:rPr>
              <w:t>níveis, vagas por tipo, eficiência, rampas e acessos</w:t>
            </w:r>
          </w:p>
        </w:tc>
      </w:tr>
      <w:tr>
        <w:trPr>
          <w:cantSplit/>
          <w:cantSplit/>
        </w:trPr>
        <w:tc>
          <w:tcPr>
            <w:tcW w:type="dxa" w:w="1944"/>
            <w:vAlign w:val="center"/>
          </w:tcPr>
          <w:p>
            <w:pPr>
              <w:spacing w:after="0" w:before="0"/>
            </w:pPr>
            <w:r>
              <w:rPr>
                <w:rFonts w:ascii="Arial" w:hAnsi="Arial"/>
                <w:sz w:val="17"/>
              </w:rPr>
            </w:r>
            <w:r>
              <w:rPr>
                <w:rFonts w:ascii="Arial" w:hAnsi="Arial"/>
                <w:b w:val="0"/>
                <w:sz w:val="17"/>
              </w:rPr>
              <w:t>7. Edifícios</w:t>
            </w:r>
          </w:p>
        </w:tc>
        <w:tc>
          <w:tcPr>
            <w:tcW w:type="dxa" w:w="7560"/>
            <w:vAlign w:val="center"/>
          </w:tcPr>
          <w:p>
            <w:pPr>
              <w:spacing w:after="0" w:before="0"/>
            </w:pPr>
            <w:r>
              <w:rPr>
                <w:rFonts w:ascii="Arial" w:hAnsi="Arial"/>
                <w:sz w:val="17"/>
              </w:rPr>
            </w:r>
            <w:r>
              <w:rPr>
                <w:rFonts w:ascii="Arial" w:hAnsi="Arial"/>
                <w:b w:val="0"/>
                <w:sz w:val="17"/>
              </w:rPr>
              <w:t>torres, pavimentos, núcleos, alturas, áreas e eficiência</w:t>
            </w:r>
          </w:p>
        </w:tc>
      </w:tr>
      <w:tr>
        <w:trPr>
          <w:cantSplit/>
          <w:cantSplit/>
        </w:trPr>
        <w:tc>
          <w:tcPr>
            <w:tcW w:type="dxa" w:w="1944"/>
            <w:vAlign w:val="center"/>
          </w:tcPr>
          <w:p>
            <w:pPr>
              <w:spacing w:after="0" w:before="0"/>
            </w:pPr>
            <w:r>
              <w:rPr>
                <w:rFonts w:ascii="Arial" w:hAnsi="Arial"/>
                <w:sz w:val="17"/>
              </w:rPr>
            </w:r>
            <w:r>
              <w:rPr>
                <w:rFonts w:ascii="Arial" w:hAnsi="Arial"/>
                <w:b w:val="0"/>
                <w:sz w:val="17"/>
              </w:rPr>
              <w:t>8. Unit mix</w:t>
            </w:r>
          </w:p>
        </w:tc>
        <w:tc>
          <w:tcPr>
            <w:tcW w:type="dxa" w:w="7560"/>
            <w:vAlign w:val="center"/>
          </w:tcPr>
          <w:p>
            <w:pPr>
              <w:spacing w:after="0" w:before="0"/>
            </w:pPr>
            <w:r>
              <w:rPr>
                <w:rFonts w:ascii="Arial" w:hAnsi="Arial"/>
                <w:sz w:val="17"/>
              </w:rPr>
            </w:r>
            <w:r>
              <w:rPr>
                <w:rFonts w:ascii="Arial" w:hAnsi="Arial"/>
                <w:b w:val="0"/>
                <w:sz w:val="17"/>
              </w:rPr>
              <w:t>quantidades/percentuais/áreas por tipologia</w:t>
            </w:r>
          </w:p>
        </w:tc>
      </w:tr>
      <w:tr>
        <w:trPr>
          <w:cantSplit/>
          <w:cantSplit/>
        </w:trPr>
        <w:tc>
          <w:tcPr>
            <w:tcW w:type="dxa" w:w="1944"/>
            <w:vAlign w:val="center"/>
          </w:tcPr>
          <w:p>
            <w:pPr>
              <w:spacing w:after="0" w:before="0"/>
            </w:pPr>
            <w:r>
              <w:rPr>
                <w:rFonts w:ascii="Arial" w:hAnsi="Arial"/>
                <w:sz w:val="17"/>
              </w:rPr>
            </w:r>
            <w:r>
              <w:rPr>
                <w:rFonts w:ascii="Arial" w:hAnsi="Arial"/>
                <w:b w:val="0"/>
                <w:sz w:val="17"/>
              </w:rPr>
              <w:t>9. Plantas</w:t>
            </w:r>
          </w:p>
        </w:tc>
        <w:tc>
          <w:tcPr>
            <w:tcW w:type="dxa" w:w="7560"/>
            <w:vAlign w:val="center"/>
          </w:tcPr>
          <w:p>
            <w:pPr>
              <w:spacing w:after="0" w:before="0"/>
            </w:pPr>
            <w:r>
              <w:rPr>
                <w:rFonts w:ascii="Arial" w:hAnsi="Arial"/>
                <w:sz w:val="17"/>
              </w:rPr>
            </w:r>
            <w:r>
              <w:rPr>
                <w:rFonts w:ascii="Arial" w:hAnsi="Arial"/>
                <w:b w:val="0"/>
                <w:sz w:val="17"/>
              </w:rPr>
              <w:t>plantas conceituais selecionadas, áreas e adjacências</w:t>
            </w:r>
          </w:p>
        </w:tc>
      </w:tr>
      <w:tr>
        <w:trPr>
          <w:cantSplit/>
          <w:cantSplit/>
        </w:trPr>
        <w:tc>
          <w:tcPr>
            <w:tcW w:type="dxa" w:w="1944"/>
            <w:vAlign w:val="center"/>
          </w:tcPr>
          <w:p>
            <w:pPr>
              <w:spacing w:after="0" w:before="0"/>
            </w:pPr>
            <w:r>
              <w:rPr>
                <w:rFonts w:ascii="Arial" w:hAnsi="Arial"/>
                <w:sz w:val="17"/>
              </w:rPr>
            </w:r>
            <w:r>
              <w:rPr>
                <w:rFonts w:ascii="Arial" w:hAnsi="Arial"/>
                <w:b w:val="0"/>
                <w:sz w:val="17"/>
              </w:rPr>
              <w:t>10. Urbanístico</w:t>
            </w:r>
          </w:p>
        </w:tc>
        <w:tc>
          <w:tcPr>
            <w:tcW w:type="dxa" w:w="7560"/>
            <w:vAlign w:val="center"/>
          </w:tcPr>
          <w:p>
            <w:pPr>
              <w:spacing w:after="0" w:before="0"/>
            </w:pPr>
            <w:r>
              <w:rPr>
                <w:rFonts w:ascii="Arial" w:hAnsi="Arial"/>
                <w:sz w:val="17"/>
              </w:rPr>
            </w:r>
            <w:r>
              <w:rPr>
                <w:rFonts w:ascii="Arial" w:hAnsi="Arial"/>
                <w:b w:val="0"/>
                <w:sz w:val="17"/>
              </w:rPr>
              <w:t>CA/TO/permeabilidade/altura/recuos: projetado × limite</w:t>
            </w:r>
          </w:p>
        </w:tc>
      </w:tr>
      <w:tr>
        <w:trPr>
          <w:cantSplit/>
          <w:cantSplit/>
        </w:trPr>
        <w:tc>
          <w:tcPr>
            <w:tcW w:type="dxa" w:w="1944"/>
            <w:vAlign w:val="center"/>
          </w:tcPr>
          <w:p>
            <w:pPr>
              <w:spacing w:after="0" w:before="0"/>
            </w:pPr>
            <w:r>
              <w:rPr>
                <w:rFonts w:ascii="Arial" w:hAnsi="Arial"/>
                <w:sz w:val="17"/>
              </w:rPr>
            </w:r>
            <w:r>
              <w:rPr>
                <w:rFonts w:ascii="Arial" w:hAnsi="Arial"/>
                <w:b w:val="0"/>
                <w:sz w:val="17"/>
              </w:rPr>
              <w:t>11. Ambiental</w:t>
            </w:r>
          </w:p>
        </w:tc>
        <w:tc>
          <w:tcPr>
            <w:tcW w:type="dxa" w:w="7560"/>
            <w:vAlign w:val="center"/>
          </w:tcPr>
          <w:p>
            <w:pPr>
              <w:spacing w:after="0" w:before="0"/>
            </w:pPr>
            <w:r>
              <w:rPr>
                <w:rFonts w:ascii="Arial" w:hAnsi="Arial"/>
                <w:sz w:val="17"/>
              </w:rPr>
            </w:r>
            <w:r>
              <w:rPr>
                <w:rFonts w:ascii="Arial" w:hAnsi="Arial"/>
                <w:b w:val="0"/>
                <w:sz w:val="17"/>
              </w:rPr>
              <w:t>sol/daylight/vento/ruído/solar/carbono disponíveis</w:t>
            </w:r>
          </w:p>
        </w:tc>
      </w:tr>
      <w:tr>
        <w:trPr>
          <w:cantSplit/>
          <w:cantSplit/>
        </w:trPr>
        <w:tc>
          <w:tcPr>
            <w:tcW w:type="dxa" w:w="1944"/>
            <w:vAlign w:val="center"/>
          </w:tcPr>
          <w:p>
            <w:pPr>
              <w:spacing w:after="0" w:before="0"/>
            </w:pPr>
            <w:r>
              <w:rPr>
                <w:rFonts w:ascii="Arial" w:hAnsi="Arial"/>
                <w:sz w:val="17"/>
              </w:rPr>
            </w:r>
            <w:r>
              <w:rPr>
                <w:rFonts w:ascii="Arial" w:hAnsi="Arial"/>
                <w:b w:val="0"/>
                <w:sz w:val="17"/>
              </w:rPr>
              <w:t>12. Financeiro</w:t>
            </w:r>
          </w:p>
        </w:tc>
        <w:tc>
          <w:tcPr>
            <w:tcW w:type="dxa" w:w="7560"/>
            <w:vAlign w:val="center"/>
          </w:tcPr>
          <w:p>
            <w:pPr>
              <w:spacing w:after="0" w:before="0"/>
            </w:pPr>
            <w:r>
              <w:rPr>
                <w:rFonts w:ascii="Arial" w:hAnsi="Arial"/>
                <w:sz w:val="17"/>
              </w:rPr>
            </w:r>
            <w:r>
              <w:rPr>
                <w:rFonts w:ascii="Arial" w:hAnsi="Arial"/>
                <w:b w:val="0"/>
                <w:sz w:val="17"/>
              </w:rPr>
              <w:t>VGV/CAPEX/margem/custos e premissas</w:t>
            </w:r>
          </w:p>
        </w:tc>
      </w:tr>
      <w:tr>
        <w:trPr>
          <w:cantSplit/>
          <w:cantSplit/>
        </w:trPr>
        <w:tc>
          <w:tcPr>
            <w:tcW w:type="dxa" w:w="1944"/>
            <w:vAlign w:val="center"/>
          </w:tcPr>
          <w:p>
            <w:pPr>
              <w:spacing w:after="0" w:before="0"/>
            </w:pPr>
            <w:r>
              <w:rPr>
                <w:rFonts w:ascii="Arial" w:hAnsi="Arial"/>
                <w:sz w:val="17"/>
              </w:rPr>
            </w:r>
            <w:r>
              <w:rPr>
                <w:rFonts w:ascii="Arial" w:hAnsi="Arial"/>
                <w:b w:val="0"/>
                <w:sz w:val="17"/>
              </w:rPr>
              <w:t>13. Score</w:t>
            </w:r>
          </w:p>
        </w:tc>
        <w:tc>
          <w:tcPr>
            <w:tcW w:type="dxa" w:w="7560"/>
            <w:vAlign w:val="center"/>
          </w:tcPr>
          <w:p>
            <w:pPr>
              <w:spacing w:after="0" w:before="0"/>
            </w:pPr>
            <w:r>
              <w:rPr>
                <w:rFonts w:ascii="Arial" w:hAnsi="Arial"/>
                <w:sz w:val="17"/>
              </w:rPr>
            </w:r>
            <w:r>
              <w:rPr>
                <w:rFonts w:ascii="Arial" w:hAnsi="Arial"/>
                <w:b w:val="0"/>
                <w:sz w:val="17"/>
              </w:rPr>
              <w:t>ranking, Pareto, objetivos e trade-offs</w:t>
            </w:r>
          </w:p>
        </w:tc>
      </w:tr>
      <w:tr>
        <w:trPr>
          <w:cantSplit/>
          <w:cantSplit/>
        </w:trPr>
        <w:tc>
          <w:tcPr>
            <w:tcW w:type="dxa" w:w="1944"/>
            <w:vAlign w:val="center"/>
          </w:tcPr>
          <w:p>
            <w:pPr>
              <w:spacing w:after="0" w:before="0"/>
            </w:pPr>
            <w:r>
              <w:rPr>
                <w:rFonts w:ascii="Arial" w:hAnsi="Arial"/>
                <w:sz w:val="17"/>
              </w:rPr>
            </w:r>
            <w:r>
              <w:rPr>
                <w:rFonts w:ascii="Arial" w:hAnsi="Arial"/>
                <w:b w:val="0"/>
                <w:sz w:val="17"/>
              </w:rPr>
              <w:t>14. Pendências</w:t>
            </w:r>
          </w:p>
        </w:tc>
        <w:tc>
          <w:tcPr>
            <w:tcW w:type="dxa" w:w="7560"/>
            <w:vAlign w:val="center"/>
          </w:tcPr>
          <w:p>
            <w:pPr>
              <w:spacing w:after="0" w:before="0"/>
            </w:pPr>
            <w:r>
              <w:rPr>
                <w:rFonts w:ascii="Arial" w:hAnsi="Arial"/>
                <w:sz w:val="17"/>
              </w:rPr>
            </w:r>
            <w:r>
              <w:rPr>
                <w:rFonts w:ascii="Arial" w:hAnsi="Arial"/>
                <w:b w:val="0"/>
                <w:sz w:val="17"/>
              </w:rPr>
              <w:t>regras não verificadas, dados ausentes e validações humanas</w:t>
            </w:r>
          </w:p>
        </w:tc>
      </w:tr>
      <w:tr>
        <w:trPr>
          <w:cantSplit/>
          <w:cantSplit/>
        </w:trPr>
        <w:tc>
          <w:tcPr>
            <w:tcW w:type="dxa" w:w="1944"/>
            <w:vAlign w:val="center"/>
          </w:tcPr>
          <w:p>
            <w:pPr>
              <w:spacing w:after="0" w:before="0"/>
            </w:pPr>
            <w:r>
              <w:rPr>
                <w:rFonts w:ascii="Arial" w:hAnsi="Arial"/>
                <w:sz w:val="17"/>
              </w:rPr>
            </w:r>
            <w:r>
              <w:rPr>
                <w:rFonts w:ascii="Arial" w:hAnsi="Arial"/>
                <w:b w:val="0"/>
                <w:sz w:val="17"/>
              </w:rPr>
              <w:t>15. Proveniência</w:t>
            </w:r>
          </w:p>
        </w:tc>
        <w:tc>
          <w:tcPr>
            <w:tcW w:type="dxa" w:w="7560"/>
            <w:vAlign w:val="center"/>
          </w:tcPr>
          <w:p>
            <w:pPr>
              <w:spacing w:after="0" w:before="0"/>
            </w:pPr>
            <w:r>
              <w:rPr>
                <w:rFonts w:ascii="Arial" w:hAnsi="Arial"/>
                <w:sz w:val="17"/>
              </w:rPr>
            </w:r>
            <w:r>
              <w:rPr>
                <w:rFonts w:ascii="Arial" w:hAnsi="Arial"/>
                <w:b w:val="0"/>
                <w:sz w:val="17"/>
              </w:rPr>
              <w:t>solver/model, seed, versões, alterações e autoria</w:t>
            </w:r>
          </w:p>
        </w:tc>
      </w:tr>
    </w:tbl>
    <w:p>
      <w:pPr>
        <w:pStyle w:val="Heading2"/>
        <w:keepNext/>
      </w:pPr>
      <w:r>
        <w:t>28.39 Exemplo de jornada completa</w:t>
      </w:r>
    </w:p>
    <w:p>
      <w:pPr>
        <w:pStyle w:val="ListNumber"/>
        <w:spacing w:after="40"/>
      </w:pPr>
      <w:r>
        <w:t>Usuário arrasta um KMZ de 18.400 m².</w:t>
      </w:r>
    </w:p>
    <w:p>
      <w:pPr>
        <w:pStyle w:val="ListNumber"/>
        <w:spacing w:after="40"/>
      </w:pPr>
      <w:r>
        <w:t>Terrain &amp; Parcel Resolver identifica o município, corrige geometria e carrega topografia/contexto.</w:t>
      </w:r>
    </w:p>
    <w:p>
      <w:pPr>
        <w:pStyle w:val="ListNumber"/>
        <w:spacing w:after="40"/>
      </w:pPr>
      <w:r>
        <w:t>LoteDiretor devolve zoneamento, CA, TO, permeabilidade, recuos e restrições com evidências.</w:t>
      </w:r>
    </w:p>
    <w:p>
      <w:pPr>
        <w:pStyle w:val="ListNumber"/>
        <w:spacing w:after="40"/>
      </w:pPr>
      <w:r>
        <w:t>Usuário escolhe “residencial vertical” e pede 55% de 2D, 30% de 3D e 15% de 1D; 1,2 vaga/unidade.</w:t>
      </w:r>
    </w:p>
    <w:p>
      <w:pPr>
        <w:pStyle w:val="ListNumber"/>
        <w:spacing w:after="40"/>
      </w:pPr>
      <w:r>
        <w:t>A.I TEC calcula envelope edificável e gera centenas de implantações válidas em lotes de jobs.</w:t>
      </w:r>
    </w:p>
    <w:p>
      <w:pPr>
        <w:pStyle w:val="ListNumber"/>
        <w:spacing w:after="40"/>
      </w:pPr>
      <w:r>
        <w:t>Site Solver cria torres; Road Solver cria acessos; Parking Solver descarta alternativas que não atingem a meta.</w:t>
      </w:r>
    </w:p>
    <w:p>
      <w:pPr>
        <w:pStyle w:val="ListNumber"/>
        <w:spacing w:after="40"/>
      </w:pPr>
      <w:r>
        <w:t>Finalistas recebem núcleos, pavimentos e unit mix; Unit Solver gera plantas para tipologias selecionadas.</w:t>
      </w:r>
    </w:p>
    <w:p>
      <w:pPr>
        <w:pStyle w:val="ListNumber"/>
        <w:spacing w:after="40"/>
      </w:pPr>
      <w:r>
        <w:t>Analysis Engine mede sol/daylight/terraplenagem/custo; Imóvel 360 estima VGV e absorção.</w:t>
      </w:r>
    </w:p>
    <w:p>
      <w:pPr>
        <w:pStyle w:val="ListNumber"/>
        <w:spacing w:after="40"/>
      </w:pPr>
      <w:r>
        <w:t>Ranking apresenta Pareto e três recomendações: Potencial, Financeira e Equilibrada.</w:t>
      </w:r>
    </w:p>
    <w:p>
      <w:pPr>
        <w:pStyle w:val="ListNumber"/>
        <w:spacing w:after="40"/>
      </w:pPr>
      <w:r>
        <w:t>Arquiteto trava duas torres e diz no chat: “reduza um subsolo e tente manter pelo menos 95% do VGV”.</w:t>
      </w:r>
    </w:p>
    <w:p>
      <w:pPr>
        <w:pStyle w:val="ListNumber"/>
        <w:spacing w:after="40"/>
      </w:pPr>
      <w:r>
        <w:t>Sistema gera branches, mostra a diferença e explica o novo trade-off.</w:t>
      </w:r>
    </w:p>
    <w:p>
      <w:pPr>
        <w:pStyle w:val="ListNumber"/>
        <w:spacing w:after="40"/>
      </w:pPr>
      <w:r>
        <w:t>Equipe aprova um cenário e exporta DWG/IFC/XLSX/PDF para desenvolvimento profissional.</w:t>
      </w:r>
    </w:p>
    <w:p>
      <w:pPr>
        <w:pStyle w:val="Heading2"/>
        <w:keepNext/>
      </w:pPr>
      <w:r>
        <w:t>28.40 Roadmap de implementação</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2232"/>
            <w:vAlign w:val="center"/>
            <w:shd w:fill="D9EAF7"/>
          </w:tcPr>
          <w:p>
            <w:pPr>
              <w:spacing w:after="0" w:before="0"/>
            </w:pPr>
            <w:r>
              <w:rPr>
                <w:rFonts w:ascii="Arial" w:hAnsi="Arial"/>
                <w:sz w:val="17"/>
              </w:rPr>
            </w:r>
            <w:r>
              <w:rPr>
                <w:rFonts w:ascii="Arial" w:hAnsi="Arial"/>
                <w:b/>
                <w:sz w:val="17"/>
              </w:rPr>
              <w:t>Fase</w:t>
            </w:r>
          </w:p>
        </w:tc>
        <w:tc>
          <w:tcPr>
            <w:tcW w:type="dxa" w:w="7272"/>
            <w:vAlign w:val="center"/>
            <w:shd w:fill="D9EAF7"/>
          </w:tcPr>
          <w:p>
            <w:pPr>
              <w:spacing w:after="0" w:before="0"/>
            </w:pPr>
            <w:r>
              <w:rPr>
                <w:rFonts w:ascii="Arial" w:hAnsi="Arial"/>
                <w:sz w:val="17"/>
              </w:rPr>
            </w:r>
            <w:r>
              <w:rPr>
                <w:rFonts w:ascii="Arial" w:hAnsi="Arial"/>
                <w:b/>
                <w:sz w:val="17"/>
              </w:rPr>
              <w:t>Entrega</w:t>
            </w:r>
          </w:p>
        </w:tc>
      </w:tr>
      <w:tr>
        <w:trPr>
          <w:cantSplit/>
          <w:cantSplit/>
        </w:trPr>
        <w:tc>
          <w:tcPr>
            <w:tcW w:type="dxa" w:w="2232"/>
            <w:vAlign w:val="center"/>
          </w:tcPr>
          <w:p>
            <w:pPr>
              <w:spacing w:after="0" w:before="0"/>
            </w:pPr>
            <w:r>
              <w:rPr>
                <w:rFonts w:ascii="Arial" w:hAnsi="Arial"/>
                <w:sz w:val="17"/>
              </w:rPr>
            </w:r>
            <w:r>
              <w:rPr>
                <w:rFonts w:ascii="Arial" w:hAnsi="Arial"/>
                <w:b w:val="0"/>
                <w:sz w:val="17"/>
              </w:rPr>
              <w:t>0 — Foundation</w:t>
            </w:r>
          </w:p>
        </w:tc>
        <w:tc>
          <w:tcPr>
            <w:tcW w:type="dxa" w:w="7272"/>
            <w:vAlign w:val="center"/>
          </w:tcPr>
          <w:p>
            <w:pPr>
              <w:spacing w:after="0" w:before="0"/>
            </w:pPr>
            <w:r>
              <w:rPr>
                <w:rFonts w:ascii="Arial" w:hAnsi="Arial"/>
                <w:sz w:val="17"/>
              </w:rPr>
            </w:r>
            <w:r>
              <w:rPr>
                <w:rFonts w:ascii="Arial" w:hAnsi="Arial"/>
                <w:b w:val="0"/>
                <w:sz w:val="17"/>
              </w:rPr>
              <w:t>schema, versionamento, job queue, geometry kernel, file ingest, storage e observabilidade</w:t>
            </w:r>
          </w:p>
        </w:tc>
      </w:tr>
      <w:tr>
        <w:trPr>
          <w:cantSplit/>
          <w:cantSplit/>
        </w:trPr>
        <w:tc>
          <w:tcPr>
            <w:tcW w:type="dxa" w:w="2232"/>
            <w:vAlign w:val="center"/>
          </w:tcPr>
          <w:p>
            <w:pPr>
              <w:spacing w:after="0" w:before="0"/>
            </w:pPr>
            <w:r>
              <w:rPr>
                <w:rFonts w:ascii="Arial" w:hAnsi="Arial"/>
                <w:sz w:val="17"/>
              </w:rPr>
            </w:r>
            <w:r>
              <w:rPr>
                <w:rFonts w:ascii="Arial" w:hAnsi="Arial"/>
                <w:b w:val="0"/>
                <w:sz w:val="17"/>
              </w:rPr>
              <w:t>1 — Terrain</w:t>
            </w:r>
          </w:p>
        </w:tc>
        <w:tc>
          <w:tcPr>
            <w:tcW w:type="dxa" w:w="7272"/>
            <w:vAlign w:val="center"/>
          </w:tcPr>
          <w:p>
            <w:pPr>
              <w:spacing w:after="0" w:before="0"/>
            </w:pPr>
            <w:r>
              <w:rPr>
                <w:rFonts w:ascii="Arial" w:hAnsi="Arial"/>
                <w:sz w:val="17"/>
              </w:rPr>
            </w:r>
            <w:r>
              <w:rPr>
                <w:rFonts w:ascii="Arial" w:hAnsi="Arial"/>
                <w:b w:val="0"/>
                <w:sz w:val="17"/>
              </w:rPr>
              <w:t>KMZ/KML/GeoJSON/DXF, CRS, parcel resolver, DEM/TIN, slope, envelope básico</w:t>
            </w:r>
          </w:p>
        </w:tc>
      </w:tr>
      <w:tr>
        <w:trPr>
          <w:cantSplit/>
          <w:cantSplit/>
        </w:trPr>
        <w:tc>
          <w:tcPr>
            <w:tcW w:type="dxa" w:w="2232"/>
            <w:vAlign w:val="center"/>
          </w:tcPr>
          <w:p>
            <w:pPr>
              <w:spacing w:after="0" w:before="0"/>
            </w:pPr>
            <w:r>
              <w:rPr>
                <w:rFonts w:ascii="Arial" w:hAnsi="Arial"/>
                <w:sz w:val="17"/>
              </w:rPr>
            </w:r>
            <w:r>
              <w:rPr>
                <w:rFonts w:ascii="Arial" w:hAnsi="Arial"/>
                <w:b w:val="0"/>
                <w:sz w:val="17"/>
              </w:rPr>
              <w:t>2 — Rule envelope</w:t>
            </w:r>
          </w:p>
        </w:tc>
        <w:tc>
          <w:tcPr>
            <w:tcW w:type="dxa" w:w="7272"/>
            <w:vAlign w:val="center"/>
          </w:tcPr>
          <w:p>
            <w:pPr>
              <w:spacing w:after="0" w:before="0"/>
            </w:pPr>
            <w:r>
              <w:rPr>
                <w:rFonts w:ascii="Arial" w:hAnsi="Arial"/>
                <w:sz w:val="17"/>
              </w:rPr>
            </w:r>
            <w:r>
              <w:rPr>
                <w:rFonts w:ascii="Arial" w:hAnsi="Arial"/>
                <w:b w:val="0"/>
                <w:sz w:val="17"/>
              </w:rPr>
              <w:t>integração direta com LoteDiretor e máscaras/recuos/CA/TO/altura</w:t>
            </w:r>
          </w:p>
        </w:tc>
      </w:tr>
      <w:tr>
        <w:trPr>
          <w:cantSplit/>
          <w:cantSplit/>
        </w:trPr>
        <w:tc>
          <w:tcPr>
            <w:tcW w:type="dxa" w:w="2232"/>
            <w:vAlign w:val="center"/>
          </w:tcPr>
          <w:p>
            <w:pPr>
              <w:spacing w:after="0" w:before="0"/>
            </w:pPr>
            <w:r>
              <w:rPr>
                <w:rFonts w:ascii="Arial" w:hAnsi="Arial"/>
                <w:sz w:val="17"/>
              </w:rPr>
            </w:r>
            <w:r>
              <w:rPr>
                <w:rFonts w:ascii="Arial" w:hAnsi="Arial"/>
                <w:b w:val="0"/>
                <w:sz w:val="17"/>
              </w:rPr>
              <w:t>3 — Site Solver MVP</w:t>
            </w:r>
          </w:p>
        </w:tc>
        <w:tc>
          <w:tcPr>
            <w:tcW w:type="dxa" w:w="7272"/>
            <w:vAlign w:val="center"/>
          </w:tcPr>
          <w:p>
            <w:pPr>
              <w:spacing w:after="0" w:before="0"/>
            </w:pPr>
            <w:r>
              <w:rPr>
                <w:rFonts w:ascii="Arial" w:hAnsi="Arial"/>
                <w:sz w:val="17"/>
              </w:rPr>
            </w:r>
            <w:r>
              <w:rPr>
                <w:rFonts w:ascii="Arial" w:hAnsi="Arial"/>
                <w:b w:val="0"/>
                <w:sz w:val="17"/>
              </w:rPr>
              <w:t>torres/blocos templates, afastamentos, áreas, ranking por densidade</w:t>
            </w:r>
          </w:p>
        </w:tc>
      </w:tr>
      <w:tr>
        <w:trPr>
          <w:cantSplit/>
          <w:cantSplit/>
        </w:trPr>
        <w:tc>
          <w:tcPr>
            <w:tcW w:type="dxa" w:w="2232"/>
            <w:vAlign w:val="center"/>
          </w:tcPr>
          <w:p>
            <w:pPr>
              <w:spacing w:after="0" w:before="0"/>
            </w:pPr>
            <w:r>
              <w:rPr>
                <w:rFonts w:ascii="Arial" w:hAnsi="Arial"/>
                <w:sz w:val="17"/>
              </w:rPr>
            </w:r>
            <w:r>
              <w:rPr>
                <w:rFonts w:ascii="Arial" w:hAnsi="Arial"/>
                <w:b w:val="0"/>
                <w:sz w:val="17"/>
              </w:rPr>
              <w:t>4 — Viário + lazer</w:t>
            </w:r>
          </w:p>
        </w:tc>
        <w:tc>
          <w:tcPr>
            <w:tcW w:type="dxa" w:w="7272"/>
            <w:vAlign w:val="center"/>
          </w:tcPr>
          <w:p>
            <w:pPr>
              <w:spacing w:after="0" w:before="0"/>
            </w:pPr>
            <w:r>
              <w:rPr>
                <w:rFonts w:ascii="Arial" w:hAnsi="Arial"/>
                <w:sz w:val="17"/>
              </w:rPr>
            </w:r>
            <w:r>
              <w:rPr>
                <w:rFonts w:ascii="Arial" w:hAnsi="Arial"/>
                <w:b w:val="0"/>
                <w:sz w:val="17"/>
              </w:rPr>
              <w:t>acessos, vias, portaria, áreas livres e permeabilidade</w:t>
            </w:r>
          </w:p>
        </w:tc>
      </w:tr>
      <w:tr>
        <w:trPr>
          <w:cantSplit/>
          <w:cantSplit/>
        </w:trPr>
        <w:tc>
          <w:tcPr>
            <w:tcW w:type="dxa" w:w="2232"/>
            <w:vAlign w:val="center"/>
          </w:tcPr>
          <w:p>
            <w:pPr>
              <w:spacing w:after="0" w:before="0"/>
            </w:pPr>
            <w:r>
              <w:rPr>
                <w:rFonts w:ascii="Arial" w:hAnsi="Arial"/>
                <w:sz w:val="17"/>
              </w:rPr>
            </w:r>
            <w:r>
              <w:rPr>
                <w:rFonts w:ascii="Arial" w:hAnsi="Arial"/>
                <w:b w:val="0"/>
                <w:sz w:val="17"/>
              </w:rPr>
              <w:t>5 — Parking Solver</w:t>
            </w:r>
          </w:p>
        </w:tc>
        <w:tc>
          <w:tcPr>
            <w:tcW w:type="dxa" w:w="7272"/>
            <w:vAlign w:val="center"/>
          </w:tcPr>
          <w:p>
            <w:pPr>
              <w:spacing w:after="0" w:before="0"/>
            </w:pPr>
            <w:r>
              <w:rPr>
                <w:rFonts w:ascii="Arial" w:hAnsi="Arial"/>
                <w:sz w:val="17"/>
              </w:rPr>
            </w:r>
            <w:r>
              <w:rPr>
                <w:rFonts w:ascii="Arial" w:hAnsi="Arial"/>
                <w:b w:val="0"/>
                <w:sz w:val="17"/>
              </w:rPr>
              <w:t>vagas de superfície e garagem conceitual; rampas e métricas</w:t>
            </w:r>
          </w:p>
        </w:tc>
      </w:tr>
      <w:tr>
        <w:trPr>
          <w:cantSplit/>
          <w:cantSplit/>
        </w:trPr>
        <w:tc>
          <w:tcPr>
            <w:tcW w:type="dxa" w:w="2232"/>
            <w:vAlign w:val="center"/>
          </w:tcPr>
          <w:p>
            <w:pPr>
              <w:spacing w:after="0" w:before="0"/>
            </w:pPr>
            <w:r>
              <w:rPr>
                <w:rFonts w:ascii="Arial" w:hAnsi="Arial"/>
                <w:sz w:val="17"/>
              </w:rPr>
            </w:r>
            <w:r>
              <w:rPr>
                <w:rFonts w:ascii="Arial" w:hAnsi="Arial"/>
                <w:b w:val="0"/>
                <w:sz w:val="17"/>
              </w:rPr>
              <w:t>6 — Terrain/cut-fill</w:t>
            </w:r>
          </w:p>
        </w:tc>
        <w:tc>
          <w:tcPr>
            <w:tcW w:type="dxa" w:w="7272"/>
            <w:vAlign w:val="center"/>
          </w:tcPr>
          <w:p>
            <w:pPr>
              <w:spacing w:after="0" w:before="0"/>
            </w:pPr>
            <w:r>
              <w:rPr>
                <w:rFonts w:ascii="Arial" w:hAnsi="Arial"/>
                <w:sz w:val="17"/>
              </w:rPr>
            </w:r>
            <w:r>
              <w:rPr>
                <w:rFonts w:ascii="Arial" w:hAnsi="Arial"/>
                <w:b w:val="0"/>
                <w:sz w:val="17"/>
              </w:rPr>
              <w:t>platôs e custo preliminar de movimentação de terra</w:t>
            </w:r>
          </w:p>
        </w:tc>
      </w:tr>
      <w:tr>
        <w:trPr>
          <w:cantSplit/>
          <w:cantSplit/>
        </w:trPr>
        <w:tc>
          <w:tcPr>
            <w:tcW w:type="dxa" w:w="2232"/>
            <w:vAlign w:val="center"/>
          </w:tcPr>
          <w:p>
            <w:pPr>
              <w:spacing w:after="0" w:before="0"/>
            </w:pPr>
            <w:r>
              <w:rPr>
                <w:rFonts w:ascii="Arial" w:hAnsi="Arial"/>
                <w:sz w:val="17"/>
              </w:rPr>
            </w:r>
            <w:r>
              <w:rPr>
                <w:rFonts w:ascii="Arial" w:hAnsi="Arial"/>
                <w:b w:val="0"/>
                <w:sz w:val="17"/>
              </w:rPr>
              <w:t>7 — Building Solver</w:t>
            </w:r>
          </w:p>
        </w:tc>
        <w:tc>
          <w:tcPr>
            <w:tcW w:type="dxa" w:w="7272"/>
            <w:vAlign w:val="center"/>
          </w:tcPr>
          <w:p>
            <w:pPr>
              <w:spacing w:after="0" w:before="0"/>
            </w:pPr>
            <w:r>
              <w:rPr>
                <w:rFonts w:ascii="Arial" w:hAnsi="Arial"/>
                <w:sz w:val="17"/>
              </w:rPr>
            </w:r>
            <w:r>
              <w:rPr>
                <w:rFonts w:ascii="Arial" w:hAnsi="Arial"/>
                <w:b w:val="0"/>
                <w:sz w:val="17"/>
              </w:rPr>
              <w:t>pavimentos, core, circulação e unit mix</w:t>
            </w:r>
          </w:p>
        </w:tc>
      </w:tr>
      <w:tr>
        <w:trPr>
          <w:cantSplit/>
          <w:cantSplit/>
        </w:trPr>
        <w:tc>
          <w:tcPr>
            <w:tcW w:type="dxa" w:w="2232"/>
            <w:vAlign w:val="center"/>
          </w:tcPr>
          <w:p>
            <w:pPr>
              <w:spacing w:after="0" w:before="0"/>
            </w:pPr>
            <w:r>
              <w:rPr>
                <w:rFonts w:ascii="Arial" w:hAnsi="Arial"/>
                <w:sz w:val="17"/>
              </w:rPr>
            </w:r>
            <w:r>
              <w:rPr>
                <w:rFonts w:ascii="Arial" w:hAnsi="Arial"/>
                <w:b w:val="0"/>
                <w:sz w:val="17"/>
              </w:rPr>
              <w:t>8 — Unit Solver</w:t>
            </w:r>
          </w:p>
        </w:tc>
        <w:tc>
          <w:tcPr>
            <w:tcW w:type="dxa" w:w="7272"/>
            <w:vAlign w:val="center"/>
          </w:tcPr>
          <w:p>
            <w:pPr>
              <w:spacing w:after="0" w:before="0"/>
            </w:pPr>
            <w:r>
              <w:rPr>
                <w:rFonts w:ascii="Arial" w:hAnsi="Arial"/>
                <w:sz w:val="17"/>
              </w:rPr>
            </w:r>
            <w:r>
              <w:rPr>
                <w:rFonts w:ascii="Arial" w:hAnsi="Arial"/>
                <w:b w:val="0"/>
                <w:sz w:val="17"/>
              </w:rPr>
              <w:t>plantas residenciais paramétricas + Design DNA</w:t>
            </w:r>
          </w:p>
        </w:tc>
      </w:tr>
      <w:tr>
        <w:trPr>
          <w:cantSplit/>
          <w:cantSplit/>
        </w:trPr>
        <w:tc>
          <w:tcPr>
            <w:tcW w:type="dxa" w:w="2232"/>
            <w:vAlign w:val="center"/>
          </w:tcPr>
          <w:p>
            <w:pPr>
              <w:spacing w:after="0" w:before="0"/>
            </w:pPr>
            <w:r>
              <w:rPr>
                <w:rFonts w:ascii="Arial" w:hAnsi="Arial"/>
                <w:sz w:val="17"/>
              </w:rPr>
            </w:r>
            <w:r>
              <w:rPr>
                <w:rFonts w:ascii="Arial" w:hAnsi="Arial"/>
                <w:b w:val="0"/>
                <w:sz w:val="17"/>
              </w:rPr>
              <w:t>9 — AI Agent</w:t>
            </w:r>
          </w:p>
        </w:tc>
        <w:tc>
          <w:tcPr>
            <w:tcW w:type="dxa" w:w="7272"/>
            <w:vAlign w:val="center"/>
          </w:tcPr>
          <w:p>
            <w:pPr>
              <w:spacing w:after="0" w:before="0"/>
            </w:pPr>
            <w:r>
              <w:rPr>
                <w:rFonts w:ascii="Arial" w:hAnsi="Arial"/>
                <w:sz w:val="17"/>
              </w:rPr>
            </w:r>
            <w:r>
              <w:rPr>
                <w:rFonts w:ascii="Arial" w:hAnsi="Arial"/>
                <w:b w:val="0"/>
                <w:sz w:val="17"/>
              </w:rPr>
              <w:t>chat para constraints/edição/locks e explanation</w:t>
            </w:r>
          </w:p>
        </w:tc>
      </w:tr>
      <w:tr>
        <w:trPr>
          <w:cantSplit/>
          <w:cantSplit/>
        </w:trPr>
        <w:tc>
          <w:tcPr>
            <w:tcW w:type="dxa" w:w="2232"/>
            <w:vAlign w:val="center"/>
          </w:tcPr>
          <w:p>
            <w:pPr>
              <w:spacing w:after="0" w:before="0"/>
            </w:pPr>
            <w:r>
              <w:rPr>
                <w:rFonts w:ascii="Arial" w:hAnsi="Arial"/>
                <w:sz w:val="17"/>
              </w:rPr>
            </w:r>
            <w:r>
              <w:rPr>
                <w:rFonts w:ascii="Arial" w:hAnsi="Arial"/>
                <w:b w:val="0"/>
                <w:sz w:val="17"/>
              </w:rPr>
              <w:t>10 — Performance</w:t>
            </w:r>
          </w:p>
        </w:tc>
        <w:tc>
          <w:tcPr>
            <w:tcW w:type="dxa" w:w="7272"/>
            <w:vAlign w:val="center"/>
          </w:tcPr>
          <w:p>
            <w:pPr>
              <w:spacing w:after="0" w:before="0"/>
            </w:pPr>
            <w:r>
              <w:rPr>
                <w:rFonts w:ascii="Arial" w:hAnsi="Arial"/>
                <w:sz w:val="17"/>
              </w:rPr>
            </w:r>
            <w:r>
              <w:rPr>
                <w:rFonts w:ascii="Arial" w:hAnsi="Arial"/>
                <w:b w:val="0"/>
                <w:sz w:val="17"/>
              </w:rPr>
              <w:t>sol/daylight/ruído/solar + modelos rápidos</w:t>
            </w:r>
          </w:p>
        </w:tc>
      </w:tr>
      <w:tr>
        <w:trPr>
          <w:cantSplit/>
          <w:cantSplit/>
        </w:trPr>
        <w:tc>
          <w:tcPr>
            <w:tcW w:type="dxa" w:w="2232"/>
            <w:vAlign w:val="center"/>
          </w:tcPr>
          <w:p>
            <w:pPr>
              <w:spacing w:after="0" w:before="0"/>
            </w:pPr>
            <w:r>
              <w:rPr>
                <w:rFonts w:ascii="Arial" w:hAnsi="Arial"/>
                <w:sz w:val="17"/>
              </w:rPr>
            </w:r>
            <w:r>
              <w:rPr>
                <w:rFonts w:ascii="Arial" w:hAnsi="Arial"/>
                <w:b w:val="0"/>
                <w:sz w:val="17"/>
              </w:rPr>
              <w:t>11 — Financeiro</w:t>
            </w:r>
          </w:p>
        </w:tc>
        <w:tc>
          <w:tcPr>
            <w:tcW w:type="dxa" w:w="7272"/>
            <w:vAlign w:val="center"/>
          </w:tcPr>
          <w:p>
            <w:pPr>
              <w:spacing w:after="0" w:before="0"/>
            </w:pPr>
            <w:r>
              <w:rPr>
                <w:rFonts w:ascii="Arial" w:hAnsi="Arial"/>
                <w:sz w:val="17"/>
              </w:rPr>
            </w:r>
            <w:r>
              <w:rPr>
                <w:rFonts w:ascii="Arial" w:hAnsi="Arial"/>
                <w:b w:val="0"/>
                <w:sz w:val="17"/>
              </w:rPr>
              <w:t>Imóvel 360, VGV, custos, margem e Pareto multiobjetivo</w:t>
            </w:r>
          </w:p>
        </w:tc>
      </w:tr>
      <w:tr>
        <w:trPr>
          <w:cantSplit/>
          <w:cantSplit/>
        </w:trPr>
        <w:tc>
          <w:tcPr>
            <w:tcW w:type="dxa" w:w="2232"/>
            <w:vAlign w:val="center"/>
          </w:tcPr>
          <w:p>
            <w:pPr>
              <w:spacing w:after="0" w:before="0"/>
            </w:pPr>
            <w:r>
              <w:rPr>
                <w:rFonts w:ascii="Arial" w:hAnsi="Arial"/>
                <w:sz w:val="17"/>
              </w:rPr>
            </w:r>
            <w:r>
              <w:rPr>
                <w:rFonts w:ascii="Arial" w:hAnsi="Arial"/>
                <w:b w:val="0"/>
                <w:sz w:val="17"/>
              </w:rPr>
              <w:t>12 — BIM/CAD</w:t>
            </w:r>
          </w:p>
        </w:tc>
        <w:tc>
          <w:tcPr>
            <w:tcW w:type="dxa" w:w="7272"/>
            <w:vAlign w:val="center"/>
          </w:tcPr>
          <w:p>
            <w:pPr>
              <w:spacing w:after="0" w:before="0"/>
            </w:pPr>
            <w:r>
              <w:rPr>
                <w:rFonts w:ascii="Arial" w:hAnsi="Arial"/>
                <w:sz w:val="17"/>
              </w:rPr>
            </w:r>
            <w:r>
              <w:rPr>
                <w:rFonts w:ascii="Arial" w:hAnsi="Arial"/>
                <w:b w:val="0"/>
                <w:sz w:val="17"/>
              </w:rPr>
              <w:t>IFC/DWG/DXF/Speckle e artefatos de continuidade</w:t>
            </w:r>
          </w:p>
        </w:tc>
      </w:tr>
      <w:tr>
        <w:trPr>
          <w:cantSplit/>
          <w:cantSplit/>
        </w:trPr>
        <w:tc>
          <w:tcPr>
            <w:tcW w:type="dxa" w:w="2232"/>
            <w:vAlign w:val="center"/>
          </w:tcPr>
          <w:p>
            <w:pPr>
              <w:spacing w:after="0" w:before="0"/>
            </w:pPr>
            <w:r>
              <w:rPr>
                <w:rFonts w:ascii="Arial" w:hAnsi="Arial"/>
                <w:sz w:val="17"/>
              </w:rPr>
            </w:r>
            <w:r>
              <w:rPr>
                <w:rFonts w:ascii="Arial" w:hAnsi="Arial"/>
                <w:b w:val="0"/>
                <w:sz w:val="17"/>
              </w:rPr>
              <w:t>13 — Tipologias</w:t>
            </w:r>
          </w:p>
        </w:tc>
        <w:tc>
          <w:tcPr>
            <w:tcW w:type="dxa" w:w="7272"/>
            <w:vAlign w:val="center"/>
          </w:tcPr>
          <w:p>
            <w:pPr>
              <w:spacing w:after="0" w:before="0"/>
            </w:pPr>
            <w:r>
              <w:rPr>
                <w:rFonts w:ascii="Arial" w:hAnsi="Arial"/>
                <w:sz w:val="17"/>
              </w:rPr>
            </w:r>
            <w:r>
              <w:rPr>
                <w:rFonts w:ascii="Arial" w:hAnsi="Arial"/>
                <w:b w:val="0"/>
                <w:sz w:val="17"/>
              </w:rPr>
              <w:t>horizontal, casa, industrial/logístico, mixed-use e packs especializados</w:t>
            </w:r>
          </w:p>
        </w:tc>
      </w:tr>
      <w:tr>
        <w:trPr>
          <w:cantSplit/>
          <w:cantSplit/>
        </w:trPr>
        <w:tc>
          <w:tcPr>
            <w:tcW w:type="dxa" w:w="2232"/>
            <w:vAlign w:val="center"/>
          </w:tcPr>
          <w:p>
            <w:pPr>
              <w:spacing w:after="0" w:before="0"/>
            </w:pPr>
            <w:r>
              <w:rPr>
                <w:rFonts w:ascii="Arial" w:hAnsi="Arial"/>
                <w:sz w:val="17"/>
              </w:rPr>
            </w:r>
            <w:r>
              <w:rPr>
                <w:rFonts w:ascii="Arial" w:hAnsi="Arial"/>
                <w:b w:val="0"/>
                <w:sz w:val="17"/>
              </w:rPr>
              <w:t>14 — Advanced AI</w:t>
            </w:r>
          </w:p>
        </w:tc>
        <w:tc>
          <w:tcPr>
            <w:tcW w:type="dxa" w:w="7272"/>
            <w:vAlign w:val="center"/>
          </w:tcPr>
          <w:p>
            <w:pPr>
              <w:spacing w:after="0" w:before="0"/>
            </w:pPr>
            <w:r>
              <w:rPr>
                <w:rFonts w:ascii="Arial" w:hAnsi="Arial"/>
                <w:sz w:val="17"/>
              </w:rPr>
            </w:r>
            <w:r>
              <w:rPr>
                <w:rFonts w:ascii="Arial" w:hAnsi="Arial"/>
                <w:b w:val="0"/>
                <w:sz w:val="17"/>
              </w:rPr>
              <w:t>modelos geometry-aware, plan generation treinada/licenciada e learning loops</w:t>
            </w:r>
          </w:p>
        </w:tc>
      </w:tr>
    </w:tbl>
    <w:p>
      <w:pPr>
        <w:pStyle w:val="Heading2"/>
        <w:keepNext/>
      </w:pPr>
      <w:r>
        <w:t>28.41 Critérios de aceitação do MVP</w:t>
      </w:r>
    </w:p>
    <w:p>
      <w:pPr>
        <w:pStyle w:val="ListBullet"/>
        <w:spacing w:after="40"/>
      </w:pPr>
      <w:r>
        <w:t>Importar um KMZ/DXF real e obter o mesmo perímetro/área dentro da tolerância definida.</w:t>
      </w:r>
    </w:p>
    <w:p>
      <w:pPr>
        <w:pStyle w:val="ListBullet"/>
        <w:spacing w:after="40"/>
      </w:pPr>
      <w:r>
        <w:t>Aplicar automaticamente constraints do LoteDiretor e mostrar a evidência de cada uma.</w:t>
      </w:r>
    </w:p>
    <w:p>
      <w:pPr>
        <w:pStyle w:val="ListBullet"/>
        <w:spacing w:after="40"/>
      </w:pPr>
      <w:r>
        <w:t>Gerar pelo menos dezenas de implantações geometricamente diferentes e válidas para um terreno de teste.</w:t>
      </w:r>
    </w:p>
    <w:p>
      <w:pPr>
        <w:pStyle w:val="ListBullet"/>
        <w:spacing w:after="40"/>
      </w:pPr>
      <w:r>
        <w:t>Nenhuma solução marcada “viável” pode violar uma restrição dura computável.</w:t>
      </w:r>
    </w:p>
    <w:p>
      <w:pPr>
        <w:pStyle w:val="ListBullet"/>
        <w:spacing w:after="40"/>
      </w:pPr>
      <w:r>
        <w:t>Calcular áreas/CA/TO/permeabilidade de forma reproduzível e testada contra casos manuais.</w:t>
      </w:r>
    </w:p>
    <w:p>
      <w:pPr>
        <w:pStyle w:val="ListBullet"/>
        <w:spacing w:after="40"/>
      </w:pPr>
      <w:r>
        <w:t>Permitir meta de unidades, mix, pavimentos e vagas; indicar quando não é atingida.</w:t>
      </w:r>
    </w:p>
    <w:p>
      <w:pPr>
        <w:pStyle w:val="ListBullet"/>
        <w:spacing w:after="40"/>
      </w:pPr>
      <w:r>
        <w:t>Permitir lock + regenerate e manter objetos travados invariantes.</w:t>
      </w:r>
    </w:p>
    <w:p>
      <w:pPr>
        <w:pStyle w:val="ListBullet"/>
        <w:spacing w:after="40"/>
      </w:pPr>
      <w:r>
        <w:t>Comparar soluções com KPIs e Pareto.</w:t>
      </w:r>
    </w:p>
    <w:p>
      <w:pPr>
        <w:pStyle w:val="ListBullet"/>
        <w:spacing w:after="40"/>
      </w:pPr>
      <w:r>
        <w:t>Exportar geometria e quadro de áreas sem redesenho manual.</w:t>
      </w:r>
    </w:p>
    <w:p>
      <w:pPr>
        <w:pStyle w:val="ListBullet"/>
        <w:spacing w:after="40"/>
      </w:pPr>
      <w:r>
        <w:t>Reproduzir uma solução pelo mesmo snapshot + seed + versão de solver.</w:t>
      </w:r>
    </w:p>
    <w:p>
      <w:pPr>
        <w:pStyle w:val="ListBullet"/>
        <w:spacing w:after="40"/>
      </w:pPr>
      <w:r>
        <w:t>Distinguir dados confirmados, aproximados e ausentes.</w:t>
      </w:r>
    </w:p>
    <w:p>
      <w:pPr>
        <w:pStyle w:val="ListBullet"/>
        <w:spacing w:after="40"/>
      </w:pPr>
      <w:r>
        <w:t>Não apresentar geração conceitual como projeto executivo/aprovado.</w:t>
      </w:r>
    </w:p>
    <w:p>
      <w:pPr>
        <w:pStyle w:val="Heading2"/>
        <w:keepNext/>
      </w:pPr>
      <w:r>
        <w:t>28.42 Critérios de aceitação avançados</w:t>
      </w:r>
    </w:p>
    <w:p>
      <w:pPr>
        <w:pStyle w:val="ListBullet"/>
        <w:spacing w:after="40"/>
      </w:pPr>
      <w:r>
        <w:t>Garagem funcional com rampas, acessibilidade e obstáculos estruturais configuráveis.</w:t>
      </w:r>
    </w:p>
    <w:p>
      <w:pPr>
        <w:pStyle w:val="ListBullet"/>
        <w:spacing w:after="40"/>
      </w:pPr>
      <w:r>
        <w:t>Unit mix e plantas com conectividade e dimensões validadas.</w:t>
      </w:r>
    </w:p>
    <w:p>
      <w:pPr>
        <w:pStyle w:val="ListBullet"/>
        <w:spacing w:after="40"/>
      </w:pPr>
      <w:r>
        <w:t>Análises rápidas de sol/daylight atualizando após edição.</w:t>
      </w:r>
    </w:p>
    <w:p>
      <w:pPr>
        <w:pStyle w:val="ListBullet"/>
        <w:spacing w:after="40"/>
      </w:pPr>
      <w:r>
        <w:t>Terraplenagem preliminar e custos integrados ao ranking.</w:t>
      </w:r>
    </w:p>
    <w:p>
      <w:pPr>
        <w:pStyle w:val="ListBullet"/>
        <w:spacing w:after="40"/>
      </w:pPr>
      <w:r>
        <w:t>Design DNA privado por empresa e templates reutilizáveis.</w:t>
      </w:r>
    </w:p>
    <w:p>
      <w:pPr>
        <w:pStyle w:val="ListBullet"/>
        <w:spacing w:after="40"/>
      </w:pPr>
      <w:r>
        <w:t>Exportação IFC/BIM com objetos e propriedades, não apenas meshes.</w:t>
      </w:r>
    </w:p>
    <w:p>
      <w:pPr>
        <w:pStyle w:val="ListBullet"/>
        <w:spacing w:after="40"/>
      </w:pPr>
      <w:r>
        <w:t>Chat que altera o modelo por operações estruturadas e apresenta diff.</w:t>
      </w:r>
    </w:p>
    <w:p>
      <w:pPr>
        <w:pStyle w:val="ListBullet"/>
        <w:spacing w:after="40"/>
      </w:pPr>
      <w:r>
        <w:t>Constraint bottleneck/explanation para estudos inviáveis.</w:t>
      </w:r>
    </w:p>
    <w:p>
      <w:pPr>
        <w:pStyle w:val="ListBullet"/>
        <w:spacing w:after="40"/>
      </w:pPr>
      <w:r>
        <w:t>Benchmarks automáticos contra projetos de referência revisados por profissionais.</w:t>
      </w:r>
    </w:p>
    <w:p>
      <w:pPr>
        <w:pStyle w:val="ListBullet"/>
        <w:spacing w:after="40"/>
      </w:pPr>
      <w:r>
        <w:t>Métricas de qualidade e taxa de aprovação humana monitoradas por versão do motor.</w:t>
      </w:r>
    </w:p>
    <w:p>
      <w:pPr>
        <w:pStyle w:val="Heading2"/>
        <w:keepNext/>
      </w:pPr>
      <w:r>
        <w:t>28.43 Estratégia de benchmark e validação profissional</w:t>
      </w:r>
    </w:p>
    <w:p>
      <w:pPr>
        <w:spacing w:after="100"/>
      </w:pPr>
      <w:r>
        <w:rPr>
          <w:i w:val="0"/>
        </w:rPr>
        <w:t>O desenvolvimento deve usar um conjunto de casos-ouro (“golden sites”) de diferentes municípios e tipologias, com soluções manuais validadas por arquitetos/engenheiros. A meta não é reproduzir exatamente a planta humana, mas atingir ou superar os KPIs relevantes sem violar constraints.</w:t>
      </w:r>
    </w:p>
    <w:tbl>
      <w:tblPr>
        <w:tblStyle w:val="TableGrid"/>
        <w:tblW w:type="auto" w:w="0"/>
        <w:jc w:val="center"/>
        <w:tblLook w:firstColumn="1" w:firstRow="1" w:lastColumn="0" w:lastRow="0" w:noHBand="0" w:noVBand="1" w:val="04A0"/>
      </w:tblPr>
      <w:tblGrid>
        <w:gridCol w:w="5083"/>
        <w:gridCol w:w="5083"/>
      </w:tblGrid>
      <w:tr>
        <w:trPr>
          <w:cantSplit/>
          <w:tblHeader w:val="true"/>
          <w:cantSplit/>
        </w:trPr>
        <w:tc>
          <w:tcPr>
            <w:tcW w:type="dxa" w:w="2088"/>
            <w:vAlign w:val="center"/>
            <w:shd w:fill="D9EAF7"/>
          </w:tcPr>
          <w:p>
            <w:pPr>
              <w:spacing w:after="0" w:before="0"/>
            </w:pPr>
            <w:r>
              <w:rPr>
                <w:rFonts w:ascii="Arial" w:hAnsi="Arial"/>
                <w:sz w:val="17"/>
              </w:rPr>
            </w:r>
            <w:r>
              <w:rPr>
                <w:rFonts w:ascii="Arial" w:hAnsi="Arial"/>
                <w:b/>
                <w:sz w:val="17"/>
              </w:rPr>
              <w:t>Dimensão</w:t>
            </w:r>
          </w:p>
        </w:tc>
        <w:tc>
          <w:tcPr>
            <w:tcW w:type="dxa" w:w="7416"/>
            <w:vAlign w:val="center"/>
            <w:shd w:fill="D9EAF7"/>
          </w:tcPr>
          <w:p>
            <w:pPr>
              <w:spacing w:after="0" w:before="0"/>
            </w:pPr>
            <w:r>
              <w:rPr>
                <w:rFonts w:ascii="Arial" w:hAnsi="Arial"/>
                <w:sz w:val="17"/>
              </w:rPr>
            </w:r>
            <w:r>
              <w:rPr>
                <w:rFonts w:ascii="Arial" w:hAnsi="Arial"/>
                <w:b/>
                <w:sz w:val="17"/>
              </w:rPr>
              <w:t>Métrica de benchmark</w:t>
            </w:r>
          </w:p>
        </w:tc>
      </w:tr>
      <w:tr>
        <w:trPr>
          <w:cantSplit/>
          <w:cantSplit/>
        </w:trPr>
        <w:tc>
          <w:tcPr>
            <w:tcW w:type="dxa" w:w="2088"/>
            <w:vAlign w:val="center"/>
          </w:tcPr>
          <w:p>
            <w:pPr>
              <w:spacing w:after="0" w:before="0"/>
            </w:pPr>
            <w:r>
              <w:rPr>
                <w:rFonts w:ascii="Arial" w:hAnsi="Arial"/>
                <w:sz w:val="17"/>
              </w:rPr>
            </w:r>
            <w:r>
              <w:rPr>
                <w:rFonts w:ascii="Arial" w:hAnsi="Arial"/>
                <w:b w:val="0"/>
                <w:sz w:val="17"/>
              </w:rPr>
              <w:t>Legal</w:t>
            </w:r>
          </w:p>
        </w:tc>
        <w:tc>
          <w:tcPr>
            <w:tcW w:type="dxa" w:w="7416"/>
            <w:vAlign w:val="center"/>
          </w:tcPr>
          <w:p>
            <w:pPr>
              <w:spacing w:after="0" w:before="0"/>
            </w:pPr>
            <w:r>
              <w:rPr>
                <w:rFonts w:ascii="Arial" w:hAnsi="Arial"/>
                <w:sz w:val="17"/>
              </w:rPr>
            </w:r>
            <w:r>
              <w:rPr>
                <w:rFonts w:ascii="Arial" w:hAnsi="Arial"/>
                <w:b w:val="0"/>
                <w:sz w:val="17"/>
              </w:rPr>
              <w:t>% de regras computáveis corretamente satisfeitas; zero falso “conforme”</w:t>
            </w:r>
          </w:p>
        </w:tc>
      </w:tr>
      <w:tr>
        <w:trPr>
          <w:cantSplit/>
          <w:cantSplit/>
        </w:trPr>
        <w:tc>
          <w:tcPr>
            <w:tcW w:type="dxa" w:w="2088"/>
            <w:vAlign w:val="center"/>
          </w:tcPr>
          <w:p>
            <w:pPr>
              <w:spacing w:after="0" w:before="0"/>
            </w:pPr>
            <w:r>
              <w:rPr>
                <w:rFonts w:ascii="Arial" w:hAnsi="Arial"/>
                <w:sz w:val="17"/>
              </w:rPr>
            </w:r>
            <w:r>
              <w:rPr>
                <w:rFonts w:ascii="Arial" w:hAnsi="Arial"/>
                <w:b w:val="0"/>
                <w:sz w:val="17"/>
              </w:rPr>
              <w:t>Geometria</w:t>
            </w:r>
          </w:p>
        </w:tc>
        <w:tc>
          <w:tcPr>
            <w:tcW w:type="dxa" w:w="7416"/>
            <w:vAlign w:val="center"/>
          </w:tcPr>
          <w:p>
            <w:pPr>
              <w:spacing w:after="0" w:before="0"/>
            </w:pPr>
            <w:r>
              <w:rPr>
                <w:rFonts w:ascii="Arial" w:hAnsi="Arial"/>
                <w:sz w:val="17"/>
              </w:rPr>
            </w:r>
            <w:r>
              <w:rPr>
                <w:rFonts w:ascii="Arial" w:hAnsi="Arial"/>
                <w:b w:val="0"/>
                <w:sz w:val="17"/>
              </w:rPr>
              <w:t>validade, overlaps, gaps, offsets e tolerâncias</w:t>
            </w:r>
          </w:p>
        </w:tc>
      </w:tr>
      <w:tr>
        <w:trPr>
          <w:cantSplit/>
          <w:cantSplit/>
        </w:trPr>
        <w:tc>
          <w:tcPr>
            <w:tcW w:type="dxa" w:w="2088"/>
            <w:vAlign w:val="center"/>
          </w:tcPr>
          <w:p>
            <w:pPr>
              <w:spacing w:after="0" w:before="0"/>
            </w:pPr>
            <w:r>
              <w:rPr>
                <w:rFonts w:ascii="Arial" w:hAnsi="Arial"/>
                <w:sz w:val="17"/>
              </w:rPr>
            </w:r>
            <w:r>
              <w:rPr>
                <w:rFonts w:ascii="Arial" w:hAnsi="Arial"/>
                <w:b w:val="0"/>
                <w:sz w:val="17"/>
              </w:rPr>
              <w:t>Potencial</w:t>
            </w:r>
          </w:p>
        </w:tc>
        <w:tc>
          <w:tcPr>
            <w:tcW w:type="dxa" w:w="7416"/>
            <w:vAlign w:val="center"/>
          </w:tcPr>
          <w:p>
            <w:pPr>
              <w:spacing w:after="0" w:before="0"/>
            </w:pPr>
            <w:r>
              <w:rPr>
                <w:rFonts w:ascii="Arial" w:hAnsi="Arial"/>
                <w:sz w:val="17"/>
              </w:rPr>
            </w:r>
            <w:r>
              <w:rPr>
                <w:rFonts w:ascii="Arial" w:hAnsi="Arial"/>
                <w:b w:val="0"/>
                <w:sz w:val="17"/>
              </w:rPr>
              <w:t>diferença de área/unidades vs. estudo humano comparável</w:t>
            </w:r>
          </w:p>
        </w:tc>
      </w:tr>
      <w:tr>
        <w:trPr>
          <w:cantSplit/>
          <w:cantSplit/>
        </w:trPr>
        <w:tc>
          <w:tcPr>
            <w:tcW w:type="dxa" w:w="2088"/>
            <w:vAlign w:val="center"/>
          </w:tcPr>
          <w:p>
            <w:pPr>
              <w:spacing w:after="0" w:before="0"/>
            </w:pPr>
            <w:r>
              <w:rPr>
                <w:rFonts w:ascii="Arial" w:hAnsi="Arial"/>
                <w:sz w:val="17"/>
              </w:rPr>
            </w:r>
            <w:r>
              <w:rPr>
                <w:rFonts w:ascii="Arial" w:hAnsi="Arial"/>
                <w:b w:val="0"/>
                <w:sz w:val="17"/>
              </w:rPr>
              <w:t>Garagem</w:t>
            </w:r>
          </w:p>
        </w:tc>
        <w:tc>
          <w:tcPr>
            <w:tcW w:type="dxa" w:w="7416"/>
            <w:vAlign w:val="center"/>
          </w:tcPr>
          <w:p>
            <w:pPr>
              <w:spacing w:after="0" w:before="0"/>
            </w:pPr>
            <w:r>
              <w:rPr>
                <w:rFonts w:ascii="Arial" w:hAnsi="Arial"/>
                <w:sz w:val="17"/>
              </w:rPr>
            </w:r>
            <w:r>
              <w:rPr>
                <w:rFonts w:ascii="Arial" w:hAnsi="Arial"/>
                <w:b w:val="0"/>
                <w:sz w:val="17"/>
              </w:rPr>
              <w:t>% da meta de vagas, eficiência e violações geométricas</w:t>
            </w:r>
          </w:p>
        </w:tc>
      </w:tr>
      <w:tr>
        <w:trPr>
          <w:cantSplit/>
          <w:cantSplit/>
        </w:trPr>
        <w:tc>
          <w:tcPr>
            <w:tcW w:type="dxa" w:w="2088"/>
            <w:vAlign w:val="center"/>
          </w:tcPr>
          <w:p>
            <w:pPr>
              <w:spacing w:after="0" w:before="0"/>
            </w:pPr>
            <w:r>
              <w:rPr>
                <w:rFonts w:ascii="Arial" w:hAnsi="Arial"/>
                <w:sz w:val="17"/>
              </w:rPr>
            </w:r>
            <w:r>
              <w:rPr>
                <w:rFonts w:ascii="Arial" w:hAnsi="Arial"/>
                <w:b w:val="0"/>
                <w:sz w:val="17"/>
              </w:rPr>
              <w:t>Plantas</w:t>
            </w:r>
          </w:p>
        </w:tc>
        <w:tc>
          <w:tcPr>
            <w:tcW w:type="dxa" w:w="7416"/>
            <w:vAlign w:val="center"/>
          </w:tcPr>
          <w:p>
            <w:pPr>
              <w:spacing w:after="0" w:before="0"/>
            </w:pPr>
            <w:r>
              <w:rPr>
                <w:rFonts w:ascii="Arial" w:hAnsi="Arial"/>
                <w:sz w:val="17"/>
              </w:rPr>
            </w:r>
            <w:r>
              <w:rPr>
                <w:rFonts w:ascii="Arial" w:hAnsi="Arial"/>
                <w:b w:val="0"/>
                <w:sz w:val="17"/>
              </w:rPr>
              <w:t>constraint adherence, área, adjacência, circulação e revisão humana</w:t>
            </w:r>
          </w:p>
        </w:tc>
      </w:tr>
      <w:tr>
        <w:trPr>
          <w:cantSplit/>
          <w:cantSplit/>
        </w:trPr>
        <w:tc>
          <w:tcPr>
            <w:tcW w:type="dxa" w:w="2088"/>
            <w:vAlign w:val="center"/>
          </w:tcPr>
          <w:p>
            <w:pPr>
              <w:spacing w:after="0" w:before="0"/>
            </w:pPr>
            <w:r>
              <w:rPr>
                <w:rFonts w:ascii="Arial" w:hAnsi="Arial"/>
                <w:sz w:val="17"/>
              </w:rPr>
            </w:r>
            <w:r>
              <w:rPr>
                <w:rFonts w:ascii="Arial" w:hAnsi="Arial"/>
                <w:b w:val="0"/>
                <w:sz w:val="17"/>
              </w:rPr>
              <w:t>Diversidade</w:t>
            </w:r>
          </w:p>
        </w:tc>
        <w:tc>
          <w:tcPr>
            <w:tcW w:type="dxa" w:w="7416"/>
            <w:vAlign w:val="center"/>
          </w:tcPr>
          <w:p>
            <w:pPr>
              <w:spacing w:after="0" w:before="0"/>
            </w:pPr>
            <w:r>
              <w:rPr>
                <w:rFonts w:ascii="Arial" w:hAnsi="Arial"/>
                <w:sz w:val="17"/>
              </w:rPr>
            </w:r>
            <w:r>
              <w:rPr>
                <w:rFonts w:ascii="Arial" w:hAnsi="Arial"/>
                <w:b w:val="0"/>
                <w:sz w:val="17"/>
              </w:rPr>
              <w:t>distância entre soluções; evitar centenas de clones</w:t>
            </w:r>
          </w:p>
        </w:tc>
      </w:tr>
      <w:tr>
        <w:trPr>
          <w:cantSplit/>
          <w:cantSplit/>
        </w:trPr>
        <w:tc>
          <w:tcPr>
            <w:tcW w:type="dxa" w:w="2088"/>
            <w:vAlign w:val="center"/>
          </w:tcPr>
          <w:p>
            <w:pPr>
              <w:spacing w:after="0" w:before="0"/>
            </w:pPr>
            <w:r>
              <w:rPr>
                <w:rFonts w:ascii="Arial" w:hAnsi="Arial"/>
                <w:sz w:val="17"/>
              </w:rPr>
            </w:r>
            <w:r>
              <w:rPr>
                <w:rFonts w:ascii="Arial" w:hAnsi="Arial"/>
                <w:b w:val="0"/>
                <w:sz w:val="17"/>
              </w:rPr>
              <w:t>Tempo</w:t>
            </w:r>
          </w:p>
        </w:tc>
        <w:tc>
          <w:tcPr>
            <w:tcW w:type="dxa" w:w="7416"/>
            <w:vAlign w:val="center"/>
          </w:tcPr>
          <w:p>
            <w:pPr>
              <w:spacing w:after="0" w:before="0"/>
            </w:pPr>
            <w:r>
              <w:rPr>
                <w:rFonts w:ascii="Arial" w:hAnsi="Arial"/>
                <w:sz w:val="17"/>
              </w:rPr>
            </w:r>
            <w:r>
              <w:rPr>
                <w:rFonts w:ascii="Arial" w:hAnsi="Arial"/>
                <w:b w:val="0"/>
                <w:sz w:val="17"/>
              </w:rPr>
              <w:t>tempo até primeira solução e até Pareto útil</w:t>
            </w:r>
          </w:p>
        </w:tc>
      </w:tr>
      <w:tr>
        <w:trPr>
          <w:cantSplit/>
          <w:cantSplit/>
        </w:trPr>
        <w:tc>
          <w:tcPr>
            <w:tcW w:type="dxa" w:w="2088"/>
            <w:vAlign w:val="center"/>
          </w:tcPr>
          <w:p>
            <w:pPr>
              <w:spacing w:after="0" w:before="0"/>
            </w:pPr>
            <w:r>
              <w:rPr>
                <w:rFonts w:ascii="Arial" w:hAnsi="Arial"/>
                <w:sz w:val="17"/>
              </w:rPr>
            </w:r>
            <w:r>
              <w:rPr>
                <w:rFonts w:ascii="Arial" w:hAnsi="Arial"/>
                <w:b w:val="0"/>
                <w:sz w:val="17"/>
              </w:rPr>
              <w:t>Performance</w:t>
            </w:r>
          </w:p>
        </w:tc>
        <w:tc>
          <w:tcPr>
            <w:tcW w:type="dxa" w:w="7416"/>
            <w:vAlign w:val="center"/>
          </w:tcPr>
          <w:p>
            <w:pPr>
              <w:spacing w:after="0" w:before="0"/>
            </w:pPr>
            <w:r>
              <w:rPr>
                <w:rFonts w:ascii="Arial" w:hAnsi="Arial"/>
                <w:sz w:val="17"/>
              </w:rPr>
            </w:r>
            <w:r>
              <w:rPr>
                <w:rFonts w:ascii="Arial" w:hAnsi="Arial"/>
                <w:b w:val="0"/>
                <w:sz w:val="17"/>
              </w:rPr>
              <w:t>qualidade de sol/daylight/cut-fill vs. métodos de referência</w:t>
            </w:r>
          </w:p>
        </w:tc>
      </w:tr>
      <w:tr>
        <w:trPr>
          <w:cantSplit/>
          <w:cantSplit/>
        </w:trPr>
        <w:tc>
          <w:tcPr>
            <w:tcW w:type="dxa" w:w="2088"/>
            <w:vAlign w:val="center"/>
          </w:tcPr>
          <w:p>
            <w:pPr>
              <w:spacing w:after="0" w:before="0"/>
            </w:pPr>
            <w:r>
              <w:rPr>
                <w:rFonts w:ascii="Arial" w:hAnsi="Arial"/>
                <w:sz w:val="17"/>
              </w:rPr>
            </w:r>
            <w:r>
              <w:rPr>
                <w:rFonts w:ascii="Arial" w:hAnsi="Arial"/>
                <w:b w:val="0"/>
                <w:sz w:val="17"/>
              </w:rPr>
              <w:t>Negócio</w:t>
            </w:r>
          </w:p>
        </w:tc>
        <w:tc>
          <w:tcPr>
            <w:tcW w:type="dxa" w:w="7416"/>
            <w:vAlign w:val="center"/>
          </w:tcPr>
          <w:p>
            <w:pPr>
              <w:spacing w:after="0" w:before="0"/>
            </w:pPr>
            <w:r>
              <w:rPr>
                <w:rFonts w:ascii="Arial" w:hAnsi="Arial"/>
                <w:sz w:val="17"/>
              </w:rPr>
            </w:r>
            <w:r>
              <w:rPr>
                <w:rFonts w:ascii="Arial" w:hAnsi="Arial"/>
                <w:b w:val="0"/>
                <w:sz w:val="17"/>
              </w:rPr>
              <w:t>VGV/margem e estabilidade das premissas</w:t>
            </w:r>
          </w:p>
        </w:tc>
      </w:tr>
      <w:tr>
        <w:trPr>
          <w:cantSplit/>
          <w:cantSplit/>
        </w:trPr>
        <w:tc>
          <w:tcPr>
            <w:tcW w:type="dxa" w:w="2088"/>
            <w:vAlign w:val="center"/>
          </w:tcPr>
          <w:p>
            <w:pPr>
              <w:spacing w:after="0" w:before="0"/>
            </w:pPr>
            <w:r>
              <w:rPr>
                <w:rFonts w:ascii="Arial" w:hAnsi="Arial"/>
                <w:sz w:val="17"/>
              </w:rPr>
            </w:r>
            <w:r>
              <w:rPr>
                <w:rFonts w:ascii="Arial" w:hAnsi="Arial"/>
                <w:b w:val="0"/>
                <w:sz w:val="17"/>
              </w:rPr>
              <w:t>Humano</w:t>
            </w:r>
          </w:p>
        </w:tc>
        <w:tc>
          <w:tcPr>
            <w:tcW w:type="dxa" w:w="7416"/>
            <w:vAlign w:val="center"/>
          </w:tcPr>
          <w:p>
            <w:pPr>
              <w:spacing w:after="0" w:before="0"/>
            </w:pPr>
            <w:r>
              <w:rPr>
                <w:rFonts w:ascii="Arial" w:hAnsi="Arial"/>
                <w:sz w:val="17"/>
              </w:rPr>
            </w:r>
            <w:r>
              <w:rPr>
                <w:rFonts w:ascii="Arial" w:hAnsi="Arial"/>
                <w:b w:val="0"/>
                <w:sz w:val="17"/>
              </w:rPr>
              <w:t>percentual de soluções aceitas/ajustadas/rejeitadas por especialistas</w:t>
            </w:r>
          </w:p>
        </w:tc>
      </w:tr>
    </w:tbl>
    <w:p>
      <w:pPr>
        <w:pStyle w:val="Heading2"/>
        <w:keepNext/>
      </w:pPr>
      <w:r>
        <w:t>28.44 O que diferencia o A.I TEC</w:t>
      </w:r>
    </w:p>
    <w:p>
      <w:pPr>
        <w:spacing w:after="100"/>
      </w:pPr>
      <w:r>
        <w:rPr>
          <w:i w:val="0"/>
        </w:rPr>
        <w:t>O posicionamento recomendado é: “da lei ao BIM, com alternativas explicáveis”. A.I TEC não deve ser um clone de Arqgen, TestFit, Forma, Finch ou Maket. A vantagem sistêmica é ter, na mesma plataforma brasileira, terreno resolvido, legislação nacional, cadastro/mercado, rural, condomínio, solar, geração, performance, financeiro e evidência.</w:t>
      </w:r>
    </w:p>
    <w:p>
      <w:pPr>
        <w:pStyle w:val="ListBullet"/>
        <w:spacing w:after="40"/>
      </w:pPr>
      <w:r>
        <w:t>Brasil-first: parâmetros municipais/estaduais alimentados pelo LoteDiretor.</w:t>
      </w:r>
    </w:p>
    <w:p>
      <w:pPr>
        <w:pStyle w:val="ListBullet"/>
        <w:spacing w:after="40"/>
      </w:pPr>
      <w:r>
        <w:t>Geospatial-first: todo estudo nasce georreferenciado e conectado ao ativo real.</w:t>
      </w:r>
    </w:p>
    <w:p>
      <w:pPr>
        <w:pStyle w:val="ListBullet"/>
        <w:spacing w:after="40"/>
      </w:pPr>
      <w:r>
        <w:t>Rule-first: IA não tem permissão para violar regra dura silenciosamente.</w:t>
      </w:r>
    </w:p>
    <w:p>
      <w:pPr>
        <w:pStyle w:val="ListBullet"/>
        <w:spacing w:after="40"/>
      </w:pPr>
      <w:r>
        <w:t>Multi-scale: terreno → edifício → pavimento → unidade → ambiente.</w:t>
      </w:r>
    </w:p>
    <w:p>
      <w:pPr>
        <w:pStyle w:val="ListBullet"/>
        <w:spacing w:after="40"/>
      </w:pPr>
      <w:r>
        <w:t>Multi-objective: potencial, arquitetura, ambiente, custo e mercado na mesma decisão.</w:t>
      </w:r>
    </w:p>
    <w:p>
      <w:pPr>
        <w:pStyle w:val="ListBullet"/>
        <w:spacing w:after="40"/>
      </w:pPr>
      <w:r>
        <w:t>Human-in-the-loop: lock, branch, edit, compare e approve.</w:t>
      </w:r>
    </w:p>
    <w:p>
      <w:pPr>
        <w:pStyle w:val="ListBullet"/>
        <w:spacing w:after="40"/>
      </w:pPr>
      <w:r>
        <w:t>Open continuity: CAD/BIM/GIS e API, evitando aprisionamento em imagem/PDF.</w:t>
      </w:r>
    </w:p>
    <w:p>
      <w:pPr>
        <w:pStyle w:val="ListBullet"/>
        <w:spacing w:after="40"/>
      </w:pPr>
      <w:r>
        <w:t>Evidence-first: cada limite e decisão relevante consegue apontar sua origem.</w:t>
      </w:r>
    </w:p>
    <w:p>
      <w:pPr>
        <w:pStyle w:val="Heading2"/>
        <w:keepNext/>
      </w:pPr>
      <w:r>
        <w:t>28.45 Referências específicas do módulo A.I TEC</w:t>
      </w:r>
    </w:p>
    <w:p>
      <w:pPr>
        <w:spacing w:after="100"/>
      </w:pPr>
      <w:r>
        <w:rPr>
          <w:i w:val="0"/>
        </w:rPr>
        <w:t>As referências [R66] a [R79], incluídas ao final do documento, suportam a pesquisa de benchmarking e as decisões de arquitetura deste módulo. Funcionalidades descritas como “observadas” representam o conteúdo público consultado em agosto de 2026 e podem evoluir nos produtos de terceiros.</w:t>
      </w:r>
    </w:p>
    <w:p>
      <w:pPr>
        <w:pStyle w:val="Heading1"/>
      </w:pPr>
      <w:r>
        <w:t>29. Prefeitura — ambiente institucional municipal e fonte oficial integrada</w:t>
      </w:r>
    </w:p>
    <w:p>
      <w:r>
        <w:t>Propósito. O módulo Prefeitura é um workspace institucional exclusivo para municípios aderentes. Ele permite que a prefeitura carregue, organize, valide, atualize e publique os dados que somente o ente municipal consegue manter com autoridade operacional: legislação urbanística, mapas oficiais, cadastro territorial, inscrições imobiliárias, parâmetros de IPTU, processos de licenciamento, infraestrutura, riscos, patrimônio, REURB e outros cadastros temáticos. O módulo não substitui os sistemas internos obrigatórios da prefeitura; ele funciona como camada de integração, qualificação, inteligência e publicação para toda a plataforma.</w:t>
      </w:r>
    </w:p>
    <w:p>
      <w:r>
        <w:t>Regra de escopo. Este capítulo especifica apenas o produto municipal. O painel administrativo central da plataforma, que futuramente controlará contratos, ativação global, cobrança, suporte e governança multi-tenant, não é definido aqui.</w:t>
      </w:r>
    </w:p>
    <w:p>
      <w:r>
        <w:drawing>
          <wp:inline xmlns:a="http://schemas.openxmlformats.org/drawingml/2006/main" xmlns:pic="http://schemas.openxmlformats.org/drawingml/2006/picture">
            <wp:extent cx="6080760" cy="3822700"/>
            <wp:docPr id="9" name="Picture 9" descr="Figura — Arquitetura do módulo Prefeitura: ingestão institucional, validação, CTM/SINTER e publicação." title="Figura — Arquitetura do módulo Prefeitura: ingestão institucional, validação, CTM/SINTER e publicação."/>
            <wp:cNvGraphicFramePr>
              <a:graphicFrameLocks noChangeAspect="1"/>
            </wp:cNvGraphicFramePr>
            <a:graphic>
              <a:graphicData uri="http://schemas.openxmlformats.org/drawingml/2006/picture">
                <pic:pic>
                  <pic:nvPicPr>
                    <pic:cNvPr id="0" name="prefeitura_architecture_v2.png"/>
                    <pic:cNvPicPr/>
                  </pic:nvPicPr>
                  <pic:blipFill>
                    <a:blip r:embed="rId19"/>
                    <a:stretch>
                      <a:fillRect/>
                    </a:stretch>
                  </pic:blipFill>
                  <pic:spPr>
                    <a:xfrm>
                      <a:off x="0" y="0"/>
                      <a:ext cx="6080760" cy="3822700"/>
                    </a:xfrm>
                    <a:prstGeom prst="rect"/>
                  </pic:spPr>
                </pic:pic>
              </a:graphicData>
            </a:graphic>
          </wp:inline>
        </w:drawing>
      </w:r>
    </w:p>
    <w:p>
      <w:pPr>
        <w:pStyle w:val="CaptionLD"/>
      </w:pPr>
      <w:r>
        <w:t>Figura — Arquitetura do módulo Prefeitura: ingestão institucional, validação, CTM/SINTER e publicação.</w:t>
      </w:r>
    </w:p>
    <w:p>
      <w:pPr>
        <w:pStyle w:val="Heading2"/>
      </w:pPr>
      <w:r>
        <w:t>29.1 Princípio central: prefeitura aderente vira fonte municipal verificada</w:t>
      </w:r>
    </w:p>
    <w:p>
      <w:r>
        <w:t>Quando um município não aderiu, o LoteDiretor continua descobrindo fontes públicas por crawlers, portais, diários oficiais, serviços GIS e bases estaduais/federais, sempre marcando a origem e a incerteza. Quando a prefeitura adere, os conjuntos homologados no módulo passam a ter prioridade como fonte municipal verificada, sem apagar a trilha histórica nem as fontes externas.</w:t>
      </w:r>
    </w:p>
    <w:p>
      <w:pPr>
        <w:pStyle w:val="ListBullet"/>
      </w:pPr>
      <w:r>
        <w:t>Município não aderente: cobertura por descoberta pública e integrações externas; selo “fonte pública descoberta”.</w:t>
      </w:r>
    </w:p>
    <w:p>
      <w:pPr>
        <w:pStyle w:val="ListBullet"/>
      </w:pPr>
      <w:r>
        <w:t>Município aderente: conteúdo homologado recebe selo “Prefeitura Integrada / Fonte Municipal Verificada”.</w:t>
      </w:r>
    </w:p>
    <w:p>
      <w:pPr>
        <w:pStyle w:val="ListBullet"/>
      </w:pPr>
      <w:r>
        <w:t>Conflitos entre uma fonte municipal e outra fonte oficial nunca são ocultados; o sistema registra divergência e pede reconciliação.</w:t>
      </w:r>
    </w:p>
    <w:p>
      <w:pPr>
        <w:pStyle w:val="ListBullet"/>
      </w:pPr>
      <w:r>
        <w:t>A adesão não transforma conteúdo em lei: apenas atos formalmente válidos e corretamente classificados podem ser marcados como normativos.</w:t>
      </w:r>
    </w:p>
    <w:p>
      <w:pPr>
        <w:pStyle w:val="Heading2"/>
      </w:pPr>
      <w:r>
        <w:t>29.2 Ativação e desativação do módulo</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1440"/>
            <w:vAlign w:val="center"/>
          </w:tcPr>
          <w:p>
            <w:r>
              <w:rPr>
                <w:b/>
              </w:rPr>
              <w:t>Estado</w:t>
            </w:r>
          </w:p>
        </w:tc>
        <w:tc>
          <w:tcPr>
            <w:tcW w:type="dxa" w:w="2592"/>
            <w:vAlign w:val="center"/>
          </w:tcPr>
          <w:p>
            <w:r>
              <w:rPr>
                <w:b/>
              </w:rPr>
              <w:t>Uso</w:t>
            </w:r>
          </w:p>
        </w:tc>
        <w:tc>
          <w:tcPr>
            <w:tcW w:type="dxa" w:w="5760"/>
            <w:vAlign w:val="center"/>
          </w:tcPr>
          <w:p>
            <w:r>
              <w:rPr>
                <w:b/>
              </w:rPr>
              <w:t>Comportamento</w:t>
            </w:r>
          </w:p>
        </w:tc>
      </w:tr>
      <w:tr>
        <w:trPr>
          <w:cantSplit/>
        </w:trPr>
        <w:tc>
          <w:tcPr>
            <w:tcW w:type="dxa" w:w="1440"/>
            <w:vAlign w:val="top"/>
          </w:tcPr>
          <w:p>
            <w:r>
              <w:t>OFF</w:t>
            </w:r>
          </w:p>
        </w:tc>
        <w:tc>
          <w:tcPr>
            <w:tcW w:type="dxa" w:w="2592"/>
            <w:vAlign w:val="top"/>
          </w:tcPr>
          <w:p>
            <w:r>
              <w:t>Município ainda não aderiu</w:t>
            </w:r>
          </w:p>
        </w:tc>
        <w:tc>
          <w:tcPr>
            <w:tcW w:type="dxa" w:w="5760"/>
            <w:vAlign w:val="top"/>
          </w:tcPr>
          <w:p>
            <w:r>
              <w:t>Sem workspace municipal. A plataforma usa somente fontes públicas/externas.</w:t>
            </w:r>
          </w:p>
        </w:tc>
      </w:tr>
      <w:tr>
        <w:trPr>
          <w:cantSplit/>
        </w:trPr>
        <w:tc>
          <w:tcPr>
            <w:tcW w:type="dxa" w:w="1440"/>
            <w:vAlign w:val="top"/>
          </w:tcPr>
          <w:p>
            <w:r>
              <w:t>PILOTO</w:t>
            </w:r>
          </w:p>
        </w:tc>
        <w:tc>
          <w:tcPr>
            <w:tcW w:type="dxa" w:w="2592"/>
            <w:vAlign w:val="top"/>
          </w:tcPr>
          <w:p>
            <w:r>
              <w:t>Implantação e saneamento</w:t>
            </w:r>
          </w:p>
        </w:tc>
        <w:tc>
          <w:tcPr>
            <w:tcW w:type="dxa" w:w="5760"/>
            <w:vAlign w:val="top"/>
          </w:tcPr>
          <w:p>
            <w:r>
              <w:t>Workspace privado; dados não ganham selo oficial até homologação.</w:t>
            </w:r>
          </w:p>
        </w:tc>
      </w:tr>
      <w:tr>
        <w:trPr>
          <w:cantSplit/>
        </w:trPr>
        <w:tc>
          <w:tcPr>
            <w:tcW w:type="dxa" w:w="1440"/>
            <w:vAlign w:val="top"/>
          </w:tcPr>
          <w:p>
            <w:r>
              <w:t>ATIVO</w:t>
            </w:r>
          </w:p>
        </w:tc>
        <w:tc>
          <w:tcPr>
            <w:tcW w:type="dxa" w:w="2592"/>
            <w:vAlign w:val="top"/>
          </w:tcPr>
          <w:p>
            <w:r>
              <w:t>Operação oficial</w:t>
            </w:r>
          </w:p>
        </w:tc>
        <w:tc>
          <w:tcPr>
            <w:tcW w:type="dxa" w:w="5760"/>
            <w:vAlign w:val="top"/>
          </w:tcPr>
          <w:p>
            <w:r>
              <w:t>Publicação, APIs, integrações e selo municipal verificado habilitados.</w:t>
            </w:r>
          </w:p>
        </w:tc>
      </w:tr>
      <w:tr>
        <w:trPr>
          <w:cantSplit/>
        </w:trPr>
        <w:tc>
          <w:tcPr>
            <w:tcW w:type="dxa" w:w="1440"/>
            <w:vAlign w:val="top"/>
          </w:tcPr>
          <w:p>
            <w:r>
              <w:t>SUSPENSO</w:t>
            </w:r>
          </w:p>
        </w:tc>
        <w:tc>
          <w:tcPr>
            <w:tcW w:type="dxa" w:w="2592"/>
            <w:vAlign w:val="top"/>
          </w:tcPr>
          <w:p>
            <w:r>
              <w:t>Contrato, segurança ou governança</w:t>
            </w:r>
          </w:p>
        </w:tc>
        <w:tc>
          <w:tcPr>
            <w:tcW w:type="dxa" w:w="5760"/>
            <w:vAlign w:val="top"/>
          </w:tcPr>
          <w:p>
            <w:r>
              <w:t>Workspace em leitura; tokens e novas publicações bloqueados; histórico preservado.</w:t>
            </w:r>
          </w:p>
        </w:tc>
      </w:tr>
      <w:tr>
        <w:trPr>
          <w:cantSplit/>
        </w:trPr>
        <w:tc>
          <w:tcPr>
            <w:tcW w:type="dxa" w:w="1440"/>
            <w:vAlign w:val="top"/>
          </w:tcPr>
          <w:p>
            <w:r>
              <w:t>ENCERRADO</w:t>
            </w:r>
          </w:p>
        </w:tc>
        <w:tc>
          <w:tcPr>
            <w:tcW w:type="dxa" w:w="2592"/>
            <w:vAlign w:val="top"/>
          </w:tcPr>
          <w:p>
            <w:r>
              <w:t>Fim da adesão</w:t>
            </w:r>
          </w:p>
        </w:tc>
        <w:tc>
          <w:tcPr>
            <w:tcW w:type="dxa" w:w="5760"/>
            <w:vAlign w:val="top"/>
          </w:tcPr>
          <w:p>
            <w:r>
              <w:t>Credenciais revogadas. Snapshot, evidências e atos públicos preservados conforme retenção/legalidade.</w:t>
            </w:r>
          </w:p>
        </w:tc>
      </w:tr>
    </w:tbl>
    <w:p/>
    <w:p>
      <w:r>
        <w:t>Desativar o módulo não pode apagar leis, mapas ou versões já utilizados em análises passadas. Toda análise precisa continuar reproduzível pela combinação entre versão da fonte, vigência, hash e timestamp.</w:t>
      </w:r>
    </w:p>
    <w:p>
      <w:pPr>
        <w:pStyle w:val="Heading2"/>
      </w:pPr>
      <w:r>
        <w:t>29.3 Perfis municipais e segregação de funções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448"/>
            <w:vAlign w:val="center"/>
          </w:tcPr>
          <w:p>
            <w:r>
              <w:rPr>
                <w:b/>
              </w:rPr>
              <w:t>Perfil</w:t>
            </w:r>
          </w:p>
        </w:tc>
        <w:tc>
          <w:tcPr>
            <w:tcW w:type="dxa" w:w="7344"/>
            <w:vAlign w:val="center"/>
          </w:tcPr>
          <w:p>
            <w:r>
              <w:rPr>
                <w:b/>
              </w:rPr>
              <w:t>Responsabilidade principal</w:t>
            </w:r>
          </w:p>
        </w:tc>
      </w:tr>
      <w:tr>
        <w:trPr>
          <w:cantSplit/>
        </w:trPr>
        <w:tc>
          <w:tcPr>
            <w:tcW w:type="dxa" w:w="2448"/>
            <w:vAlign w:val="top"/>
          </w:tcPr>
          <w:p>
            <w:r>
              <w:t>Gestor institucional</w:t>
            </w:r>
          </w:p>
        </w:tc>
        <w:tc>
          <w:tcPr>
            <w:tcW w:type="dxa" w:w="7344"/>
            <w:vAlign w:val="top"/>
          </w:tcPr>
          <w:p>
            <w:r>
              <w:t>Configura o município, usuários institucionais e integrações autorizadas.</w:t>
            </w:r>
          </w:p>
        </w:tc>
      </w:tr>
      <w:tr>
        <w:trPr>
          <w:cantSplit/>
        </w:trPr>
        <w:tc>
          <w:tcPr>
            <w:tcW w:type="dxa" w:w="2448"/>
            <w:vAlign w:val="top"/>
          </w:tcPr>
          <w:p>
            <w:r>
              <w:t>Planejamento urbano</w:t>
            </w:r>
          </w:p>
        </w:tc>
        <w:tc>
          <w:tcPr>
            <w:tcW w:type="dxa" w:w="7344"/>
            <w:vAlign w:val="top"/>
          </w:tcPr>
          <w:p>
            <w:r>
              <w:t>Plano Diretor, zoneamento, parcelamento, instrumentos urbanísticos e mapas legais.</w:t>
            </w:r>
          </w:p>
        </w:tc>
      </w:tr>
      <w:tr>
        <w:trPr>
          <w:cantSplit/>
        </w:trPr>
        <w:tc>
          <w:tcPr>
            <w:tcW w:type="dxa" w:w="2448"/>
            <w:vAlign w:val="top"/>
          </w:tcPr>
          <w:p>
            <w:r>
              <w:t>Cadastro / CTM</w:t>
            </w:r>
          </w:p>
        </w:tc>
        <w:tc>
          <w:tcPr>
            <w:tcW w:type="dxa" w:w="7344"/>
            <w:vAlign w:val="top"/>
          </w:tcPr>
          <w:p>
            <w:r>
              <w:t>Parcelas, quadras, lotes, unidades, endereços, edificações, CIB e cadastro territorial.</w:t>
            </w:r>
          </w:p>
        </w:tc>
      </w:tr>
      <w:tr>
        <w:trPr>
          <w:cantSplit/>
        </w:trPr>
        <w:tc>
          <w:tcPr>
            <w:tcW w:type="dxa" w:w="2448"/>
            <w:vAlign w:val="top"/>
          </w:tcPr>
          <w:p>
            <w:r>
              <w:t>Tributação</w:t>
            </w:r>
          </w:p>
        </w:tc>
        <w:tc>
          <w:tcPr>
            <w:tcW w:type="dxa" w:w="7344"/>
            <w:vAlign w:val="top"/>
          </w:tcPr>
          <w:p>
            <w:r>
              <w:t>IPTU, ITBI, PGV, classificações fiscais, fórmulas, isenções e taxas urbanísticas.</w:t>
            </w:r>
          </w:p>
        </w:tc>
      </w:tr>
      <w:tr>
        <w:trPr>
          <w:cantSplit/>
        </w:trPr>
        <w:tc>
          <w:tcPr>
            <w:tcW w:type="dxa" w:w="2448"/>
            <w:vAlign w:val="top"/>
          </w:tcPr>
          <w:p>
            <w:r>
              <w:t>Obras e licenciamento</w:t>
            </w:r>
          </w:p>
        </w:tc>
        <w:tc>
          <w:tcPr>
            <w:tcW w:type="dxa" w:w="7344"/>
            <w:vAlign w:val="top"/>
          </w:tcPr>
          <w:p>
            <w:r>
              <w:t>Alvarás, habite-se, processos, aprovações, certidões e workflows técnicos.</w:t>
            </w:r>
          </w:p>
        </w:tc>
      </w:tr>
      <w:tr>
        <w:trPr>
          <w:cantSplit/>
        </w:trPr>
        <w:tc>
          <w:tcPr>
            <w:tcW w:type="dxa" w:w="2448"/>
            <w:vAlign w:val="top"/>
          </w:tcPr>
          <w:p>
            <w:r>
              <w:t>GIS / cartografia</w:t>
            </w:r>
          </w:p>
        </w:tc>
        <w:tc>
          <w:tcPr>
            <w:tcW w:type="dxa" w:w="7344"/>
            <w:vAlign w:val="top"/>
          </w:tcPr>
          <w:p>
            <w:r>
              <w:t>Camadas, metadados, sistemas de referência, georreferenciamento e publicação de serviços.</w:t>
            </w:r>
          </w:p>
        </w:tc>
      </w:tr>
      <w:tr>
        <w:trPr>
          <w:cantSplit/>
        </w:trPr>
        <w:tc>
          <w:tcPr>
            <w:tcW w:type="dxa" w:w="2448"/>
            <w:vAlign w:val="top"/>
          </w:tcPr>
          <w:p>
            <w:r>
              <w:t>Meio ambiente / risco</w:t>
            </w:r>
          </w:p>
        </w:tc>
        <w:tc>
          <w:tcPr>
            <w:tcW w:type="dxa" w:w="7344"/>
            <w:vAlign w:val="top"/>
          </w:tcPr>
          <w:p>
            <w:r>
              <w:t>Áreas protegidas municipais, arborização, drenagem, risco, licenças e restrições locais.</w:t>
            </w:r>
          </w:p>
        </w:tc>
      </w:tr>
      <w:tr>
        <w:trPr>
          <w:cantSplit/>
        </w:trPr>
        <w:tc>
          <w:tcPr>
            <w:tcW w:type="dxa" w:w="2448"/>
            <w:vAlign w:val="top"/>
          </w:tcPr>
          <w:p>
            <w:r>
              <w:t>Procuradoria / jurídico</w:t>
            </w:r>
          </w:p>
        </w:tc>
        <w:tc>
          <w:tcPr>
            <w:tcW w:type="dxa" w:w="7344"/>
            <w:vAlign w:val="top"/>
          </w:tcPr>
          <w:p>
            <w:r>
              <w:t>Homologação normativa, vigência, revogações, conflitos e notas jurídicas.</w:t>
            </w:r>
          </w:p>
        </w:tc>
      </w:tr>
      <w:tr>
        <w:trPr>
          <w:cantSplit/>
        </w:trPr>
        <w:tc>
          <w:tcPr>
            <w:tcW w:type="dxa" w:w="2448"/>
            <w:vAlign w:val="top"/>
          </w:tcPr>
          <w:p>
            <w:r>
              <w:t>Infraestrutura</w:t>
            </w:r>
          </w:p>
        </w:tc>
        <w:tc>
          <w:tcPr>
            <w:tcW w:type="dxa" w:w="7344"/>
            <w:vAlign w:val="top"/>
          </w:tcPr>
          <w:p>
            <w:r>
              <w:t>Vias, drenagem, iluminação, equipamentos, redes e acordos com concessionárias.</w:t>
            </w:r>
          </w:p>
        </w:tc>
      </w:tr>
      <w:tr>
        <w:trPr>
          <w:cantSplit/>
        </w:trPr>
        <w:tc>
          <w:tcPr>
            <w:tcW w:type="dxa" w:w="2448"/>
            <w:vAlign w:val="top"/>
          </w:tcPr>
          <w:p>
            <w:r>
              <w:t>Publicador / homologador</w:t>
            </w:r>
          </w:p>
        </w:tc>
        <w:tc>
          <w:tcPr>
            <w:tcW w:type="dxa" w:w="7344"/>
            <w:vAlign w:val="top"/>
          </w:tcPr>
          <w:p>
            <w:r>
              <w:t>Aprova revisão para produção; preferencialmente distinto do editor.</w:t>
            </w:r>
          </w:p>
        </w:tc>
      </w:tr>
      <w:tr>
        <w:trPr>
          <w:cantSplit/>
        </w:trPr>
        <w:tc>
          <w:tcPr>
            <w:tcW w:type="dxa" w:w="2448"/>
            <w:vAlign w:val="top"/>
          </w:tcPr>
          <w:p>
            <w:r>
              <w:t>Auditor / leitura</w:t>
            </w:r>
          </w:p>
        </w:tc>
        <w:tc>
          <w:tcPr>
            <w:tcW w:type="dxa" w:w="7344"/>
            <w:vAlign w:val="top"/>
          </w:tcPr>
          <w:p>
            <w:r>
              <w:t>Consulta evidências, alterações, sincronizações e logs sem editar.</w:t>
            </w:r>
          </w:p>
        </w:tc>
      </w:tr>
    </w:tbl>
    <w:p/>
    <w:p>
      <w:r>
        <w:t>Recomendação de governança: adotar princípio maker-checker. Em dados críticos, quem edita uma versão não deve homologar sozinho a mesma revisão.</w:t>
      </w:r>
    </w:p>
    <w:p>
      <w:pPr>
        <w:pStyle w:val="Heading2"/>
      </w:pPr>
      <w:r>
        <w:t>29.4 Onboarding de um município</w:t>
      </w:r>
    </w:p>
    <w:p>
      <w:pPr/>
      <w:r>
        <w:t>1. Criar a organização municipal usando código IBGE como chave canônica.</w:t>
      </w:r>
    </w:p>
    <w:p>
      <w:pPr/>
      <w:r>
        <w:t>2. Validar autoridade institucional e responsáveis indicados.</w:t>
      </w:r>
    </w:p>
    <w:p>
      <w:pPr/>
      <w:r>
        <w:t>3. Mapear sistemas existentes: tributário, cadastro, GIS, protocolo, obras, diário oficial, transparência e arquivos.</w:t>
      </w:r>
    </w:p>
    <w:p>
      <w:pPr/>
      <w:r>
        <w:t>4. Inventariar leis, mapas, anexos, códigos e bases territoriais existentes.</w:t>
      </w:r>
    </w:p>
    <w:p>
      <w:pPr/>
      <w:r>
        <w:t>5. Classificar cada fonte por autoridade, atualização, formato, sigilo e qualidade.</w:t>
      </w:r>
    </w:p>
    <w:p>
      <w:pPr/>
      <w:r>
        <w:t>6. Importar primeiro uma cópia de teste, sem publicação automática.</w:t>
      </w:r>
    </w:p>
    <w:p>
      <w:pPr/>
      <w:r>
        <w:t>7. Executar validações geométricas, documentais e temporais.</w:t>
      </w:r>
    </w:p>
    <w:p>
      <w:pPr/>
      <w:r>
        <w:t>8. Homologar conjuntos mínimos para produção.</w:t>
      </w:r>
    </w:p>
    <w:p>
      <w:pPr/>
      <w:r>
        <w:t>9. Ativar integração SINTER/CIB quando aplicável.</w:t>
      </w:r>
    </w:p>
    <w:p>
      <w:pPr/>
      <w:r>
        <w:t>10. Publicar APIs/camadas e iniciar sincronização contínua.</w:t>
      </w:r>
    </w:p>
    <w:p>
      <w:pPr>
        <w:pStyle w:val="Heading2"/>
      </w:pPr>
      <w:r>
        <w:t>29.5 Central de documentos municipais</w:t>
      </w:r>
    </w:p>
    <w:p>
      <w:r>
        <w:t>A prefeitura deve poder arrastar arquivos para uma biblioteca institucional e indicar o tipo apenas quando a IA não conseguir classificá-lo com confiança. O sistema preserva o arquivo original e cria representações derivadas para busca, georreferenciamento e leitura por IA.</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2088"/>
            <w:vAlign w:val="center"/>
          </w:tcPr>
          <w:p>
            <w:r>
              <w:rPr>
                <w:b/>
              </w:rPr>
              <w:t>Família documental</w:t>
            </w:r>
          </w:p>
        </w:tc>
        <w:tc>
          <w:tcPr>
            <w:tcW w:type="dxa" w:w="3744"/>
            <w:vAlign w:val="center"/>
          </w:tcPr>
          <w:p>
            <w:r>
              <w:rPr>
                <w:b/>
              </w:rPr>
              <w:t>Exemplos</w:t>
            </w:r>
          </w:p>
        </w:tc>
        <w:tc>
          <w:tcPr>
            <w:tcW w:type="dxa" w:w="5400"/>
            <w:vAlign w:val="center"/>
          </w:tcPr>
          <w:p>
            <w:r>
              <w:rPr>
                <w:b/>
              </w:rPr>
              <w:t>Tratamento</w:t>
            </w:r>
          </w:p>
        </w:tc>
      </w:tr>
      <w:tr>
        <w:trPr>
          <w:cantSplit/>
        </w:trPr>
        <w:tc>
          <w:tcPr>
            <w:tcW w:type="dxa" w:w="2088"/>
            <w:vAlign w:val="top"/>
          </w:tcPr>
          <w:p>
            <w:r>
              <w:t>Legislação</w:t>
            </w:r>
          </w:p>
        </w:tc>
        <w:tc>
          <w:tcPr>
            <w:tcW w:type="dxa" w:w="3744"/>
            <w:vAlign w:val="top"/>
          </w:tcPr>
          <w:p>
            <w:r>
              <w:t>Plano Diretor, LPUOS, Código de Obras, parcelamento, posturas, decretos, portarias</w:t>
            </w:r>
          </w:p>
        </w:tc>
        <w:tc>
          <w:tcPr>
            <w:tcW w:type="dxa" w:w="5400"/>
            <w:vAlign w:val="top"/>
          </w:tcPr>
          <w:p>
            <w:r>
              <w:t>OCR/texto, artigos, vigência, revogação, hash, assinatura.</w:t>
            </w:r>
          </w:p>
        </w:tc>
      </w:tr>
      <w:tr>
        <w:trPr>
          <w:cantSplit/>
        </w:trPr>
        <w:tc>
          <w:tcPr>
            <w:tcW w:type="dxa" w:w="2088"/>
            <w:vAlign w:val="top"/>
          </w:tcPr>
          <w:p>
            <w:r>
              <w:t>Anexos cartográficos</w:t>
            </w:r>
          </w:p>
        </w:tc>
        <w:tc>
          <w:tcPr>
            <w:tcW w:type="dxa" w:w="3744"/>
            <w:vAlign w:val="top"/>
          </w:tcPr>
          <w:p>
            <w:r>
              <w:t>Mapas de zoneamento, macrozoneamento, ZEIS, operações urbanas</w:t>
            </w:r>
          </w:p>
        </w:tc>
        <w:tc>
          <w:tcPr>
            <w:tcW w:type="dxa" w:w="5400"/>
            <w:vAlign w:val="top"/>
          </w:tcPr>
          <w:p>
            <w:r>
              <w:t>Georreferenciar, vetorizar quando necessário, relacionar com lei/anexo.</w:t>
            </w:r>
          </w:p>
        </w:tc>
      </w:tr>
      <w:tr>
        <w:trPr>
          <w:cantSplit/>
        </w:trPr>
        <w:tc>
          <w:tcPr>
            <w:tcW w:type="dxa" w:w="2088"/>
            <w:vAlign w:val="top"/>
          </w:tcPr>
          <w:p>
            <w:r>
              <w:t>Tributário</w:t>
            </w:r>
          </w:p>
        </w:tc>
        <w:tc>
          <w:tcPr>
            <w:tcW w:type="dxa" w:w="3744"/>
            <w:vAlign w:val="top"/>
          </w:tcPr>
          <w:p>
            <w:r>
              <w:t>Código Tributário, PGV, tabelas de valores, alíquotas, isenções</w:t>
            </w:r>
          </w:p>
        </w:tc>
        <w:tc>
          <w:tcPr>
            <w:tcW w:type="dxa" w:w="5400"/>
            <w:vAlign w:val="top"/>
          </w:tcPr>
          <w:p>
            <w:r>
              <w:t>Versionar fórmula e vigência; separar dado público de dado fiscal restrito.</w:t>
            </w:r>
          </w:p>
        </w:tc>
      </w:tr>
      <w:tr>
        <w:trPr>
          <w:cantSplit/>
        </w:trPr>
        <w:tc>
          <w:tcPr>
            <w:tcW w:type="dxa" w:w="2088"/>
            <w:vAlign w:val="top"/>
          </w:tcPr>
          <w:p>
            <w:r>
              <w:t>Licenciamento</w:t>
            </w:r>
          </w:p>
        </w:tc>
        <w:tc>
          <w:tcPr>
            <w:tcW w:type="dxa" w:w="3744"/>
            <w:vAlign w:val="top"/>
          </w:tcPr>
          <w:p>
            <w:r>
              <w:t>Manuais, checklists, modelos, instruções, fluxos</w:t>
            </w:r>
          </w:p>
        </w:tc>
        <w:tc>
          <w:tcPr>
            <w:tcW w:type="dxa" w:w="5400"/>
            <w:vAlign w:val="top"/>
          </w:tcPr>
          <w:p>
            <w:r>
              <w:t>Extrair requisitos, documentos, responsáveis e prazos.</w:t>
            </w:r>
          </w:p>
        </w:tc>
      </w:tr>
      <w:tr>
        <w:trPr>
          <w:cantSplit/>
        </w:trPr>
        <w:tc>
          <w:tcPr>
            <w:tcW w:type="dxa" w:w="2088"/>
            <w:vAlign w:val="top"/>
          </w:tcPr>
          <w:p>
            <w:r>
              <w:t>Infraestrutura</w:t>
            </w:r>
          </w:p>
        </w:tc>
        <w:tc>
          <w:tcPr>
            <w:tcW w:type="dxa" w:w="3744"/>
            <w:vAlign w:val="top"/>
          </w:tcPr>
          <w:p>
            <w:r>
              <w:t>Planos de drenagem, saneamento, mobilidade, iluminação, obras</w:t>
            </w:r>
          </w:p>
        </w:tc>
        <w:tc>
          <w:tcPr>
            <w:tcW w:type="dxa" w:w="5400"/>
            <w:vAlign w:val="top"/>
          </w:tcPr>
          <w:p>
            <w:r>
              <w:t>Relacionar camadas, projetos e período de validade.</w:t>
            </w:r>
          </w:p>
        </w:tc>
      </w:tr>
      <w:tr>
        <w:trPr>
          <w:cantSplit/>
        </w:trPr>
        <w:tc>
          <w:tcPr>
            <w:tcW w:type="dxa" w:w="2088"/>
            <w:vAlign w:val="top"/>
          </w:tcPr>
          <w:p>
            <w:r>
              <w:t>Atos administrativos</w:t>
            </w:r>
          </w:p>
        </w:tc>
        <w:tc>
          <w:tcPr>
            <w:tcW w:type="dxa" w:w="3744"/>
            <w:vAlign w:val="top"/>
          </w:tcPr>
          <w:p>
            <w:r>
              <w:t>Resoluções, pareceres normativos, comunicados oficiais</w:t>
            </w:r>
          </w:p>
        </w:tc>
        <w:tc>
          <w:tcPr>
            <w:tcW w:type="dxa" w:w="5400"/>
            <w:vAlign w:val="top"/>
          </w:tcPr>
          <w:p>
            <w:r>
              <w:t>Classificar força normativa e dependência jurídica.</w:t>
            </w:r>
          </w:p>
        </w:tc>
      </w:tr>
      <w:tr>
        <w:trPr>
          <w:cantSplit/>
        </w:trPr>
        <w:tc>
          <w:tcPr>
            <w:tcW w:type="dxa" w:w="2088"/>
            <w:vAlign w:val="top"/>
          </w:tcPr>
          <w:p>
            <w:r>
              <w:t>Bases tabulares</w:t>
            </w:r>
          </w:p>
        </w:tc>
        <w:tc>
          <w:tcPr>
            <w:tcW w:type="dxa" w:w="3744"/>
            <w:vAlign w:val="top"/>
          </w:tcPr>
          <w:p>
            <w:r>
              <w:t>CSV/XLSX de cadastro, endereços, equipamentos, processos</w:t>
            </w:r>
          </w:p>
        </w:tc>
        <w:tc>
          <w:tcPr>
            <w:tcW w:type="dxa" w:w="5400"/>
            <w:vAlign w:val="top"/>
          </w:tcPr>
          <w:p>
            <w:r>
              <w:t>Schema mapping, validação, chaves e lineage.</w:t>
            </w:r>
          </w:p>
        </w:tc>
      </w:tr>
      <w:tr>
        <w:trPr>
          <w:cantSplit/>
        </w:trPr>
        <w:tc>
          <w:tcPr>
            <w:tcW w:type="dxa" w:w="2088"/>
            <w:vAlign w:val="top"/>
          </w:tcPr>
          <w:p>
            <w:r>
              <w:t>Dados GIS/CAD</w:t>
            </w:r>
          </w:p>
        </w:tc>
        <w:tc>
          <w:tcPr>
            <w:tcW w:type="dxa" w:w="3744"/>
            <w:vAlign w:val="top"/>
          </w:tcPr>
          <w:p>
            <w:r>
              <w:t>GeoJSON, GPKG, SHP ZIP, KML/KMZ, DWG/DXF</w:t>
            </w:r>
          </w:p>
        </w:tc>
        <w:tc>
          <w:tcPr>
            <w:tcW w:type="dxa" w:w="5400"/>
            <w:vAlign w:val="top"/>
          </w:tcPr>
          <w:p>
            <w:r>
              <w:t>CRS, validação, topologia, simplificação, publicação MVT/WMS/WFS.</w:t>
            </w:r>
          </w:p>
        </w:tc>
      </w:tr>
    </w:tbl>
    <w:p/>
    <w:p>
      <w:pPr>
        <w:pStyle w:val="ListBullet"/>
      </w:pPr>
      <w:r>
        <w:t>Formato original imutável em object storage.</w:t>
      </w:r>
    </w:p>
    <w:p>
      <w:pPr>
        <w:pStyle w:val="ListBullet"/>
      </w:pPr>
      <w:r>
        <w:t>Hash SHA-256, data de recebimento, usuário responsável e origem.</w:t>
      </w:r>
    </w:p>
    <w:p>
      <w:pPr>
        <w:pStyle w:val="ListBullet"/>
      </w:pPr>
      <w:r>
        <w:t>OCR apenas como representação derivada; nunca substituir silenciosamente o original.</w:t>
      </w:r>
    </w:p>
    <w:p>
      <w:pPr>
        <w:pStyle w:val="ListBullet"/>
      </w:pPr>
      <w:r>
        <w:t>Extração de artigos, tabelas, anexos, assinaturas e referências cruzadas.</w:t>
      </w:r>
    </w:p>
    <w:p>
      <w:pPr>
        <w:pStyle w:val="ListBullet"/>
      </w:pPr>
      <w:r>
        <w:t>Status: rascunho → em revisão → homologado → publicado → substituído/revogado.</w:t>
      </w:r>
    </w:p>
    <w:p>
      <w:pPr>
        <w:pStyle w:val="ListBullet"/>
      </w:pPr>
      <w:r>
        <w:t>Vigência com início e fim; suporte a efeito retroativo apenas quando documentado.</w:t>
      </w:r>
    </w:p>
    <w:p>
      <w:pPr>
        <w:pStyle w:val="Heading2"/>
      </w:pPr>
      <w:r>
        <w:t>29.6 Motor jurídico municipal e vigência</w:t>
      </w:r>
    </w:p>
    <w:p>
      <w:r>
        <w:t>O módulo deve transformar o acervo legal em um grafo temporal. Plano Diretor, lei de zoneamento, código de obras, decretos regulamentadores e anexos devem ser ligados por relações como ALTERA, REGULAMENTA, REVOGA, SUBSTITUI, EXCEPCIONA e POSSUI_ANEXO.</w:t>
      </w:r>
    </w:p>
    <w:p>
      <w:pPr>
        <w:pStyle w:val="ListBullet"/>
      </w:pPr>
      <w:r>
        <w:t>Responder “qual norma vale hoje?” e “qual norma valia em 15/03/2023?”.</w:t>
      </w:r>
    </w:p>
    <w:p>
      <w:pPr>
        <w:pStyle w:val="ListBullet"/>
      </w:pPr>
      <w:r>
        <w:t>Localizar artigo, inciso, tabela e mapa que sustentam cada parâmetro.</w:t>
      </w:r>
    </w:p>
    <w:p>
      <w:pPr>
        <w:pStyle w:val="ListBullet"/>
      </w:pPr>
      <w:r>
        <w:t>Detectar lei nova com mapa antigo ainda publicado e abrir alerta de inconsistência.</w:t>
      </w:r>
    </w:p>
    <w:p>
      <w:pPr>
        <w:pStyle w:val="ListBullet"/>
      </w:pPr>
      <w:r>
        <w:t>Nunca inferir revogação total apenas por semelhança textual.</w:t>
      </w:r>
    </w:p>
    <w:p>
      <w:pPr>
        <w:pStyle w:val="ListBullet"/>
      </w:pPr>
      <w:r>
        <w:t>Permitir nota técnica da Procuradoria sem confundi-la com norma geral.</w:t>
      </w:r>
    </w:p>
    <w:p>
      <w:pPr>
        <w:pStyle w:val="Heading2"/>
      </w:pPr>
      <w:r>
        <w:t>29.7 Cadastro Territorial Multifinalitário (CTM)</w:t>
      </w:r>
    </w:p>
    <w:p>
      <w:r>
        <w:t>O CTM deve ser o núcleo geométrico municipal baseado na parcela, conectado aos cadastros temáticos. As diretrizes nacionais atuais são aprovadas pela Portaria MDR nº 3.242/2022 [R80].</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304"/>
            <w:vAlign w:val="center"/>
          </w:tcPr>
          <w:p>
            <w:r>
              <w:rPr>
                <w:b/>
              </w:rPr>
              <w:t>Objeto CTM</w:t>
            </w:r>
          </w:p>
        </w:tc>
        <w:tc>
          <w:tcPr>
            <w:tcW w:type="dxa" w:w="7488"/>
            <w:vAlign w:val="center"/>
          </w:tcPr>
          <w:p>
            <w:r>
              <w:rPr>
                <w:b/>
              </w:rPr>
              <w:t>Campos essenciais</w:t>
            </w:r>
          </w:p>
        </w:tc>
      </w:tr>
      <w:tr>
        <w:trPr>
          <w:cantSplit/>
        </w:trPr>
        <w:tc>
          <w:tcPr>
            <w:tcW w:type="dxa" w:w="2304"/>
            <w:vAlign w:val="top"/>
          </w:tcPr>
          <w:p>
            <w:r>
              <w:t>Parcela cadastral</w:t>
            </w:r>
          </w:p>
        </w:tc>
        <w:tc>
          <w:tcPr>
            <w:tcW w:type="dxa" w:w="7488"/>
            <w:vAlign w:val="top"/>
          </w:tcPr>
          <w:p>
            <w:r>
              <w:t>ID municipal, geometria, área, situação, origem, data de levantamento.</w:t>
            </w:r>
          </w:p>
        </w:tc>
      </w:tr>
      <w:tr>
        <w:trPr>
          <w:cantSplit/>
        </w:trPr>
        <w:tc>
          <w:tcPr>
            <w:tcW w:type="dxa" w:w="2304"/>
            <w:vAlign w:val="top"/>
          </w:tcPr>
          <w:p>
            <w:r>
              <w:t>Quadra / setor</w:t>
            </w:r>
          </w:p>
        </w:tc>
        <w:tc>
          <w:tcPr>
            <w:tcW w:type="dxa" w:w="7488"/>
            <w:vAlign w:val="top"/>
          </w:tcPr>
          <w:p>
            <w:r>
              <w:t>Código, geometria, hierarquia territorial e vínculo fiscal.</w:t>
            </w:r>
          </w:p>
        </w:tc>
      </w:tr>
      <w:tr>
        <w:trPr>
          <w:cantSplit/>
        </w:trPr>
        <w:tc>
          <w:tcPr>
            <w:tcW w:type="dxa" w:w="2304"/>
            <w:vAlign w:val="top"/>
          </w:tcPr>
          <w:p>
            <w:r>
              <w:t>Unidade imobiliária</w:t>
            </w:r>
          </w:p>
        </w:tc>
        <w:tc>
          <w:tcPr>
            <w:tcW w:type="dxa" w:w="7488"/>
            <w:vAlign w:val="top"/>
          </w:tcPr>
          <w:p>
            <w:r>
              <w:t>Inscrição, CIB quando disponível, fração/unidade, uso e situação cadastral.</w:t>
            </w:r>
          </w:p>
        </w:tc>
      </w:tr>
      <w:tr>
        <w:trPr>
          <w:cantSplit/>
        </w:trPr>
        <w:tc>
          <w:tcPr>
            <w:tcW w:type="dxa" w:w="2304"/>
            <w:vAlign w:val="top"/>
          </w:tcPr>
          <w:p>
            <w:r>
              <w:t>Edificação</w:t>
            </w:r>
          </w:p>
        </w:tc>
        <w:tc>
          <w:tcPr>
            <w:tcW w:type="dxa" w:w="7488"/>
            <w:vAlign w:val="top"/>
          </w:tcPr>
          <w:p>
            <w:r>
              <w:t>Footprint, área construída, pavimentos, tipologia, padrão, ano e regularidade conhecida.</w:t>
            </w:r>
          </w:p>
        </w:tc>
      </w:tr>
      <w:tr>
        <w:trPr>
          <w:cantSplit/>
        </w:trPr>
        <w:tc>
          <w:tcPr>
            <w:tcW w:type="dxa" w:w="2304"/>
            <w:vAlign w:val="top"/>
          </w:tcPr>
          <w:p>
            <w:r>
              <w:t>Logradouro / endereço</w:t>
            </w:r>
          </w:p>
        </w:tc>
        <w:tc>
          <w:tcPr>
            <w:tcW w:type="dxa" w:w="7488"/>
            <w:vAlign w:val="top"/>
          </w:tcPr>
          <w:p>
            <w:r>
              <w:t>Código, nome oficial, numeração, CEP quando aplicável e geometria.</w:t>
            </w:r>
          </w:p>
        </w:tc>
      </w:tr>
      <w:tr>
        <w:trPr>
          <w:cantSplit/>
        </w:trPr>
        <w:tc>
          <w:tcPr>
            <w:tcW w:type="dxa" w:w="2304"/>
            <w:vAlign w:val="top"/>
          </w:tcPr>
          <w:p>
            <w:r>
              <w:t>Cadastro temático</w:t>
            </w:r>
          </w:p>
        </w:tc>
        <w:tc>
          <w:tcPr>
            <w:tcW w:type="dxa" w:w="7488"/>
            <w:vAlign w:val="top"/>
          </w:tcPr>
          <w:p>
            <w:r>
              <w:t>Zoneamento, risco, infraestrutura, patrimônio, ambiente, tributação, serviços.</w:t>
            </w:r>
          </w:p>
        </w:tc>
      </w:tr>
      <w:tr>
        <w:trPr>
          <w:cantSplit/>
        </w:trPr>
        <w:tc>
          <w:tcPr>
            <w:tcW w:type="dxa" w:w="2304"/>
            <w:vAlign w:val="top"/>
          </w:tcPr>
          <w:p>
            <w:r>
              <w:t>Histórico</w:t>
            </w:r>
          </w:p>
        </w:tc>
        <w:tc>
          <w:tcPr>
            <w:tcW w:type="dxa" w:w="7488"/>
            <w:vAlign w:val="top"/>
          </w:tcPr>
          <w:p>
            <w:r>
              <w:t>Desmembramentos, remembramentos, alterações de área, renumerações e vínculos anteriores.</w:t>
            </w:r>
          </w:p>
        </w:tc>
      </w:tr>
    </w:tbl>
    <w:p/>
    <w:p>
      <w:r>
        <w:t>O sistema deve manter identificadores estáveis e relações de linhagem quando uma parcela é desmembrada, remembrada ou substituída.</w:t>
      </w:r>
    </w:p>
    <w:p>
      <w:pPr>
        <w:pStyle w:val="Heading2"/>
      </w:pPr>
      <w:r>
        <w:t>29.8 SINTER e Cadastro Imobiliário Brasileiro (CIB)</w:t>
      </w:r>
    </w:p>
    <w:p>
      <w:r>
        <w:t>O módulo deve incluir um conector SINTER/CIB. No cadastro urbano, a prefeitura é a origem dos dados enviados ao SINTER para atribuição do CIB; o fluxo oficial envolve adesão, preparação, testes, produção, internalização do CIB e atualização continuada [R81][R82].</w:t>
      </w:r>
    </w:p>
    <w:p>
      <w:pPr>
        <w:pStyle w:val="ListBullet"/>
      </w:pPr>
      <w:r>
        <w:t>Validador pré-envio segundo o Manual Operacional do SINTER.</w:t>
      </w:r>
    </w:p>
    <w:p>
      <w:pPr>
        <w:pStyle w:val="ListBullet"/>
      </w:pPr>
      <w:r>
        <w:t>Ambiente de teste separado de produção; CIB gerado em teste nunca entra no cadastro oficial.</w:t>
      </w:r>
    </w:p>
    <w:p>
      <w:pPr>
        <w:pStyle w:val="ListBullet"/>
      </w:pPr>
      <w:r>
        <w:t>Fila de inclusões, alterações, desativações e reativações.</w:t>
      </w:r>
    </w:p>
    <w:p>
      <w:pPr>
        <w:pStyle w:val="ListBullet"/>
      </w:pPr>
      <w:r>
        <w:t>Recepção/internalização do CIB na base municipal.</w:t>
      </w:r>
    </w:p>
    <w:p>
      <w:pPr>
        <w:pStyle w:val="ListBullet"/>
      </w:pPr>
      <w:r>
        <w:t>Reconciliação entre inscrição municipal, parcela CTM, unidade imobiliária e CIB.</w:t>
      </w:r>
    </w:p>
    <w:p>
      <w:pPr>
        <w:pStyle w:val="ListBullet"/>
      </w:pPr>
      <w:r>
        <w:t>Painel de pendências, rejeições e divergências.</w:t>
      </w:r>
    </w:p>
    <w:p>
      <w:pPr>
        <w:pStyle w:val="ListBullet"/>
      </w:pPr>
      <w:r>
        <w:t>Log de transmissões e comprovantes sem expor dados protegidos.</w:t>
      </w:r>
    </w:p>
    <w:p>
      <w:r>
        <w:t>Contexto de implantação em agosto de 2026: a Receita Federal informa adoção do CIB para capitais e DF a partir de janeiro de 2026 e para os demais municípios a partir de janeiro de 2027 [R82]. O produto deve tratar datas e obrigações como configuração versionada, não como regra fixa em código.</w:t>
      </w:r>
    </w:p>
    <w:p>
      <w:pPr>
        <w:pStyle w:val="Heading2"/>
      </w:pPr>
      <w:r>
        <w:t>29.9 Cadastro fiscal, IPTU, ITBI, PGV e taxas</w:t>
      </w:r>
    </w:p>
    <w:p>
      <w:r>
        <w:t>A prefeitura pode integrar o cadastro fiscal e os modelos de cálculo, mas o módulo deve separar informação do imóvel de informação do contribuinte. Dados pessoais, débitos individualizados e informações protegidas por sigilo fiscal não devem ser publicados no LoteDiretor apenas por estarem no sistema.</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016"/>
            <w:vAlign w:val="center"/>
          </w:tcPr>
          <w:p>
            <w:r>
              <w:rPr>
                <w:b/>
              </w:rPr>
              <w:t>Bloco</w:t>
            </w:r>
          </w:p>
        </w:tc>
        <w:tc>
          <w:tcPr>
            <w:tcW w:type="dxa" w:w="7776"/>
            <w:vAlign w:val="center"/>
          </w:tcPr>
          <w:p>
            <w:r>
              <w:rPr>
                <w:b/>
              </w:rPr>
              <w:t>O que armazenar / calcular</w:t>
            </w:r>
          </w:p>
        </w:tc>
      </w:tr>
      <w:tr>
        <w:trPr>
          <w:cantSplit/>
        </w:trPr>
        <w:tc>
          <w:tcPr>
            <w:tcW w:type="dxa" w:w="2016"/>
            <w:vAlign w:val="top"/>
          </w:tcPr>
          <w:p>
            <w:r>
              <w:t>IPTU</w:t>
            </w:r>
          </w:p>
        </w:tc>
        <w:tc>
          <w:tcPr>
            <w:tcW w:type="dxa" w:w="7776"/>
            <w:vAlign w:val="top"/>
          </w:tcPr>
          <w:p>
            <w:r>
              <w:t>Inscrição, exercício, área terreno/construção, padrão, uso, valor venal, alíquota, isenção e fórmula vigente.</w:t>
            </w:r>
          </w:p>
        </w:tc>
      </w:tr>
      <w:tr>
        <w:trPr>
          <w:cantSplit/>
        </w:trPr>
        <w:tc>
          <w:tcPr>
            <w:tcW w:type="dxa" w:w="2016"/>
            <w:vAlign w:val="top"/>
          </w:tcPr>
          <w:p>
            <w:r>
              <w:t>PGV</w:t>
            </w:r>
          </w:p>
        </w:tc>
        <w:tc>
          <w:tcPr>
            <w:tcW w:type="dxa" w:w="7776"/>
            <w:vAlign w:val="top"/>
          </w:tcPr>
          <w:p>
            <w:r>
              <w:t>Faces/logradouros/zonas de valor, fator localização, padrão construtivo, fatores corretivos e vigência.</w:t>
            </w:r>
          </w:p>
        </w:tc>
      </w:tr>
      <w:tr>
        <w:trPr>
          <w:cantSplit/>
        </w:trPr>
        <w:tc>
          <w:tcPr>
            <w:tcW w:type="dxa" w:w="2016"/>
            <w:vAlign w:val="top"/>
          </w:tcPr>
          <w:p>
            <w:r>
              <w:t>ITBI</w:t>
            </w:r>
          </w:p>
        </w:tc>
        <w:tc>
          <w:tcPr>
            <w:tcW w:type="dxa" w:w="7776"/>
            <w:vAlign w:val="top"/>
          </w:tcPr>
          <w:p>
            <w:r>
              <w:t>Regras, base de cálculo, alíquota, isenções/imunidades e referência temporal.</w:t>
            </w:r>
          </w:p>
        </w:tc>
      </w:tr>
      <w:tr>
        <w:trPr>
          <w:cantSplit/>
        </w:trPr>
        <w:tc>
          <w:tcPr>
            <w:tcW w:type="dxa" w:w="2016"/>
            <w:vAlign w:val="top"/>
          </w:tcPr>
          <w:p>
            <w:r>
              <w:t>Taxas urbanísticas</w:t>
            </w:r>
          </w:p>
        </w:tc>
        <w:tc>
          <w:tcPr>
            <w:tcW w:type="dxa" w:w="7776"/>
            <w:vAlign w:val="top"/>
          </w:tcPr>
          <w:p>
            <w:r>
              <w:t>Análise, alvará, licenças, ocupação, publicidade e outras taxas parametrizadas.</w:t>
            </w:r>
          </w:p>
        </w:tc>
      </w:tr>
      <w:tr>
        <w:trPr>
          <w:cantSplit/>
        </w:trPr>
        <w:tc>
          <w:tcPr>
            <w:tcW w:type="dxa" w:w="2016"/>
            <w:vAlign w:val="top"/>
          </w:tcPr>
          <w:p>
            <w:r>
              <w:t>Simulador</w:t>
            </w:r>
          </w:p>
        </w:tc>
        <w:tc>
          <w:tcPr>
            <w:tcW w:type="dxa" w:w="7776"/>
            <w:vAlign w:val="top"/>
          </w:tcPr>
          <w:p>
            <w:r>
              <w:t>Cálculo explicável com memória de cálculo e versão da legislação tributária.</w:t>
            </w:r>
          </w:p>
        </w:tc>
      </w:tr>
      <w:tr>
        <w:trPr>
          <w:cantSplit/>
        </w:trPr>
        <w:tc>
          <w:tcPr>
            <w:tcW w:type="dxa" w:w="2016"/>
            <w:vAlign w:val="top"/>
          </w:tcPr>
          <w:p>
            <w:r>
              <w:t>Privacidade</w:t>
            </w:r>
          </w:p>
        </w:tc>
        <w:tc>
          <w:tcPr>
            <w:tcW w:type="dxa" w:w="7776"/>
            <w:vAlign w:val="top"/>
          </w:tcPr>
          <w:p>
            <w:r>
              <w:t>Contribuinte, CPF/CNPJ, débitos e processos ficam em escopo restrito conforme base legal e perfil.</w:t>
            </w:r>
          </w:p>
        </w:tc>
      </w:tr>
    </w:tbl>
    <w:p/>
    <w:p>
      <w:pPr>
        <w:pStyle w:val="Heading2"/>
      </w:pPr>
      <w:r>
        <w:t>29.10 Matrícula, cartório e situação registral</w:t>
      </w:r>
    </w:p>
    <w:p>
      <w:r>
        <w:t>A prefeitura não deve ser apresentada como autoridade da matrícula. O módulo pode manter referência de cartório, número de matrícula/transcrição, CIB e documentos registrais recebidos legitimamente, mas a certidão registral oficial continua vinculada ao serviço de registro competente.</w:t>
      </w:r>
    </w:p>
    <w:p>
      <w:pPr>
        <w:pStyle w:val="ListBullet"/>
      </w:pPr>
      <w:r>
        <w:t>Campo de referência de matrícula/cartório com origem e data.</w:t>
      </w:r>
    </w:p>
    <w:p>
      <w:pPr>
        <w:pStyle w:val="ListBullet"/>
      </w:pPr>
      <w:r>
        <w:t>Vínculo probabilístico ou confirmado entre matrícula e parcela, sempre com score/evidência.</w:t>
      </w:r>
    </w:p>
    <w:p>
      <w:pPr>
        <w:pStyle w:val="ListBullet"/>
      </w:pPr>
      <w:r>
        <w:t>Upload restrito de certidões por usuário autorizado, criptografado e não público por padrão.</w:t>
      </w:r>
    </w:p>
    <w:p>
      <w:pPr>
        <w:pStyle w:val="ListBullet"/>
      </w:pPr>
      <w:r>
        <w:t>Conector futuro com serviços registrais autorizados; nunca scraping de área autenticada.</w:t>
      </w:r>
    </w:p>
    <w:p>
      <w:pPr>
        <w:pStyle w:val="ListBullet"/>
      </w:pPr>
      <w:r>
        <w:t>Divergência entre área cadastral municipal e área registral deve gerar alerta, não sobrescrita automática.</w:t>
      </w:r>
    </w:p>
    <w:p>
      <w:pPr>
        <w:pStyle w:val="Heading2"/>
      </w:pPr>
      <w:r>
        <w:t>29.11 Planejamento urbano e GIS oficial</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1944"/>
            <w:vAlign w:val="center"/>
          </w:tcPr>
          <w:p>
            <w:r>
              <w:rPr>
                <w:b/>
              </w:rPr>
              <w:t>Tema</w:t>
            </w:r>
          </w:p>
        </w:tc>
        <w:tc>
          <w:tcPr>
            <w:tcW w:type="dxa" w:w="7848"/>
            <w:vAlign w:val="center"/>
          </w:tcPr>
          <w:p>
            <w:r>
              <w:rPr>
                <w:b/>
              </w:rPr>
              <w:t>Camadas municipais que podem ser publicadas</w:t>
            </w:r>
          </w:p>
        </w:tc>
      </w:tr>
      <w:tr>
        <w:trPr>
          <w:cantSplit/>
        </w:trPr>
        <w:tc>
          <w:tcPr>
            <w:tcW w:type="dxa" w:w="1944"/>
            <w:vAlign w:val="top"/>
          </w:tcPr>
          <w:p>
            <w:r>
              <w:t>Ordenamento</w:t>
            </w:r>
          </w:p>
        </w:tc>
        <w:tc>
          <w:tcPr>
            <w:tcW w:type="dxa" w:w="7848"/>
            <w:vAlign w:val="top"/>
          </w:tcPr>
          <w:p>
            <w:r>
              <w:t>Macrozonas, zonas, eixos, centralidades, áreas de expansão, perímetro urbano.</w:t>
            </w:r>
          </w:p>
        </w:tc>
      </w:tr>
      <w:tr>
        <w:trPr>
          <w:cantSplit/>
        </w:trPr>
        <w:tc>
          <w:tcPr>
            <w:tcW w:type="dxa" w:w="1944"/>
            <w:vAlign w:val="top"/>
          </w:tcPr>
          <w:p>
            <w:r>
              <w:t>Instrumentos</w:t>
            </w:r>
          </w:p>
        </w:tc>
        <w:tc>
          <w:tcPr>
            <w:tcW w:type="dxa" w:w="7848"/>
            <w:vAlign w:val="top"/>
          </w:tcPr>
          <w:p>
            <w:r>
              <w:t>ZEIS, OUC, outorga, TDC, preempção, PEUC/IPTU progressivo, consórcios e áreas especiais.</w:t>
            </w:r>
          </w:p>
        </w:tc>
      </w:tr>
      <w:tr>
        <w:trPr>
          <w:cantSplit/>
        </w:trPr>
        <w:tc>
          <w:tcPr>
            <w:tcW w:type="dxa" w:w="1944"/>
            <w:vAlign w:val="top"/>
          </w:tcPr>
          <w:p>
            <w:r>
              <w:t>Parcelamento</w:t>
            </w:r>
          </w:p>
        </w:tc>
        <w:tc>
          <w:tcPr>
            <w:tcW w:type="dxa" w:w="7848"/>
            <w:vAlign w:val="top"/>
          </w:tcPr>
          <w:p>
            <w:r>
              <w:t>Lote mínimo, testada, sistema viário, áreas públicas, loteamentos aprovados.</w:t>
            </w:r>
          </w:p>
        </w:tc>
      </w:tr>
      <w:tr>
        <w:trPr>
          <w:cantSplit/>
        </w:trPr>
        <w:tc>
          <w:tcPr>
            <w:tcW w:type="dxa" w:w="1944"/>
            <w:vAlign w:val="top"/>
          </w:tcPr>
          <w:p>
            <w:r>
              <w:t>Edificação</w:t>
            </w:r>
          </w:p>
        </w:tc>
        <w:tc>
          <w:tcPr>
            <w:tcW w:type="dxa" w:w="7848"/>
            <w:vAlign w:val="top"/>
          </w:tcPr>
          <w:p>
            <w:r>
              <w:t>Gabarito, CA, TO, permeabilidade, recuos, usos, vagas, fachadas, incentivos.</w:t>
            </w:r>
          </w:p>
        </w:tc>
      </w:tr>
      <w:tr>
        <w:trPr>
          <w:cantSplit/>
        </w:trPr>
        <w:tc>
          <w:tcPr>
            <w:tcW w:type="dxa" w:w="1944"/>
            <w:vAlign w:val="top"/>
          </w:tcPr>
          <w:p>
            <w:r>
              <w:t>Patrimônio</w:t>
            </w:r>
          </w:p>
        </w:tc>
        <w:tc>
          <w:tcPr>
            <w:tcW w:type="dxa" w:w="7848"/>
            <w:vAlign w:val="top"/>
          </w:tcPr>
          <w:p>
            <w:r>
              <w:t>Bens tombados, áreas envoltórias, inventários e paisagem cultural municipal.</w:t>
            </w:r>
          </w:p>
        </w:tc>
      </w:tr>
      <w:tr>
        <w:trPr>
          <w:cantSplit/>
        </w:trPr>
        <w:tc>
          <w:tcPr>
            <w:tcW w:type="dxa" w:w="1944"/>
            <w:vAlign w:val="top"/>
          </w:tcPr>
          <w:p>
            <w:r>
              <w:t>Risco</w:t>
            </w:r>
          </w:p>
        </w:tc>
        <w:tc>
          <w:tcPr>
            <w:tcW w:type="dxa" w:w="7848"/>
            <w:vAlign w:val="top"/>
          </w:tcPr>
          <w:p>
            <w:r>
              <w:t>Inundação, deslizamento, drenagem crítica, áreas impróprias e cartas municipais.</w:t>
            </w:r>
          </w:p>
        </w:tc>
      </w:tr>
      <w:tr>
        <w:trPr>
          <w:cantSplit/>
        </w:trPr>
        <w:tc>
          <w:tcPr>
            <w:tcW w:type="dxa" w:w="1944"/>
            <w:vAlign w:val="top"/>
          </w:tcPr>
          <w:p>
            <w:r>
              <w:t>Ambiente</w:t>
            </w:r>
          </w:p>
        </w:tc>
        <w:tc>
          <w:tcPr>
            <w:tcW w:type="dxa" w:w="7848"/>
            <w:vAlign w:val="top"/>
          </w:tcPr>
          <w:p>
            <w:r>
              <w:t>Parques, APP mapeada local, arborização, nascentes, áreas verdes e licenças municipais.</w:t>
            </w:r>
          </w:p>
        </w:tc>
      </w:tr>
      <w:tr>
        <w:trPr>
          <w:cantSplit/>
        </w:trPr>
        <w:tc>
          <w:tcPr>
            <w:tcW w:type="dxa" w:w="1944"/>
            <w:vAlign w:val="top"/>
          </w:tcPr>
          <w:p>
            <w:r>
              <w:t>Mobilidade</w:t>
            </w:r>
          </w:p>
        </w:tc>
        <w:tc>
          <w:tcPr>
            <w:tcW w:type="dxa" w:w="7848"/>
            <w:vAlign w:val="top"/>
          </w:tcPr>
          <w:p>
            <w:r>
              <w:t>Hierarquia viária, transporte coletivo, ciclovias, calçadas, polos geradores e estacionamentos.</w:t>
            </w:r>
          </w:p>
        </w:tc>
      </w:tr>
    </w:tbl>
    <w:p/>
    <w:p>
      <w:r>
        <w:t>Cada camada deve ter metadados mínimos: órgão responsável, lei/ato associado, escala, CRS, data, atualização, licença de uso, qualidade, status e campo de contato.</w:t>
      </w:r>
    </w:p>
    <w:p>
      <w:pPr>
        <w:pStyle w:val="Heading2"/>
      </w:pPr>
      <w:r>
        <w:t>29.12 Georreferenciamento de mapas antigos e anexos em PDF</w:t>
      </w:r>
    </w:p>
    <w:p>
      <w:r>
        <w:t>Muitos municípios ainda possuem mapas normativos somente em PDF ou imagem. O módulo deve permitir georreferenciar esses anexos, registrar pontos de controle, erro residual, operador e método; depois vetorizar feições com revisão humana.</w:t>
      </w:r>
    </w:p>
    <w:p>
      <w:pPr>
        <w:pStyle w:val="ListBullet"/>
      </w:pPr>
      <w:r>
        <w:t>Nunca marcar vetor derivado como “geometria oficial” sem homologação municipal.</w:t>
      </w:r>
    </w:p>
    <w:p>
      <w:pPr>
        <w:pStyle w:val="ListBullet"/>
      </w:pPr>
      <w:r>
        <w:t>Guardar raster original, arquivo georreferenciado, vetorização e versão homologada como objetos distintos.</w:t>
      </w:r>
    </w:p>
    <w:p>
      <w:pPr>
        <w:pStyle w:val="ListBullet"/>
      </w:pPr>
      <w:r>
        <w:t>Exibir no relatório a escala e a precisão de origem.</w:t>
      </w:r>
    </w:p>
    <w:p>
      <w:pPr>
        <w:pStyle w:val="Heading2"/>
      </w:pPr>
      <w:r>
        <w:t>29.13 Obras, licenciamento e processos urbanísticos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592"/>
            <w:vAlign w:val="center"/>
          </w:tcPr>
          <w:p>
            <w:r>
              <w:rPr>
                <w:b/>
              </w:rPr>
              <w:t>Processo / serviço</w:t>
            </w:r>
          </w:p>
        </w:tc>
        <w:tc>
          <w:tcPr>
            <w:tcW w:type="dxa" w:w="7200"/>
            <w:vAlign w:val="center"/>
          </w:tcPr>
          <w:p>
            <w:r>
              <w:rPr>
                <w:b/>
              </w:rPr>
              <w:t>Dados e integrações</w:t>
            </w:r>
          </w:p>
        </w:tc>
      </w:tr>
      <w:tr>
        <w:trPr>
          <w:cantSplit/>
        </w:trPr>
        <w:tc>
          <w:tcPr>
            <w:tcW w:type="dxa" w:w="2592"/>
            <w:vAlign w:val="top"/>
          </w:tcPr>
          <w:p>
            <w:r>
              <w:t>Consulta prévia</w:t>
            </w:r>
          </w:p>
        </w:tc>
        <w:tc>
          <w:tcPr>
            <w:tcW w:type="dxa" w:w="7200"/>
            <w:vAlign w:val="top"/>
          </w:tcPr>
          <w:p>
            <w:r>
              <w:t>Uso, parâmetros, restrições e documentos exigidos.</w:t>
            </w:r>
          </w:p>
        </w:tc>
      </w:tr>
      <w:tr>
        <w:trPr>
          <w:cantSplit/>
        </w:trPr>
        <w:tc>
          <w:tcPr>
            <w:tcW w:type="dxa" w:w="2592"/>
            <w:vAlign w:val="top"/>
          </w:tcPr>
          <w:p>
            <w:r>
              <w:t>Alvará de construção</w:t>
            </w:r>
          </w:p>
        </w:tc>
        <w:tc>
          <w:tcPr>
            <w:tcW w:type="dxa" w:w="7200"/>
            <w:vAlign w:val="top"/>
          </w:tcPr>
          <w:p>
            <w:r>
              <w:t>Projeto, responsável técnico, status, área aprovada, datas e condicionantes.</w:t>
            </w:r>
          </w:p>
        </w:tc>
      </w:tr>
      <w:tr>
        <w:trPr>
          <w:cantSplit/>
        </w:trPr>
        <w:tc>
          <w:tcPr>
            <w:tcW w:type="dxa" w:w="2592"/>
            <w:vAlign w:val="top"/>
          </w:tcPr>
          <w:p>
            <w:r>
              <w:t>Habite-se / conclusão</w:t>
            </w:r>
          </w:p>
        </w:tc>
        <w:tc>
          <w:tcPr>
            <w:tcW w:type="dxa" w:w="7200"/>
            <w:vAlign w:val="top"/>
          </w:tcPr>
          <w:p>
            <w:r>
              <w:t>Número, área regularizada, data, unidades e vinculação cadastral.</w:t>
            </w:r>
          </w:p>
        </w:tc>
      </w:tr>
      <w:tr>
        <w:trPr>
          <w:cantSplit/>
        </w:trPr>
        <w:tc>
          <w:tcPr>
            <w:tcW w:type="dxa" w:w="2592"/>
            <w:vAlign w:val="top"/>
          </w:tcPr>
          <w:p>
            <w:r>
              <w:t>Parcelamento</w:t>
            </w:r>
          </w:p>
        </w:tc>
        <w:tc>
          <w:tcPr>
            <w:tcW w:type="dxa" w:w="7200"/>
            <w:vAlign w:val="top"/>
          </w:tcPr>
          <w:p>
            <w:r>
              <w:t>Diretrizes, aprovação, cronograma, garantias, aceite de infraestrutura.</w:t>
            </w:r>
          </w:p>
        </w:tc>
      </w:tr>
      <w:tr>
        <w:trPr>
          <w:cantSplit/>
        </w:trPr>
        <w:tc>
          <w:tcPr>
            <w:tcW w:type="dxa" w:w="2592"/>
            <w:vAlign w:val="top"/>
          </w:tcPr>
          <w:p>
            <w:r>
              <w:t>Desmembramento/remembramento</w:t>
            </w:r>
          </w:p>
        </w:tc>
        <w:tc>
          <w:tcPr>
            <w:tcW w:type="dxa" w:w="7200"/>
            <w:vAlign w:val="top"/>
          </w:tcPr>
          <w:p>
            <w:r>
              <w:t>Parcelas origem/destino, áreas, geometrias e ato de aprovação.</w:t>
            </w:r>
          </w:p>
        </w:tc>
      </w:tr>
      <w:tr>
        <w:trPr>
          <w:cantSplit/>
        </w:trPr>
        <w:tc>
          <w:tcPr>
            <w:tcW w:type="dxa" w:w="2592"/>
            <w:vAlign w:val="top"/>
          </w:tcPr>
          <w:p>
            <w:r>
              <w:t>EIV / RIV</w:t>
            </w:r>
          </w:p>
        </w:tc>
        <w:tc>
          <w:tcPr>
            <w:tcW w:type="dxa" w:w="7200"/>
            <w:vAlign w:val="top"/>
          </w:tcPr>
          <w:p>
            <w:r>
              <w:t>Empreendimento, impactos, medidas mitigadoras, pareceres e deliberação.</w:t>
            </w:r>
          </w:p>
        </w:tc>
      </w:tr>
      <w:tr>
        <w:trPr>
          <w:cantSplit/>
        </w:trPr>
        <w:tc>
          <w:tcPr>
            <w:tcW w:type="dxa" w:w="2592"/>
            <w:vAlign w:val="top"/>
          </w:tcPr>
          <w:p>
            <w:r>
              <w:t>Outorga / instrumentos</w:t>
            </w:r>
          </w:p>
        </w:tc>
        <w:tc>
          <w:tcPr>
            <w:tcW w:type="dxa" w:w="7200"/>
            <w:vAlign w:val="top"/>
          </w:tcPr>
          <w:p>
            <w:r>
              <w:t>Potencial adicional, cálculo, contrapartida, CEPAC quando aplicável.</w:t>
            </w:r>
          </w:p>
        </w:tc>
      </w:tr>
      <w:tr>
        <w:trPr>
          <w:cantSplit/>
        </w:trPr>
        <w:tc>
          <w:tcPr>
            <w:tcW w:type="dxa" w:w="2592"/>
            <w:vAlign w:val="top"/>
          </w:tcPr>
          <w:p>
            <w:r>
              <w:t>Certidões</w:t>
            </w:r>
          </w:p>
        </w:tc>
        <w:tc>
          <w:tcPr>
            <w:tcW w:type="dxa" w:w="7200"/>
            <w:vAlign w:val="top"/>
          </w:tcPr>
          <w:p>
            <w:r>
              <w:t>Uso do solo, numeração, demolição, regularidade e outras certidões municipais.</w:t>
            </w:r>
          </w:p>
        </w:tc>
      </w:tr>
    </w:tbl>
    <w:p/>
    <w:p>
      <w:r>
        <w:t>O módulo pode espelhar ou integrar processos de sistemas existentes. Ele não deve obrigar a prefeitura a abandonar um sistema de protocolo/obras já operacional.</w:t>
      </w:r>
    </w:p>
    <w:p>
      <w:pPr>
        <w:pStyle w:val="Heading2"/>
      </w:pPr>
      <w:r>
        <w:t>29.14 REURB e regularização fundiária</w:t>
      </w:r>
    </w:p>
    <w:p>
      <w:pPr>
        <w:pStyle w:val="ListBullet"/>
      </w:pPr>
      <w:r>
        <w:t>Núcleos urbanos informais e perímetros de intervenção.</w:t>
      </w:r>
    </w:p>
    <w:p>
      <w:pPr>
        <w:pStyle w:val="ListBullet"/>
      </w:pPr>
      <w:r>
        <w:t>Modalidade e fase do processo.</w:t>
      </w:r>
    </w:p>
    <w:p>
      <w:pPr>
        <w:pStyle w:val="ListBullet"/>
      </w:pPr>
      <w:r>
        <w:t>Parcelas, ocupações, áreas públicas e sistema viário.</w:t>
      </w:r>
    </w:p>
    <w:p>
      <w:pPr>
        <w:pStyle w:val="ListBullet"/>
      </w:pPr>
      <w:r>
        <w:t>Projetos, memoriais, cronogramas, aprovações e CRF quando aplicável.</w:t>
      </w:r>
    </w:p>
    <w:p>
      <w:pPr>
        <w:pStyle w:val="ListBullet"/>
      </w:pPr>
      <w:r>
        <w:t>Vínculo com cadastro municipal pós-regularização.</w:t>
      </w:r>
    </w:p>
    <w:p>
      <w:pPr>
        <w:pStyle w:val="ListBullet"/>
      </w:pPr>
      <w:r>
        <w:t>Histórico para evitar apagar a condição anterior do território.</w:t>
      </w:r>
    </w:p>
    <w:p>
      <w:pPr>
        <w:pStyle w:val="Heading2"/>
      </w:pPr>
      <w:r>
        <w:t>29.15 Infraestrutura urbana e concessionárias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160"/>
            <w:vAlign w:val="center"/>
          </w:tcPr>
          <w:p>
            <w:r>
              <w:rPr>
                <w:b/>
              </w:rPr>
              <w:t>Infraestrutura</w:t>
            </w:r>
          </w:p>
        </w:tc>
        <w:tc>
          <w:tcPr>
            <w:tcW w:type="dxa" w:w="7632"/>
            <w:vAlign w:val="center"/>
          </w:tcPr>
          <w:p>
            <w:r>
              <w:rPr>
                <w:b/>
              </w:rPr>
              <w:t>Possíveis dados</w:t>
            </w:r>
          </w:p>
        </w:tc>
      </w:tr>
      <w:tr>
        <w:trPr>
          <w:cantSplit/>
        </w:trPr>
        <w:tc>
          <w:tcPr>
            <w:tcW w:type="dxa" w:w="2160"/>
            <w:vAlign w:val="top"/>
          </w:tcPr>
          <w:p>
            <w:r>
              <w:t>Água / esgoto</w:t>
            </w:r>
          </w:p>
        </w:tc>
        <w:tc>
          <w:tcPr>
            <w:tcW w:type="dxa" w:w="7632"/>
            <w:vAlign w:val="top"/>
          </w:tcPr>
          <w:p>
            <w:r>
              <w:t>Cobertura, rede pública quando licenciada, pontos de conexão, obras e capacidade indicativa.</w:t>
            </w:r>
          </w:p>
        </w:tc>
      </w:tr>
      <w:tr>
        <w:trPr>
          <w:cantSplit/>
        </w:trPr>
        <w:tc>
          <w:tcPr>
            <w:tcW w:type="dxa" w:w="2160"/>
            <w:vAlign w:val="top"/>
          </w:tcPr>
          <w:p>
            <w:r>
              <w:t>Drenagem</w:t>
            </w:r>
          </w:p>
        </w:tc>
        <w:tc>
          <w:tcPr>
            <w:tcW w:type="dxa" w:w="7632"/>
            <w:vAlign w:val="top"/>
          </w:tcPr>
          <w:p>
            <w:r>
              <w:t>Galerias, bocas de lobo, bacias, reservatórios, pontos críticos e projetos.</w:t>
            </w:r>
          </w:p>
        </w:tc>
      </w:tr>
      <w:tr>
        <w:trPr>
          <w:cantSplit/>
        </w:trPr>
        <w:tc>
          <w:tcPr>
            <w:tcW w:type="dxa" w:w="2160"/>
            <w:vAlign w:val="top"/>
          </w:tcPr>
          <w:p>
            <w:r>
              <w:t>Energia / iluminação</w:t>
            </w:r>
          </w:p>
        </w:tc>
        <w:tc>
          <w:tcPr>
            <w:tcW w:type="dxa" w:w="7632"/>
            <w:vAlign w:val="top"/>
          </w:tcPr>
          <w:p>
            <w:r>
              <w:t>Iluminação pública, pontos, circuitos municipais; redes da distribuidora via acordo/dados permitidos.</w:t>
            </w:r>
          </w:p>
        </w:tc>
      </w:tr>
      <w:tr>
        <w:trPr>
          <w:cantSplit/>
        </w:trPr>
        <w:tc>
          <w:tcPr>
            <w:tcW w:type="dxa" w:w="2160"/>
            <w:vAlign w:val="top"/>
          </w:tcPr>
          <w:p>
            <w:r>
              <w:t>Gás</w:t>
            </w:r>
          </w:p>
        </w:tc>
        <w:tc>
          <w:tcPr>
            <w:tcW w:type="dxa" w:w="7632"/>
            <w:vAlign w:val="top"/>
          </w:tcPr>
          <w:p>
            <w:r>
              <w:t>Áreas atendidas, rede licenciada/publicável e condicionantes de obra.</w:t>
            </w:r>
          </w:p>
        </w:tc>
      </w:tr>
      <w:tr>
        <w:trPr>
          <w:cantSplit/>
        </w:trPr>
        <w:tc>
          <w:tcPr>
            <w:tcW w:type="dxa" w:w="2160"/>
            <w:vAlign w:val="top"/>
          </w:tcPr>
          <w:p>
            <w:r>
              <w:t>Telecom / fibra</w:t>
            </w:r>
          </w:p>
        </w:tc>
        <w:tc>
          <w:tcPr>
            <w:tcW w:type="dxa" w:w="7632"/>
            <w:vAlign w:val="top"/>
          </w:tcPr>
          <w:p>
            <w:r>
              <w:t>Dutos/postes/áreas de cobertura conforme acordos e limites de publicação.</w:t>
            </w:r>
          </w:p>
        </w:tc>
      </w:tr>
      <w:tr>
        <w:trPr>
          <w:cantSplit/>
        </w:trPr>
        <w:tc>
          <w:tcPr>
            <w:tcW w:type="dxa" w:w="2160"/>
            <w:vAlign w:val="top"/>
          </w:tcPr>
          <w:p>
            <w:r>
              <w:t>Vias</w:t>
            </w:r>
          </w:p>
        </w:tc>
        <w:tc>
          <w:tcPr>
            <w:tcW w:type="dxa" w:w="7632"/>
            <w:vAlign w:val="top"/>
          </w:tcPr>
          <w:p>
            <w:r>
              <w:t>Pavimento, largura, passeio, hierarquia, sentido, restrições e obras.</w:t>
            </w:r>
          </w:p>
        </w:tc>
      </w:tr>
      <w:tr>
        <w:trPr>
          <w:cantSplit/>
        </w:trPr>
        <w:tc>
          <w:tcPr>
            <w:tcW w:type="dxa" w:w="2160"/>
            <w:vAlign w:val="top"/>
          </w:tcPr>
          <w:p>
            <w:r>
              <w:t>Equipamentos</w:t>
            </w:r>
          </w:p>
        </w:tc>
        <w:tc>
          <w:tcPr>
            <w:tcW w:type="dxa" w:w="7632"/>
            <w:vAlign w:val="top"/>
          </w:tcPr>
          <w:p>
            <w:r>
              <w:t>Escolas, saúde, parques, assistência, cultura, esporte e prédios públicos.</w:t>
            </w:r>
          </w:p>
        </w:tc>
      </w:tr>
    </w:tbl>
    <w:p/>
    <w:p>
      <w:r>
        <w:t>Camadas de concessionárias devem conservar direitos de uso e restrições contratuais. O município não pode republicar dado licenciado como open data sem autorização.</w:t>
      </w:r>
    </w:p>
    <w:p>
      <w:pPr>
        <w:pStyle w:val="Heading2"/>
      </w:pPr>
      <w:r>
        <w:t>29.16 Fiscalização, posturas e histórico do imóvel</w:t>
      </w:r>
    </w:p>
    <w:p>
      <w:pPr>
        <w:pStyle w:val="ListBullet"/>
      </w:pPr>
      <w:r>
        <w:t>Autos, embargos, notificações e interdições municipais quando legalmente publicáveis.</w:t>
      </w:r>
    </w:p>
    <w:p>
      <w:pPr>
        <w:pStyle w:val="ListBullet"/>
      </w:pPr>
      <w:r>
        <w:t>Processos de regularização e anistia.</w:t>
      </w:r>
    </w:p>
    <w:p>
      <w:pPr>
        <w:pStyle w:val="ListBullet"/>
      </w:pPr>
      <w:r>
        <w:t>Alvarás e habite-se históricos.</w:t>
      </w:r>
    </w:p>
    <w:p>
      <w:pPr>
        <w:pStyle w:val="ListBullet"/>
      </w:pPr>
      <w:r>
        <w:t>Demolições, reformas e alterações cadastrais.</w:t>
      </w:r>
    </w:p>
    <w:p>
      <w:pPr>
        <w:pStyle w:val="ListBullet"/>
      </w:pPr>
      <w:r>
        <w:t>Licenças de atividade, publicidade e ocupação de logradouro quando relevantes.</w:t>
      </w:r>
    </w:p>
    <w:p>
      <w:pPr>
        <w:pStyle w:val="ListBullet"/>
      </w:pPr>
      <w:r>
        <w:t>Timeline unificada do imóvel, preservando sigilo e base legal.</w:t>
      </w:r>
    </w:p>
    <w:p>
      <w:pPr>
        <w:pStyle w:val="Heading2"/>
      </w:pPr>
      <w:r>
        <w:t>29.17 Publicação oficial e níveis de visibilidade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1728"/>
            <w:vAlign w:val="center"/>
          </w:tcPr>
          <w:p>
            <w:r>
              <w:rPr>
                <w:b/>
              </w:rPr>
              <w:t>Nível</w:t>
            </w:r>
          </w:p>
        </w:tc>
        <w:tc>
          <w:tcPr>
            <w:tcW w:type="dxa" w:w="4032"/>
            <w:vAlign w:val="center"/>
          </w:tcPr>
          <w:p>
            <w:r>
              <w:rPr>
                <w:b/>
              </w:rPr>
              <w:t>Exemplos</w:t>
            </w:r>
          </w:p>
        </w:tc>
        <w:tc>
          <w:tcPr>
            <w:tcW w:type="dxa" w:w="5472"/>
            <w:vAlign w:val="center"/>
          </w:tcPr>
          <w:p>
            <w:r>
              <w:rPr>
                <w:b/>
              </w:rPr>
              <w:t>Destino</w:t>
            </w:r>
          </w:p>
        </w:tc>
      </w:tr>
      <w:tr>
        <w:trPr>
          <w:cantSplit/>
        </w:trPr>
        <w:tc>
          <w:tcPr>
            <w:tcW w:type="dxa" w:w="1728"/>
            <w:vAlign w:val="top"/>
          </w:tcPr>
          <w:p>
            <w:r>
              <w:t>PÚBLICO</w:t>
            </w:r>
          </w:p>
        </w:tc>
        <w:tc>
          <w:tcPr>
            <w:tcW w:type="dxa" w:w="4032"/>
            <w:vAlign w:val="top"/>
          </w:tcPr>
          <w:p>
            <w:r>
              <w:t>Leis, mapas oficiais, parâmetros, dados abertos, serviços e metadados</w:t>
            </w:r>
          </w:p>
        </w:tc>
        <w:tc>
          <w:tcPr>
            <w:tcW w:type="dxa" w:w="5472"/>
            <w:vAlign w:val="top"/>
          </w:tcPr>
          <w:p>
            <w:r>
              <w:t>LoteDiretor, APIs e portal público.</w:t>
            </w:r>
          </w:p>
        </w:tc>
      </w:tr>
      <w:tr>
        <w:trPr>
          <w:cantSplit/>
        </w:trPr>
        <w:tc>
          <w:tcPr>
            <w:tcW w:type="dxa" w:w="1728"/>
            <w:vAlign w:val="top"/>
          </w:tcPr>
          <w:p>
            <w:r>
              <w:t>INSTITUCIONAL</w:t>
            </w:r>
          </w:p>
        </w:tc>
        <w:tc>
          <w:tcPr>
            <w:tcW w:type="dxa" w:w="4032"/>
            <w:vAlign w:val="top"/>
          </w:tcPr>
          <w:p>
            <w:r>
              <w:t>Bases de trabalho, minutas, qualidade, pendências e integrações</w:t>
            </w:r>
          </w:p>
        </w:tc>
        <w:tc>
          <w:tcPr>
            <w:tcW w:type="dxa" w:w="5472"/>
            <w:vAlign w:val="top"/>
          </w:tcPr>
          <w:p>
            <w:r>
              <w:t>Somente usuários municipais autorizados.</w:t>
            </w:r>
          </w:p>
        </w:tc>
      </w:tr>
      <w:tr>
        <w:trPr>
          <w:cantSplit/>
        </w:trPr>
        <w:tc>
          <w:tcPr>
            <w:tcW w:type="dxa" w:w="1728"/>
            <w:vAlign w:val="top"/>
          </w:tcPr>
          <w:p>
            <w:r>
              <w:t>RESTRITO</w:t>
            </w:r>
          </w:p>
        </w:tc>
        <w:tc>
          <w:tcPr>
            <w:tcW w:type="dxa" w:w="4032"/>
            <w:vAlign w:val="top"/>
          </w:tcPr>
          <w:p>
            <w:r>
              <w:t>Dados pessoais, fiscais protegidos, documentos sensíveis, chaves e credenciais</w:t>
            </w:r>
          </w:p>
        </w:tc>
        <w:tc>
          <w:tcPr>
            <w:tcW w:type="dxa" w:w="5472"/>
            <w:vAlign w:val="top"/>
          </w:tcPr>
          <w:p>
            <w:r>
              <w:t>Perfis específicos; criptografia e auditoria.</w:t>
            </w:r>
          </w:p>
        </w:tc>
      </w:tr>
      <w:tr>
        <w:trPr>
          <w:cantSplit/>
        </w:trPr>
        <w:tc>
          <w:tcPr>
            <w:tcW w:type="dxa" w:w="1728"/>
            <w:vAlign w:val="top"/>
          </w:tcPr>
          <w:p>
            <w:r>
              <w:t>DERIVADO</w:t>
            </w:r>
          </w:p>
        </w:tc>
        <w:tc>
          <w:tcPr>
            <w:tcW w:type="dxa" w:w="4032"/>
            <w:vAlign w:val="top"/>
          </w:tcPr>
          <w:p>
            <w:r>
              <w:t>Vetores de mapa, índices, embeddings, cálculos e tiles</w:t>
            </w:r>
          </w:p>
        </w:tc>
        <w:tc>
          <w:tcPr>
            <w:tcW w:type="dxa" w:w="5472"/>
            <w:vAlign w:val="top"/>
          </w:tcPr>
          <w:p>
            <w:r>
              <w:t>Segue automaticamente o nível e licença da fonte de origem.</w:t>
            </w:r>
          </w:p>
        </w:tc>
      </w:tr>
    </w:tbl>
    <w:p/>
    <w:p>
      <w:r>
        <w:t>A Lei de Governo Digital incentiva interoperabilidade e dados abertos, enquanto a LAI exige mecanismos de pesquisa, formatos abertos e integridade para informações públicas; nenhuma dessas regras elimina restrições de sigilo ou proteção de dados [R84][R85].</w:t>
      </w:r>
    </w:p>
    <w:p>
      <w:pPr>
        <w:pStyle w:val="Heading2"/>
      </w:pPr>
      <w:r>
        <w:t>29.18 Selo de oficialidade, qualidade e confiança</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592"/>
            <w:vAlign w:val="center"/>
          </w:tcPr>
          <w:p>
            <w:r>
              <w:rPr>
                <w:b/>
              </w:rPr>
              <w:t>Selo</w:t>
            </w:r>
          </w:p>
        </w:tc>
        <w:tc>
          <w:tcPr>
            <w:tcW w:type="dxa" w:w="7200"/>
            <w:vAlign w:val="center"/>
          </w:tcPr>
          <w:p>
            <w:r>
              <w:rPr>
                <w:b/>
              </w:rPr>
              <w:t>Significado</w:t>
            </w:r>
          </w:p>
        </w:tc>
      </w:tr>
      <w:tr>
        <w:trPr>
          <w:cantSplit/>
        </w:trPr>
        <w:tc>
          <w:tcPr>
            <w:tcW w:type="dxa" w:w="2592"/>
            <w:vAlign w:val="top"/>
          </w:tcPr>
          <w:p>
            <w:r>
              <w:t>MUNICIPAL HOMOLOGADO</w:t>
            </w:r>
          </w:p>
        </w:tc>
        <w:tc>
          <w:tcPr>
            <w:tcW w:type="dxa" w:w="7200"/>
            <w:vAlign w:val="top"/>
          </w:tcPr>
          <w:p>
            <w:r>
              <w:t>Publicado pelo fluxo institucional e validado por perfil competente.</w:t>
            </w:r>
          </w:p>
        </w:tc>
      </w:tr>
      <w:tr>
        <w:trPr>
          <w:cantSplit/>
        </w:trPr>
        <w:tc>
          <w:tcPr>
            <w:tcW w:type="dxa" w:w="2592"/>
            <w:vAlign w:val="top"/>
          </w:tcPr>
          <w:p>
            <w:r>
              <w:t>OFICIAL IMPORTADO</w:t>
            </w:r>
          </w:p>
        </w:tc>
        <w:tc>
          <w:tcPr>
            <w:tcW w:type="dxa" w:w="7200"/>
            <w:vAlign w:val="top"/>
          </w:tcPr>
          <w:p>
            <w:r>
              <w:t>Veio de sistema oficial integrado, com lineage preservado.</w:t>
            </w:r>
          </w:p>
        </w:tc>
      </w:tr>
      <w:tr>
        <w:trPr>
          <w:cantSplit/>
        </w:trPr>
        <w:tc>
          <w:tcPr>
            <w:tcW w:type="dxa" w:w="2592"/>
            <w:vAlign w:val="top"/>
          </w:tcPr>
          <w:p>
            <w:r>
              <w:t>EM REVISÃO</w:t>
            </w:r>
          </w:p>
        </w:tc>
        <w:tc>
          <w:tcPr>
            <w:tcW w:type="dxa" w:w="7200"/>
            <w:vAlign w:val="top"/>
          </w:tcPr>
          <w:p>
            <w:r>
              <w:t>Disponível apenas internamente; não deve alimentar conclusões públicas.</w:t>
            </w:r>
          </w:p>
        </w:tc>
      </w:tr>
      <w:tr>
        <w:trPr>
          <w:cantSplit/>
        </w:trPr>
        <w:tc>
          <w:tcPr>
            <w:tcW w:type="dxa" w:w="2592"/>
            <w:vAlign w:val="top"/>
          </w:tcPr>
          <w:p>
            <w:r>
              <w:t>HISTÓRICO</w:t>
            </w:r>
          </w:p>
        </w:tc>
        <w:tc>
          <w:tcPr>
            <w:tcW w:type="dxa" w:w="7200"/>
            <w:vAlign w:val="top"/>
          </w:tcPr>
          <w:p>
            <w:r>
              <w:t>Versão substituída/revogada preservada para análises temporais.</w:t>
            </w:r>
          </w:p>
        </w:tc>
      </w:tr>
      <w:tr>
        <w:trPr>
          <w:cantSplit/>
        </w:trPr>
        <w:tc>
          <w:tcPr>
            <w:tcW w:type="dxa" w:w="2592"/>
            <w:vAlign w:val="top"/>
          </w:tcPr>
          <w:p>
            <w:r>
              <w:t>DERIVADO</w:t>
            </w:r>
          </w:p>
        </w:tc>
        <w:tc>
          <w:tcPr>
            <w:tcW w:type="dxa" w:w="7200"/>
            <w:vAlign w:val="top"/>
          </w:tcPr>
          <w:p>
            <w:r>
              <w:t>Geometria/texto calculado a partir de fonte oficial; não é o original.</w:t>
            </w:r>
          </w:p>
        </w:tc>
      </w:tr>
      <w:tr>
        <w:trPr>
          <w:cantSplit/>
        </w:trPr>
        <w:tc>
          <w:tcPr>
            <w:tcW w:type="dxa" w:w="2592"/>
            <w:vAlign w:val="top"/>
          </w:tcPr>
          <w:p>
            <w:r>
              <w:t>DIVERGENTE</w:t>
            </w:r>
          </w:p>
        </w:tc>
        <w:tc>
          <w:tcPr>
            <w:tcW w:type="dxa" w:w="7200"/>
            <w:vAlign w:val="top"/>
          </w:tcPr>
          <w:p>
            <w:r>
              <w:t>Conflita com outra fonte ou não passou reconciliação.</w:t>
            </w:r>
          </w:p>
        </w:tc>
      </w:tr>
    </w:tbl>
    <w:p/>
    <w:p>
      <w:pPr>
        <w:pStyle w:val="Heading2"/>
      </w:pPr>
      <w:r>
        <w:t>29.19 Assistente IA exclusivo da Prefeitura</w:t>
      </w:r>
    </w:p>
    <w:p>
      <w:r>
        <w:t>O workspace pode ter um assistente institucional separado do chat público. Ele pesquisa somente dados que o servidor tem autorização para ver e ajuda a localizar normas, comparar versões, revisar cadastros e detectar inconsistências.</w:t>
      </w:r>
    </w:p>
    <w:p>
      <w:pPr>
        <w:pStyle w:val="ListBullet"/>
      </w:pPr>
      <w:r>
        <w:t>“Qual lei alterou o gabarito desta zona e em que data?”</w:t>
      </w:r>
    </w:p>
    <w:p>
      <w:pPr>
        <w:pStyle w:val="ListBullet"/>
      </w:pPr>
      <w:r>
        <w:t>“Liste parcelas sem CIB ou com rejeição no último envio ao SINTER.”</w:t>
      </w:r>
    </w:p>
    <w:p>
      <w:pPr>
        <w:pStyle w:val="ListBullet"/>
      </w:pPr>
      <w:r>
        <w:t>“Quais imóveis tiveram área construída alterada sem processo de habite-se vinculado?”</w:t>
      </w:r>
    </w:p>
    <w:p>
      <w:pPr>
        <w:pStyle w:val="ListBullet"/>
      </w:pPr>
      <w:r>
        <w:t>“Há conflito entre o mapa de zoneamento publicado e o anexo da lei vigente?”</w:t>
      </w:r>
    </w:p>
    <w:p>
      <w:pPr>
        <w:pStyle w:val="ListBullet"/>
      </w:pPr>
      <w:r>
        <w:t>“Mostre os processos de parcelamento cuja geometria não fecha topologicamente.”</w:t>
      </w:r>
    </w:p>
    <w:p>
      <w:pPr>
        <w:pStyle w:val="ListBullet"/>
      </w:pPr>
      <w:r>
        <w:t>“Quais tabelas da PGV estão sem vigência cadastrada?”</w:t>
      </w:r>
    </w:p>
    <w:p>
      <w:r>
        <w:t>A IA não pode promulgar norma, homologar dado, lançar tributo, deferir licença, cancelar processo, alterar cadastro fiscal ou publicar camada por decisão autônoma.</w:t>
      </w:r>
    </w:p>
    <w:p>
      <w:pPr>
        <w:pStyle w:val="Heading2"/>
      </w:pPr>
      <w:r>
        <w:t>29.20 Página operacional da Prefeitura</w:t>
      </w:r>
    </w:p>
    <w:p>
      <w:r>
        <w:t>O workspace municipal deve ser simples o suficiente para uma prefeitura pequena e escalável para capitais.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304"/>
            <w:vAlign w:val="center"/>
          </w:tcPr>
          <w:p>
            <w:r>
              <w:rPr>
                <w:b/>
              </w:rPr>
              <w:t>Área</w:t>
            </w:r>
          </w:p>
        </w:tc>
        <w:tc>
          <w:tcPr>
            <w:tcW w:type="dxa" w:w="7488"/>
            <w:vAlign w:val="center"/>
          </w:tcPr>
          <w:p>
            <w:r>
              <w:rPr>
                <w:b/>
              </w:rPr>
              <w:t>Função</w:t>
            </w:r>
          </w:p>
        </w:tc>
      </w:tr>
      <w:tr>
        <w:trPr>
          <w:cantSplit/>
        </w:trPr>
        <w:tc>
          <w:tcPr>
            <w:tcW w:type="dxa" w:w="2304"/>
            <w:vAlign w:val="top"/>
          </w:tcPr>
          <w:p>
            <w:r>
              <w:t>Resumo</w:t>
            </w:r>
          </w:p>
        </w:tc>
        <w:tc>
          <w:tcPr>
            <w:tcW w:type="dxa" w:w="7488"/>
            <w:vAlign w:val="top"/>
          </w:tcPr>
          <w:p>
            <w:r>
              <w:t>Status das integrações, publicações, qualidade, SINTER/CIB e alertas.</w:t>
            </w:r>
          </w:p>
        </w:tc>
      </w:tr>
      <w:tr>
        <w:trPr>
          <w:cantSplit/>
        </w:trPr>
        <w:tc>
          <w:tcPr>
            <w:tcW w:type="dxa" w:w="2304"/>
            <w:vAlign w:val="top"/>
          </w:tcPr>
          <w:p>
            <w:r>
              <w:t>Documentos</w:t>
            </w:r>
          </w:p>
        </w:tc>
        <w:tc>
          <w:tcPr>
            <w:tcW w:type="dxa" w:w="7488"/>
            <w:vAlign w:val="top"/>
          </w:tcPr>
          <w:p>
            <w:r>
              <w:t>Upload, OCR, classificação, revisão, vigência e assinatura.</w:t>
            </w:r>
          </w:p>
        </w:tc>
      </w:tr>
      <w:tr>
        <w:trPr>
          <w:cantSplit/>
        </w:trPr>
        <w:tc>
          <w:tcPr>
            <w:tcW w:type="dxa" w:w="2304"/>
            <w:vAlign w:val="top"/>
          </w:tcPr>
          <w:p>
            <w:r>
              <w:t>Legislação</w:t>
            </w:r>
          </w:p>
        </w:tc>
        <w:tc>
          <w:tcPr>
            <w:tcW w:type="dxa" w:w="7488"/>
            <w:vAlign w:val="top"/>
          </w:tcPr>
          <w:p>
            <w:r>
              <w:t>Grafo normativo, artigos, alterações, revogações e anexos.</w:t>
            </w:r>
          </w:p>
        </w:tc>
      </w:tr>
      <w:tr>
        <w:trPr>
          <w:cantSplit/>
        </w:trPr>
        <w:tc>
          <w:tcPr>
            <w:tcW w:type="dxa" w:w="2304"/>
            <w:vAlign w:val="top"/>
          </w:tcPr>
          <w:p>
            <w:r>
              <w:t>Mapa / CTM</w:t>
            </w:r>
          </w:p>
        </w:tc>
        <w:tc>
          <w:tcPr>
            <w:tcW w:type="dxa" w:w="7488"/>
            <w:vAlign w:val="top"/>
          </w:tcPr>
          <w:p>
            <w:r>
              <w:t>Parcelas, camadas, qualidade geométrica, edição controlada e metadados.</w:t>
            </w:r>
          </w:p>
        </w:tc>
      </w:tr>
      <w:tr>
        <w:trPr>
          <w:cantSplit/>
        </w:trPr>
        <w:tc>
          <w:tcPr>
            <w:tcW w:type="dxa" w:w="2304"/>
            <w:vAlign w:val="top"/>
          </w:tcPr>
          <w:p>
            <w:r>
              <w:t>Cadastro / IPTU</w:t>
            </w:r>
          </w:p>
        </w:tc>
        <w:tc>
          <w:tcPr>
            <w:tcW w:type="dxa" w:w="7488"/>
            <w:vAlign w:val="top"/>
          </w:tcPr>
          <w:p>
            <w:r>
              <w:t>Unidades, inscrições, CIB, PGV, fórmulas e reconciliação.</w:t>
            </w:r>
          </w:p>
        </w:tc>
      </w:tr>
      <w:tr>
        <w:trPr>
          <w:cantSplit/>
        </w:trPr>
        <w:tc>
          <w:tcPr>
            <w:tcW w:type="dxa" w:w="2304"/>
            <w:vAlign w:val="top"/>
          </w:tcPr>
          <w:p>
            <w:r>
              <w:t>Licenciamento</w:t>
            </w:r>
          </w:p>
        </w:tc>
        <w:tc>
          <w:tcPr>
            <w:tcW w:type="dxa" w:w="7488"/>
            <w:vAlign w:val="top"/>
          </w:tcPr>
          <w:p>
            <w:r>
              <w:t>Integrações/processos, alvarás, habite-se e certidões.</w:t>
            </w:r>
          </w:p>
        </w:tc>
      </w:tr>
      <w:tr>
        <w:trPr>
          <w:cantSplit/>
        </w:trPr>
        <w:tc>
          <w:tcPr>
            <w:tcW w:type="dxa" w:w="2304"/>
            <w:vAlign w:val="top"/>
          </w:tcPr>
          <w:p>
            <w:r>
              <w:t>Infraestrutura</w:t>
            </w:r>
          </w:p>
        </w:tc>
        <w:tc>
          <w:tcPr>
            <w:tcW w:type="dxa" w:w="7488"/>
            <w:vAlign w:val="top"/>
          </w:tcPr>
          <w:p>
            <w:r>
              <w:t>Redes, obras, vias, equipamentos e concessionárias.</w:t>
            </w:r>
          </w:p>
        </w:tc>
      </w:tr>
      <w:tr>
        <w:trPr>
          <w:cantSplit/>
        </w:trPr>
        <w:tc>
          <w:tcPr>
            <w:tcW w:type="dxa" w:w="2304"/>
            <w:vAlign w:val="top"/>
          </w:tcPr>
          <w:p>
            <w:r>
              <w:t>SINTER / CIB</w:t>
            </w:r>
          </w:p>
        </w:tc>
        <w:tc>
          <w:tcPr>
            <w:tcW w:type="dxa" w:w="7488"/>
            <w:vAlign w:val="top"/>
          </w:tcPr>
          <w:p>
            <w:r>
              <w:t>Teste, produção, filas, rejeições, reconciliação e internalização.</w:t>
            </w:r>
          </w:p>
        </w:tc>
      </w:tr>
      <w:tr>
        <w:trPr>
          <w:cantSplit/>
        </w:trPr>
        <w:tc>
          <w:tcPr>
            <w:tcW w:type="dxa" w:w="2304"/>
            <w:vAlign w:val="top"/>
          </w:tcPr>
          <w:p>
            <w:r>
              <w:t>Publicações</w:t>
            </w:r>
          </w:p>
        </w:tc>
        <w:tc>
          <w:tcPr>
            <w:tcW w:type="dxa" w:w="7488"/>
            <w:vAlign w:val="top"/>
          </w:tcPr>
          <w:p>
            <w:r>
              <w:t>O que está público, versão, APIs, tiles e data de atualização.</w:t>
            </w:r>
          </w:p>
        </w:tc>
      </w:tr>
      <w:tr>
        <w:trPr>
          <w:cantSplit/>
        </w:trPr>
        <w:tc>
          <w:tcPr>
            <w:tcW w:type="dxa" w:w="2304"/>
            <w:vAlign w:val="top"/>
          </w:tcPr>
          <w:p>
            <w:r>
              <w:t>Qualidade</w:t>
            </w:r>
          </w:p>
        </w:tc>
        <w:tc>
          <w:tcPr>
            <w:tcW w:type="dxa" w:w="7488"/>
            <w:vAlign w:val="top"/>
          </w:tcPr>
          <w:p>
            <w:r>
              <w:t>Erros, conflitos, campos incompletos, topologia e pendências.</w:t>
            </w:r>
          </w:p>
        </w:tc>
      </w:tr>
      <w:tr>
        <w:trPr>
          <w:cantSplit/>
        </w:trPr>
        <w:tc>
          <w:tcPr>
            <w:tcW w:type="dxa" w:w="2304"/>
            <w:vAlign w:val="top"/>
          </w:tcPr>
          <w:p>
            <w:r>
              <w:t>Integrações</w:t>
            </w:r>
          </w:p>
        </w:tc>
        <w:tc>
          <w:tcPr>
            <w:tcW w:type="dxa" w:w="7488"/>
            <w:vAlign w:val="top"/>
          </w:tcPr>
          <w:p>
            <w:r>
              <w:t>Conectores municipais e credenciais técnicas com escopo.</w:t>
            </w:r>
          </w:p>
        </w:tc>
      </w:tr>
    </w:tbl>
    <w:p/>
    <w:p>
      <w:pPr>
        <w:pStyle w:val="Heading2"/>
      </w:pPr>
      <w:r>
        <w:t>29.21 Integração com os demais módulos da plataforma</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088"/>
            <w:vAlign w:val="center"/>
          </w:tcPr>
          <w:p>
            <w:r>
              <w:rPr>
                <w:b/>
              </w:rPr>
              <w:t>Módulo consumidor</w:t>
            </w:r>
          </w:p>
        </w:tc>
        <w:tc>
          <w:tcPr>
            <w:tcW w:type="dxa" w:w="7704"/>
            <w:vAlign w:val="center"/>
          </w:tcPr>
          <w:p>
            <w:r>
              <w:rPr>
                <w:b/>
              </w:rPr>
              <w:t>O que recebe da Prefeitura</w:t>
            </w:r>
          </w:p>
        </w:tc>
      </w:tr>
      <w:tr>
        <w:trPr>
          <w:cantSplit/>
        </w:trPr>
        <w:tc>
          <w:tcPr>
            <w:tcW w:type="dxa" w:w="2088"/>
            <w:vAlign w:val="top"/>
          </w:tcPr>
          <w:p>
            <w:r>
              <w:t>LoteDiretor</w:t>
            </w:r>
          </w:p>
        </w:tc>
        <w:tc>
          <w:tcPr>
            <w:tcW w:type="dxa" w:w="7704"/>
            <w:vAlign w:val="top"/>
          </w:tcPr>
          <w:p>
            <w:r>
              <w:t>Leis, mapas, parâmetros, CTM, IPTU/PGV publicável, licenciamento, infraestrutura e evidências.</w:t>
            </w:r>
          </w:p>
        </w:tc>
      </w:tr>
      <w:tr>
        <w:trPr>
          <w:cantSplit/>
        </w:trPr>
        <w:tc>
          <w:tcPr>
            <w:tcW w:type="dxa" w:w="2088"/>
            <w:vAlign w:val="top"/>
          </w:tcPr>
          <w:p>
            <w:r>
              <w:t>Imóvel 360</w:t>
            </w:r>
          </w:p>
        </w:tc>
        <w:tc>
          <w:tcPr>
            <w:tcW w:type="dxa" w:w="7704"/>
            <w:vAlign w:val="top"/>
          </w:tcPr>
          <w:p>
            <w:r>
              <w:t>Ficha cadastral, processos, alvarás, empreendimentos e camadas municipais publicáveis.</w:t>
            </w:r>
          </w:p>
        </w:tc>
      </w:tr>
      <w:tr>
        <w:trPr>
          <w:cantSplit/>
        </w:trPr>
        <w:tc>
          <w:tcPr>
            <w:tcW w:type="dxa" w:w="2088"/>
            <w:vAlign w:val="top"/>
          </w:tcPr>
          <w:p>
            <w:r>
              <w:t>A.I TEC</w:t>
            </w:r>
          </w:p>
        </w:tc>
        <w:tc>
          <w:tcPr>
            <w:tcW w:type="dxa" w:w="7704"/>
            <w:vAlign w:val="top"/>
          </w:tcPr>
          <w:p>
            <w:r>
              <w:t>Envelope legal homologado, recuos, CA, TO, gabarito, vagas, parcelamento, restrições e topografia municipal.</w:t>
            </w:r>
          </w:p>
        </w:tc>
      </w:tr>
      <w:tr>
        <w:trPr>
          <w:cantSplit/>
        </w:trPr>
        <w:tc>
          <w:tcPr>
            <w:tcW w:type="dxa" w:w="2088"/>
            <w:vAlign w:val="top"/>
          </w:tcPr>
          <w:p>
            <w:r>
              <w:t>Energia Solar</w:t>
            </w:r>
          </w:p>
        </w:tc>
        <w:tc>
          <w:tcPr>
            <w:tcW w:type="dxa" w:w="7704"/>
            <w:vAlign w:val="top"/>
          </w:tcPr>
          <w:p>
            <w:r>
              <w:t>Regras de instalação, patrimônio, cobertura/edificações, licenciamento e dados locais disponíveis.</w:t>
            </w:r>
          </w:p>
        </w:tc>
      </w:tr>
      <w:tr>
        <w:trPr>
          <w:cantSplit/>
        </w:trPr>
        <w:tc>
          <w:tcPr>
            <w:tcW w:type="dxa" w:w="2088"/>
            <w:vAlign w:val="top"/>
          </w:tcPr>
          <w:p>
            <w:r>
              <w:t>Condomínio</w:t>
            </w:r>
          </w:p>
        </w:tc>
        <w:tc>
          <w:tcPr>
            <w:tcW w:type="dxa" w:w="7704"/>
            <w:vAlign w:val="top"/>
          </w:tcPr>
          <w:p>
            <w:r>
              <w:t>Código de obras/posturas, acessibilidade, incêndio local, licenças e regras municipais incidentes.</w:t>
            </w:r>
          </w:p>
        </w:tc>
      </w:tr>
      <w:tr>
        <w:trPr>
          <w:cantSplit/>
        </w:trPr>
        <w:tc>
          <w:tcPr>
            <w:tcW w:type="dxa" w:w="2088"/>
            <w:vAlign w:val="top"/>
          </w:tcPr>
          <w:p>
            <w:r>
              <w:t>RE Rural</w:t>
            </w:r>
          </w:p>
        </w:tc>
        <w:tc>
          <w:tcPr>
            <w:tcW w:type="dxa" w:w="7704"/>
            <w:vAlign w:val="top"/>
          </w:tcPr>
          <w:p>
            <w:r>
              <w:t>Perímetro urbano, expansão urbana, transição rural-urbana, REURB e camadas ambientais/territoriais locais.</w:t>
            </w:r>
          </w:p>
        </w:tc>
      </w:tr>
    </w:tbl>
    <w:p/>
    <w:p>
      <w:r>
        <w:t>Toda publicação relevante deve emitir evento de invalidação de cache e reprocessamento dos imóveis afetados. Uma alteração de zoneamento, por exemplo, deve identificar o polígono impactado e marcar os relatórios existentes para recalcular.</w:t>
      </w:r>
    </w:p>
    <w:p>
      <w:pPr>
        <w:pStyle w:val="Heading2"/>
      </w:pPr>
      <w:r>
        <w:t>29.22 Modelo de dados recomendado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880"/>
            <w:vAlign w:val="center"/>
          </w:tcPr>
          <w:p>
            <w:r>
              <w:rPr>
                <w:b/>
              </w:rPr>
              <w:t>Entidade</w:t>
            </w:r>
          </w:p>
        </w:tc>
        <w:tc>
          <w:tcPr>
            <w:tcW w:type="dxa" w:w="6912"/>
            <w:vAlign w:val="center"/>
          </w:tcPr>
          <w:p>
            <w:r>
              <w:rPr>
                <w:b/>
              </w:rPr>
              <w:t>Finalidade</w:t>
            </w:r>
          </w:p>
        </w:tc>
      </w:tr>
      <w:tr>
        <w:trPr>
          <w:cantSplit/>
        </w:trPr>
        <w:tc>
          <w:tcPr>
            <w:tcW w:type="dxa" w:w="2880"/>
            <w:vAlign w:val="top"/>
          </w:tcPr>
          <w:p>
            <w:r>
              <w:t>municipality.tenant</w:t>
            </w:r>
          </w:p>
        </w:tc>
        <w:tc>
          <w:tcPr>
            <w:tcW w:type="dxa" w:w="6912"/>
            <w:vAlign w:val="top"/>
          </w:tcPr>
          <w:p>
            <w:r>
              <w:t>Município, código IBGE, estado, status de adesão e configuração.</w:t>
            </w:r>
          </w:p>
        </w:tc>
      </w:tr>
      <w:tr>
        <w:trPr>
          <w:cantSplit/>
        </w:trPr>
        <w:tc>
          <w:tcPr>
            <w:tcW w:type="dxa" w:w="2880"/>
            <w:vAlign w:val="top"/>
          </w:tcPr>
          <w:p>
            <w:r>
              <w:t>municipality.user_role</w:t>
            </w:r>
          </w:p>
        </w:tc>
        <w:tc>
          <w:tcPr>
            <w:tcW w:type="dxa" w:w="6912"/>
            <w:vAlign w:val="top"/>
          </w:tcPr>
          <w:p>
            <w:r>
              <w:t>Usuário institucional, secretaria, perfil e escopo.</w:t>
            </w:r>
          </w:p>
        </w:tc>
      </w:tr>
      <w:tr>
        <w:trPr>
          <w:cantSplit/>
        </w:trPr>
        <w:tc>
          <w:tcPr>
            <w:tcW w:type="dxa" w:w="2880"/>
            <w:vAlign w:val="top"/>
          </w:tcPr>
          <w:p>
            <w:r>
              <w:t>municipality.document</w:t>
            </w:r>
          </w:p>
        </w:tc>
        <w:tc>
          <w:tcPr>
            <w:tcW w:type="dxa" w:w="6912"/>
            <w:vAlign w:val="top"/>
          </w:tcPr>
          <w:p>
            <w:r>
              <w:t>Arquivo original, tipo, hash, assinatura, visibilidade e origem.</w:t>
            </w:r>
          </w:p>
        </w:tc>
      </w:tr>
      <w:tr>
        <w:trPr>
          <w:cantSplit/>
        </w:trPr>
        <w:tc>
          <w:tcPr>
            <w:tcW w:type="dxa" w:w="2880"/>
            <w:vAlign w:val="top"/>
          </w:tcPr>
          <w:p>
            <w:r>
              <w:t>municipality.document_version</w:t>
            </w:r>
          </w:p>
        </w:tc>
        <w:tc>
          <w:tcPr>
            <w:tcW w:type="dxa" w:w="6912"/>
            <w:vAlign w:val="top"/>
          </w:tcPr>
          <w:p>
            <w:r>
              <w:t>Versão, vigência, status, texto extraído e lineage.</w:t>
            </w:r>
          </w:p>
        </w:tc>
      </w:tr>
      <w:tr>
        <w:trPr>
          <w:cantSplit/>
        </w:trPr>
        <w:tc>
          <w:tcPr>
            <w:tcW w:type="dxa" w:w="2880"/>
            <w:vAlign w:val="top"/>
          </w:tcPr>
          <w:p>
            <w:r>
              <w:t>municipality.norm</w:t>
            </w:r>
          </w:p>
        </w:tc>
        <w:tc>
          <w:tcPr>
            <w:tcW w:type="dxa" w:w="6912"/>
            <w:vAlign w:val="top"/>
          </w:tcPr>
          <w:p>
            <w:r>
              <w:t>Ato legal estruturado, artigos e relações temporais.</w:t>
            </w:r>
          </w:p>
        </w:tc>
      </w:tr>
      <w:tr>
        <w:trPr>
          <w:cantSplit/>
        </w:trPr>
        <w:tc>
          <w:tcPr>
            <w:tcW w:type="dxa" w:w="2880"/>
            <w:vAlign w:val="top"/>
          </w:tcPr>
          <w:p>
            <w:r>
              <w:t>municipality.layer</w:t>
            </w:r>
          </w:p>
        </w:tc>
        <w:tc>
          <w:tcPr>
            <w:tcW w:type="dxa" w:w="6912"/>
            <w:vAlign w:val="top"/>
          </w:tcPr>
          <w:p>
            <w:r>
              <w:t>Catálogo GIS, CRS, escala, licença, estilo e versão.</w:t>
            </w:r>
          </w:p>
        </w:tc>
      </w:tr>
      <w:tr>
        <w:trPr>
          <w:cantSplit/>
        </w:trPr>
        <w:tc>
          <w:tcPr>
            <w:tcW w:type="dxa" w:w="2880"/>
            <w:vAlign w:val="top"/>
          </w:tcPr>
          <w:p>
            <w:r>
              <w:t>municipality.parcel</w:t>
            </w:r>
          </w:p>
        </w:tc>
        <w:tc>
          <w:tcPr>
            <w:tcW w:type="dxa" w:w="6912"/>
            <w:vAlign w:val="top"/>
          </w:tcPr>
          <w:p>
            <w:r>
              <w:t>Parcela CTM e identificadores municipais.</w:t>
            </w:r>
          </w:p>
        </w:tc>
      </w:tr>
      <w:tr>
        <w:trPr>
          <w:cantSplit/>
        </w:trPr>
        <w:tc>
          <w:tcPr>
            <w:tcW w:type="dxa" w:w="2880"/>
            <w:vAlign w:val="top"/>
          </w:tcPr>
          <w:p>
            <w:r>
              <w:t>municipality.unit</w:t>
            </w:r>
          </w:p>
        </w:tc>
        <w:tc>
          <w:tcPr>
            <w:tcW w:type="dxa" w:w="6912"/>
            <w:vAlign w:val="top"/>
          </w:tcPr>
          <w:p>
            <w:r>
              <w:t>Unidade imobiliária, inscrição e CIB.</w:t>
            </w:r>
          </w:p>
        </w:tc>
      </w:tr>
      <w:tr>
        <w:trPr>
          <w:cantSplit/>
        </w:trPr>
        <w:tc>
          <w:tcPr>
            <w:tcW w:type="dxa" w:w="2880"/>
            <w:vAlign w:val="top"/>
          </w:tcPr>
          <w:p>
            <w:r>
              <w:t>municipality.building</w:t>
            </w:r>
          </w:p>
        </w:tc>
        <w:tc>
          <w:tcPr>
            <w:tcW w:type="dxa" w:w="6912"/>
            <w:vAlign w:val="top"/>
          </w:tcPr>
          <w:p>
            <w:r>
              <w:t>Edificação, áreas, pavimentos e situação cadastral.</w:t>
            </w:r>
          </w:p>
        </w:tc>
      </w:tr>
      <w:tr>
        <w:trPr>
          <w:cantSplit/>
        </w:trPr>
        <w:tc>
          <w:tcPr>
            <w:tcW w:type="dxa" w:w="2880"/>
            <w:vAlign w:val="top"/>
          </w:tcPr>
          <w:p>
            <w:r>
              <w:t>municipality.tax_rule</w:t>
            </w:r>
          </w:p>
        </w:tc>
        <w:tc>
          <w:tcPr>
            <w:tcW w:type="dxa" w:w="6912"/>
            <w:vAlign w:val="top"/>
          </w:tcPr>
          <w:p>
            <w:r>
              <w:t>PGV, alíquotas, fatores e fórmula por vigência.</w:t>
            </w:r>
          </w:p>
        </w:tc>
      </w:tr>
      <w:tr>
        <w:trPr>
          <w:cantSplit/>
        </w:trPr>
        <w:tc>
          <w:tcPr>
            <w:tcW w:type="dxa" w:w="2880"/>
            <w:vAlign w:val="top"/>
          </w:tcPr>
          <w:p>
            <w:r>
              <w:t>municipality.permit</w:t>
            </w:r>
          </w:p>
        </w:tc>
        <w:tc>
          <w:tcPr>
            <w:tcW w:type="dxa" w:w="6912"/>
            <w:vAlign w:val="top"/>
          </w:tcPr>
          <w:p>
            <w:r>
              <w:t>Licenciamento/alvará/habite-se e vínculos.</w:t>
            </w:r>
          </w:p>
        </w:tc>
      </w:tr>
      <w:tr>
        <w:trPr>
          <w:cantSplit/>
        </w:trPr>
        <w:tc>
          <w:tcPr>
            <w:tcW w:type="dxa" w:w="2880"/>
            <w:vAlign w:val="top"/>
          </w:tcPr>
          <w:p>
            <w:r>
              <w:t>municipality.infrastructure</w:t>
            </w:r>
          </w:p>
        </w:tc>
        <w:tc>
          <w:tcPr>
            <w:tcW w:type="dxa" w:w="6912"/>
            <w:vAlign w:val="top"/>
          </w:tcPr>
          <w:p>
            <w:r>
              <w:t>Ativo/rede/projeto municipal e geometria.</w:t>
            </w:r>
          </w:p>
        </w:tc>
      </w:tr>
      <w:tr>
        <w:trPr>
          <w:cantSplit/>
        </w:trPr>
        <w:tc>
          <w:tcPr>
            <w:tcW w:type="dxa" w:w="2880"/>
            <w:vAlign w:val="top"/>
          </w:tcPr>
          <w:p>
            <w:r>
              <w:t>municipality.sinter_job</w:t>
            </w:r>
          </w:p>
        </w:tc>
        <w:tc>
          <w:tcPr>
            <w:tcW w:type="dxa" w:w="6912"/>
            <w:vAlign w:val="top"/>
          </w:tcPr>
          <w:p>
            <w:r>
              <w:t>Transmissão, ambiente, payload hash, status e retorno.</w:t>
            </w:r>
          </w:p>
        </w:tc>
      </w:tr>
      <w:tr>
        <w:trPr>
          <w:cantSplit/>
        </w:trPr>
        <w:tc>
          <w:tcPr>
            <w:tcW w:type="dxa" w:w="2880"/>
            <w:vAlign w:val="top"/>
          </w:tcPr>
          <w:p>
            <w:r>
              <w:t>municipality.publication</w:t>
            </w:r>
          </w:p>
        </w:tc>
        <w:tc>
          <w:tcPr>
            <w:tcW w:type="dxa" w:w="6912"/>
            <w:vAlign w:val="top"/>
          </w:tcPr>
          <w:p>
            <w:r>
              <w:t>Snapshot homologado publicado para a plataforma.</w:t>
            </w:r>
          </w:p>
        </w:tc>
      </w:tr>
      <w:tr>
        <w:trPr>
          <w:cantSplit/>
        </w:trPr>
        <w:tc>
          <w:tcPr>
            <w:tcW w:type="dxa" w:w="2880"/>
            <w:vAlign w:val="top"/>
          </w:tcPr>
          <w:p>
            <w:r>
              <w:t>municipality.audit_event</w:t>
            </w:r>
          </w:p>
        </w:tc>
        <w:tc>
          <w:tcPr>
            <w:tcW w:type="dxa" w:w="6912"/>
            <w:vAlign w:val="top"/>
          </w:tcPr>
          <w:p>
            <w:r>
              <w:t>Quem fez o quê, quando, antes/depois e justificativa.</w:t>
            </w:r>
          </w:p>
        </w:tc>
      </w:tr>
    </w:tbl>
    <w:p/>
    <w:p>
      <w:pPr>
        <w:pStyle w:val="Heading2"/>
      </w:pPr>
      <w:r>
        <w:t>29.23 APIs e eventos recomendados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3816"/>
            <w:vAlign w:val="center"/>
          </w:tcPr>
          <w:p>
            <w:r>
              <w:rPr>
                <w:b/>
              </w:rPr>
              <w:t>Contrato</w:t>
            </w:r>
          </w:p>
        </w:tc>
        <w:tc>
          <w:tcPr>
            <w:tcW w:type="dxa" w:w="5976"/>
            <w:vAlign w:val="center"/>
          </w:tcPr>
          <w:p>
            <w:r>
              <w:rPr>
                <w:b/>
              </w:rPr>
              <w:t>Objetivo</w:t>
            </w:r>
          </w:p>
        </w:tc>
      </w:tr>
      <w:tr>
        <w:trPr>
          <w:cantSplit/>
        </w:trPr>
        <w:tc>
          <w:tcPr>
            <w:tcW w:type="dxa" w:w="3816"/>
            <w:vAlign w:val="top"/>
          </w:tcPr>
          <w:p>
            <w:r>
              <w:t>POST /municipality/documents</w:t>
            </w:r>
          </w:p>
        </w:tc>
        <w:tc>
          <w:tcPr>
            <w:tcW w:type="dxa" w:w="5976"/>
            <w:vAlign w:val="top"/>
          </w:tcPr>
          <w:p>
            <w:r>
              <w:t>Ingestão institucional de arquivo.</w:t>
            </w:r>
          </w:p>
        </w:tc>
      </w:tr>
      <w:tr>
        <w:trPr>
          <w:cantSplit/>
        </w:trPr>
        <w:tc>
          <w:tcPr>
            <w:tcW w:type="dxa" w:w="3816"/>
            <w:vAlign w:val="top"/>
          </w:tcPr>
          <w:p>
            <w:r>
              <w:t>POST /municipality/documents/{id}/review</w:t>
            </w:r>
          </w:p>
        </w:tc>
        <w:tc>
          <w:tcPr>
            <w:tcW w:type="dxa" w:w="5976"/>
            <w:vAlign w:val="top"/>
          </w:tcPr>
          <w:p>
            <w:r>
              <w:t>Revisão e classificação.</w:t>
            </w:r>
          </w:p>
        </w:tc>
      </w:tr>
      <w:tr>
        <w:trPr>
          <w:cantSplit/>
        </w:trPr>
        <w:tc>
          <w:tcPr>
            <w:tcW w:type="dxa" w:w="3816"/>
            <w:vAlign w:val="top"/>
          </w:tcPr>
          <w:p>
            <w:r>
              <w:t>POST /municipality/publications</w:t>
            </w:r>
          </w:p>
        </w:tc>
        <w:tc>
          <w:tcPr>
            <w:tcW w:type="dxa" w:w="5976"/>
            <w:vAlign w:val="top"/>
          </w:tcPr>
          <w:p>
            <w:r>
              <w:t>Criar snapshot homologado.</w:t>
            </w:r>
          </w:p>
        </w:tc>
      </w:tr>
      <w:tr>
        <w:trPr>
          <w:cantSplit/>
        </w:trPr>
        <w:tc>
          <w:tcPr>
            <w:tcW w:type="dxa" w:w="3816"/>
            <w:vAlign w:val="top"/>
          </w:tcPr>
          <w:p>
            <w:r>
              <w:t>GET /municipality/ctm/parcels</w:t>
            </w:r>
          </w:p>
        </w:tc>
        <w:tc>
          <w:tcPr>
            <w:tcW w:type="dxa" w:w="5976"/>
            <w:vAlign w:val="top"/>
          </w:tcPr>
          <w:p>
            <w:r>
              <w:t>Consultar parcelas por bbox/ID.</w:t>
            </w:r>
          </w:p>
        </w:tc>
      </w:tr>
      <w:tr>
        <w:trPr>
          <w:cantSplit/>
        </w:trPr>
        <w:tc>
          <w:tcPr>
            <w:tcW w:type="dxa" w:w="3816"/>
            <w:vAlign w:val="top"/>
          </w:tcPr>
          <w:p>
            <w:r>
              <w:t>GET /municipality/property/{id}</w:t>
            </w:r>
          </w:p>
        </w:tc>
        <w:tc>
          <w:tcPr>
            <w:tcW w:type="dxa" w:w="5976"/>
            <w:vAlign w:val="top"/>
          </w:tcPr>
          <w:p>
            <w:r>
              <w:t>Ficha institucional com controles de visibilidade.</w:t>
            </w:r>
          </w:p>
        </w:tc>
      </w:tr>
      <w:tr>
        <w:trPr>
          <w:cantSplit/>
        </w:trPr>
        <w:tc>
          <w:tcPr>
            <w:tcW w:type="dxa" w:w="3816"/>
            <w:vAlign w:val="top"/>
          </w:tcPr>
          <w:p>
            <w:r>
              <w:t>GET /municipality/tax/rules</w:t>
            </w:r>
          </w:p>
        </w:tc>
        <w:tc>
          <w:tcPr>
            <w:tcW w:type="dxa" w:w="5976"/>
            <w:vAlign w:val="top"/>
          </w:tcPr>
          <w:p>
            <w:r>
              <w:t>Regras tributárias por exercício/vigência.</w:t>
            </w:r>
          </w:p>
        </w:tc>
      </w:tr>
      <w:tr>
        <w:trPr>
          <w:cantSplit/>
        </w:trPr>
        <w:tc>
          <w:tcPr>
            <w:tcW w:type="dxa" w:w="3816"/>
            <w:vAlign w:val="top"/>
          </w:tcPr>
          <w:p>
            <w:r>
              <w:t>GET /municipality/permits</w:t>
            </w:r>
          </w:p>
        </w:tc>
        <w:tc>
          <w:tcPr>
            <w:tcW w:type="dxa" w:w="5976"/>
            <w:vAlign w:val="top"/>
          </w:tcPr>
          <w:p>
            <w:r>
              <w:t>Processos/licenças por imóvel ou período.</w:t>
            </w:r>
          </w:p>
        </w:tc>
      </w:tr>
      <w:tr>
        <w:trPr>
          <w:cantSplit/>
        </w:trPr>
        <w:tc>
          <w:tcPr>
            <w:tcW w:type="dxa" w:w="3816"/>
            <w:vAlign w:val="top"/>
          </w:tcPr>
          <w:p>
            <w:r>
              <w:t>POST /municipality/sinter/validate</w:t>
            </w:r>
          </w:p>
        </w:tc>
        <w:tc>
          <w:tcPr>
            <w:tcW w:type="dxa" w:w="5976"/>
            <w:vAlign w:val="top"/>
          </w:tcPr>
          <w:p>
            <w:r>
              <w:t>Pré-validação de integração.</w:t>
            </w:r>
          </w:p>
        </w:tc>
      </w:tr>
      <w:tr>
        <w:trPr>
          <w:cantSplit/>
        </w:trPr>
        <w:tc>
          <w:tcPr>
            <w:tcW w:type="dxa" w:w="3816"/>
            <w:vAlign w:val="top"/>
          </w:tcPr>
          <w:p>
            <w:r>
              <w:t>POST /municipality/sinter/sync</w:t>
            </w:r>
          </w:p>
        </w:tc>
        <w:tc>
          <w:tcPr>
            <w:tcW w:type="dxa" w:w="5976"/>
            <w:vAlign w:val="top"/>
          </w:tcPr>
          <w:p>
            <w:r>
              <w:t>Fila de sincronização autorizada.</w:t>
            </w:r>
          </w:p>
        </w:tc>
      </w:tr>
      <w:tr>
        <w:trPr>
          <w:cantSplit/>
        </w:trPr>
        <w:tc>
          <w:tcPr>
            <w:tcW w:type="dxa" w:w="3816"/>
            <w:vAlign w:val="top"/>
          </w:tcPr>
          <w:p>
            <w:r>
              <w:t>GET /public/municipalities/{ibge}/layers</w:t>
            </w:r>
          </w:p>
        </w:tc>
        <w:tc>
          <w:tcPr>
            <w:tcW w:type="dxa" w:w="5976"/>
            <w:vAlign w:val="top"/>
          </w:tcPr>
          <w:p>
            <w:r>
              <w:t>Catálogo somente do que está homologado para publicação.</w:t>
            </w:r>
          </w:p>
        </w:tc>
      </w:tr>
      <w:tr>
        <w:trPr>
          <w:cantSplit/>
        </w:trPr>
        <w:tc>
          <w:tcPr>
            <w:tcW w:type="dxa" w:w="3816"/>
            <w:vAlign w:val="top"/>
          </w:tcPr>
          <w:p>
            <w:r>
              <w:t>EVENT municipal.publication.changed</w:t>
            </w:r>
          </w:p>
        </w:tc>
        <w:tc>
          <w:tcPr>
            <w:tcW w:type="dxa" w:w="5976"/>
            <w:vAlign w:val="top"/>
          </w:tcPr>
          <w:p>
            <w:r>
              <w:t>Recalcular cache, tiles, relatórios e regras afetadas.</w:t>
            </w:r>
          </w:p>
        </w:tc>
      </w:tr>
    </w:tbl>
    <w:p/>
    <w:p>
      <w:pPr>
        <w:pStyle w:val="Heading2"/>
      </w:pPr>
      <w:r>
        <w:t>29.24 Segurança, LGPD, sigilo fiscal e auditoria</w:t>
      </w:r>
    </w:p>
    <w:p>
      <w:pPr>
        <w:pStyle w:val="ListBullet"/>
      </w:pPr>
      <w:r>
        <w:t>Tenant isolation por código IBGE + município; nenhuma consulta cruza dados restritos entre prefeituras.</w:t>
      </w:r>
    </w:p>
    <w:p>
      <w:pPr>
        <w:pStyle w:val="ListBullet"/>
      </w:pPr>
      <w:r>
        <w:t>RBAC/ABAC com escopo por secretaria, coleção e ação.</w:t>
      </w:r>
    </w:p>
    <w:p>
      <w:pPr>
        <w:pStyle w:val="ListBullet"/>
      </w:pPr>
      <w:r>
        <w:t>MFA obrigatório para perfis de publicação e integrações sensíveis.</w:t>
      </w:r>
    </w:p>
    <w:p>
      <w:pPr>
        <w:pStyle w:val="ListBullet"/>
      </w:pPr>
      <w:r>
        <w:t>Criptografia em trânsito e repouso; credenciais em secret manager.</w:t>
      </w:r>
    </w:p>
    <w:p>
      <w:pPr>
        <w:pStyle w:val="ListBullet"/>
      </w:pPr>
      <w:r>
        <w:t>Logs imutáveis de homologação, download restrito, publicação e alteração cadastral.</w:t>
      </w:r>
    </w:p>
    <w:p>
      <w:pPr>
        <w:pStyle w:val="ListBullet"/>
      </w:pPr>
      <w:r>
        <w:t>Máscara e tokenização de CPF/CNPJ quando não forem necessários ao fluxo.</w:t>
      </w:r>
    </w:p>
    <w:p>
      <w:pPr>
        <w:pStyle w:val="ListBullet"/>
      </w:pPr>
      <w:r>
        <w:t>Embeddings e índices de IA herdam o mesmo nível de acesso do documento original.</w:t>
      </w:r>
    </w:p>
    <w:p>
      <w:pPr>
        <w:pStyle w:val="ListBullet"/>
      </w:pPr>
      <w:r>
        <w:t>Backup, retenção, exportação institucional e plano de saída do município.</w:t>
      </w:r>
    </w:p>
    <w:p>
      <w:pPr>
        <w:pStyle w:val="ListBullet"/>
      </w:pPr>
      <w:r>
        <w:t>LGPD se aplica também ao poder público; compartilhamentos precisam respeitar finalidade e base legal [R48].</w:t>
      </w:r>
    </w:p>
    <w:p>
      <w:pPr>
        <w:pStyle w:val="Heading2"/>
      </w:pPr>
      <w:r>
        <w:t>29.25 Interoperabilidade e dados abertos</w:t>
      </w:r>
    </w:p>
    <w:p>
      <w:pPr>
        <w:pStyle w:val="ListBullet"/>
      </w:pPr>
      <w:r>
        <w:t>GeoJSON, GPKG, CSV e Parquet para datasets públicos adequados.</w:t>
      </w:r>
    </w:p>
    <w:p>
      <w:pPr>
        <w:pStyle w:val="ListBullet"/>
      </w:pPr>
      <w:r>
        <w:t>WMS/WFS/OGC API Features quando fizer sentido; MVT para visualização de alto volume.</w:t>
      </w:r>
    </w:p>
    <w:p>
      <w:pPr>
        <w:pStyle w:val="ListBullet"/>
      </w:pPr>
      <w:r>
        <w:t>Metadados compatíveis com INDE e catálogo próprio.</w:t>
      </w:r>
    </w:p>
    <w:p>
      <w:pPr>
        <w:pStyle w:val="ListBullet"/>
      </w:pPr>
      <w:r>
        <w:t>APIs versionadas e documentação OpenAPI.</w:t>
      </w:r>
    </w:p>
    <w:p>
      <w:pPr>
        <w:pStyle w:val="ListBullet"/>
      </w:pPr>
      <w:r>
        <w:t>Licença de uso explícita em cada dataset público.</w:t>
      </w:r>
    </w:p>
    <w:p>
      <w:pPr>
        <w:pStyle w:val="ListBullet"/>
      </w:pPr>
      <w:r>
        <w:t>ETag/checksum e data de atualização para consumo automatizado.</w:t>
      </w:r>
    </w:p>
    <w:p>
      <w:pPr>
        <w:pStyle w:val="ListBullet"/>
      </w:pPr>
      <w:r>
        <w:t>Exportação completa do município para evitar lock-in tecnológico.</w:t>
      </w:r>
    </w:p>
    <w:p>
      <w:r>
        <w:t>A Lei de Governo Digital define dados abertos em formato acessível, estruturado e processável por máquina e incentiva interoperabilidade; a LAI também exige acesso automatizado e formatos abertos para informações públicas, ressalvadas as restrições legais [R84][R85].</w:t>
      </w:r>
    </w:p>
    <w:p>
      <w:pPr>
        <w:pStyle w:val="Heading2"/>
      </w:pPr>
      <w:r>
        <w:t>29.26 Monitoramento de qualidade municipal</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304"/>
            <w:vAlign w:val="center"/>
          </w:tcPr>
          <w:p>
            <w:r>
              <w:rPr>
                <w:b/>
              </w:rPr>
              <w:t>Indicador</w:t>
            </w:r>
          </w:p>
        </w:tc>
        <w:tc>
          <w:tcPr>
            <w:tcW w:type="dxa" w:w="7488"/>
            <w:vAlign w:val="center"/>
          </w:tcPr>
          <w:p>
            <w:r>
              <w:rPr>
                <w:b/>
              </w:rPr>
              <w:t>Exemplo de regra</w:t>
            </w:r>
          </w:p>
        </w:tc>
      </w:tr>
      <w:tr>
        <w:trPr>
          <w:cantSplit/>
        </w:trPr>
        <w:tc>
          <w:tcPr>
            <w:tcW w:type="dxa" w:w="2304"/>
            <w:vAlign w:val="top"/>
          </w:tcPr>
          <w:p>
            <w:r>
              <w:t>Cobertura CTM</w:t>
            </w:r>
          </w:p>
        </w:tc>
        <w:tc>
          <w:tcPr>
            <w:tcW w:type="dxa" w:w="7488"/>
            <w:vAlign w:val="top"/>
          </w:tcPr>
          <w:p>
            <w:r>
              <w:t>% da área urbana com parcela válida.</w:t>
            </w:r>
          </w:p>
        </w:tc>
      </w:tr>
      <w:tr>
        <w:trPr>
          <w:cantSplit/>
        </w:trPr>
        <w:tc>
          <w:tcPr>
            <w:tcW w:type="dxa" w:w="2304"/>
            <w:vAlign w:val="top"/>
          </w:tcPr>
          <w:p>
            <w:r>
              <w:t>CIB</w:t>
            </w:r>
          </w:p>
        </w:tc>
        <w:tc>
          <w:tcPr>
            <w:tcW w:type="dxa" w:w="7488"/>
            <w:vAlign w:val="top"/>
          </w:tcPr>
          <w:p>
            <w:r>
              <w:t>% das unidades com CIB reconciliado.</w:t>
            </w:r>
          </w:p>
        </w:tc>
      </w:tr>
      <w:tr>
        <w:trPr>
          <w:cantSplit/>
        </w:trPr>
        <w:tc>
          <w:tcPr>
            <w:tcW w:type="dxa" w:w="2304"/>
            <w:vAlign w:val="top"/>
          </w:tcPr>
          <w:p>
            <w:r>
              <w:t>Geometria</w:t>
            </w:r>
          </w:p>
        </w:tc>
        <w:tc>
          <w:tcPr>
            <w:tcW w:type="dxa" w:w="7488"/>
            <w:vAlign w:val="top"/>
          </w:tcPr>
          <w:p>
            <w:r>
              <w:t>Topologia inválida, gaps, overlaps e polígonos sem CRS.</w:t>
            </w:r>
          </w:p>
        </w:tc>
      </w:tr>
      <w:tr>
        <w:trPr>
          <w:cantSplit/>
        </w:trPr>
        <w:tc>
          <w:tcPr>
            <w:tcW w:type="dxa" w:w="2304"/>
            <w:vAlign w:val="top"/>
          </w:tcPr>
          <w:p>
            <w:r>
              <w:t>Legislação</w:t>
            </w:r>
          </w:p>
        </w:tc>
        <w:tc>
          <w:tcPr>
            <w:tcW w:type="dxa" w:w="7488"/>
            <w:vAlign w:val="top"/>
          </w:tcPr>
          <w:p>
            <w:r>
              <w:t>Atos vigentes sem texto/anexo/mapa vinculado.</w:t>
            </w:r>
          </w:p>
        </w:tc>
      </w:tr>
      <w:tr>
        <w:trPr>
          <w:cantSplit/>
        </w:trPr>
        <w:tc>
          <w:tcPr>
            <w:tcW w:type="dxa" w:w="2304"/>
            <w:vAlign w:val="top"/>
          </w:tcPr>
          <w:p>
            <w:r>
              <w:t>Tributário</w:t>
            </w:r>
          </w:p>
        </w:tc>
        <w:tc>
          <w:tcPr>
            <w:tcW w:type="dxa" w:w="7488"/>
            <w:vAlign w:val="top"/>
          </w:tcPr>
          <w:p>
            <w:r>
              <w:t>Exercício sem fórmula/PGV versionada.</w:t>
            </w:r>
          </w:p>
        </w:tc>
      </w:tr>
      <w:tr>
        <w:trPr>
          <w:cantSplit/>
        </w:trPr>
        <w:tc>
          <w:tcPr>
            <w:tcW w:type="dxa" w:w="2304"/>
            <w:vAlign w:val="top"/>
          </w:tcPr>
          <w:p>
            <w:r>
              <w:t>Licenciamento</w:t>
            </w:r>
          </w:p>
        </w:tc>
        <w:tc>
          <w:tcPr>
            <w:tcW w:type="dxa" w:w="7488"/>
            <w:vAlign w:val="top"/>
          </w:tcPr>
          <w:p>
            <w:r>
              <w:t>Alvarás/habite-se sem parcela/unidade associada.</w:t>
            </w:r>
          </w:p>
        </w:tc>
      </w:tr>
      <w:tr>
        <w:trPr>
          <w:cantSplit/>
        </w:trPr>
        <w:tc>
          <w:tcPr>
            <w:tcW w:type="dxa" w:w="2304"/>
            <w:vAlign w:val="top"/>
          </w:tcPr>
          <w:p>
            <w:r>
              <w:t>Atualização</w:t>
            </w:r>
          </w:p>
        </w:tc>
        <w:tc>
          <w:tcPr>
            <w:tcW w:type="dxa" w:w="7488"/>
            <w:vAlign w:val="top"/>
          </w:tcPr>
          <w:p>
            <w:r>
              <w:t>Fonte além do SLA de atualização.</w:t>
            </w:r>
          </w:p>
        </w:tc>
      </w:tr>
      <w:tr>
        <w:trPr>
          <w:cantSplit/>
        </w:trPr>
        <w:tc>
          <w:tcPr>
            <w:tcW w:type="dxa" w:w="2304"/>
            <w:vAlign w:val="top"/>
          </w:tcPr>
          <w:p>
            <w:r>
              <w:t>Conflitos</w:t>
            </w:r>
          </w:p>
        </w:tc>
        <w:tc>
          <w:tcPr>
            <w:tcW w:type="dxa" w:w="7488"/>
            <w:vAlign w:val="top"/>
          </w:tcPr>
          <w:p>
            <w:r>
              <w:t>Divergência entre mapa, texto legal, CTM e sistema legado.</w:t>
            </w:r>
          </w:p>
        </w:tc>
      </w:tr>
      <w:tr>
        <w:trPr>
          <w:cantSplit/>
        </w:trPr>
        <w:tc>
          <w:tcPr>
            <w:tcW w:type="dxa" w:w="2304"/>
            <w:vAlign w:val="top"/>
          </w:tcPr>
          <w:p>
            <w:r>
              <w:t>Publicação</w:t>
            </w:r>
          </w:p>
        </w:tc>
        <w:tc>
          <w:tcPr>
            <w:tcW w:type="dxa" w:w="7488"/>
            <w:vAlign w:val="top"/>
          </w:tcPr>
          <w:p>
            <w:r>
              <w:t>Dataset público sem licença/metadado/data de atualização.</w:t>
            </w:r>
          </w:p>
        </w:tc>
      </w:tr>
    </w:tbl>
    <w:p/>
    <w:p>
      <w:pPr>
        <w:pStyle w:val="Heading2"/>
      </w:pPr>
      <w:r>
        <w:t>29.27 Fluxo de publicação com quatro olhos</w:t>
      </w:r>
    </w:p>
    <w:p>
      <w:pPr/>
      <w:r>
        <w:t>1. Editor cria/importa nova revisão.</w:t>
      </w:r>
    </w:p>
    <w:p>
      <w:pPr/>
      <w:r>
        <w:t>2. Validadores automáticos executam OCR, schema, topologia, vigência e consistência.</w:t>
      </w:r>
    </w:p>
    <w:p>
      <w:pPr/>
      <w:r>
        <w:t>3. Especialista corrige pendências e adiciona justificativas.</w:t>
      </w:r>
    </w:p>
    <w:p>
      <w:pPr/>
      <w:r>
        <w:t>4. Homologador independente revisa diferença entre versão atual e nova.</w:t>
      </w:r>
    </w:p>
    <w:p>
      <w:pPr/>
      <w:r>
        <w:t>5. Sistema gera snapshot imutável, hash e lista de entidades afetadas.</w:t>
      </w:r>
    </w:p>
    <w:p>
      <w:pPr/>
      <w:r>
        <w:t>6. Publicação entra em vigor na data correta e emite evento para a plataforma.</w:t>
      </w:r>
    </w:p>
    <w:p>
      <w:pPr/>
      <w:r>
        <w:t>7. Versão anterior passa a histórico, sem ser apagada.</w:t>
      </w:r>
    </w:p>
    <w:p>
      <w:pPr>
        <w:pStyle w:val="Heading2"/>
      </w:pPr>
      <w:r>
        <w:t>29.28 Desativação, continuidade e independência do município</w:t>
      </w:r>
    </w:p>
    <w:p>
      <w:r>
        <w:t>O desenho deve permitir que a prefeitura encerre a adesão sem perder seus dados nem comprometer a rastreabilidade dos relatórios já emitidos.</w:t>
      </w:r>
    </w:p>
    <w:p>
      <w:pPr>
        <w:pStyle w:val="ListBullet"/>
      </w:pPr>
      <w:r>
        <w:t>Exportação dos documentos originais, bases normalizadas, metadados, logs permitidos e geodados.</w:t>
      </w:r>
    </w:p>
    <w:p>
      <w:pPr>
        <w:pStyle w:val="ListBullet"/>
      </w:pPr>
      <w:r>
        <w:t>Revogação imediata de credenciais e webhooks.</w:t>
      </w:r>
    </w:p>
    <w:p>
      <w:pPr>
        <w:pStyle w:val="ListBullet"/>
      </w:pPr>
      <w:r>
        <w:t>Congelamento de snapshots homologados usados historicamente.</w:t>
      </w:r>
    </w:p>
    <w:p>
      <w:pPr>
        <w:pStyle w:val="ListBullet"/>
      </w:pPr>
      <w:r>
        <w:t>Continuidade do LoteDiretor com fontes públicas, agora sem selo de atualização municipal ativa.</w:t>
      </w:r>
    </w:p>
    <w:p>
      <w:pPr>
        <w:pStyle w:val="ListBullet"/>
      </w:pPr>
      <w:r>
        <w:t>Política de retenção diferenciada para dados públicos, institucionais e restritos.</w:t>
      </w:r>
    </w:p>
    <w:p>
      <w:pPr>
        <w:pStyle w:val="Heading2"/>
      </w:pPr>
      <w:r>
        <w:t>29.29 MVP do módulo Prefeitura</w:t>
      </w:r>
    </w:p>
    <w:p>
      <w:pPr/>
      <w:r>
        <w:t>1. Ativação por município e usuários institucionais.</w:t>
      </w:r>
    </w:p>
    <w:p>
      <w:pPr/>
      <w:r>
        <w:t>2. Biblioteca de documentos com OCR, versão, vigência e homologação.</w:t>
      </w:r>
    </w:p>
    <w:p>
      <w:pPr/>
      <w:r>
        <w:t>3. Plano Diretor + zoneamento + Código de Obras + mapas/anexos.</w:t>
      </w:r>
    </w:p>
    <w:p>
      <w:pPr/>
      <w:r>
        <w:t>4. Catálogo GIS e publicação de camadas oficiais.</w:t>
      </w:r>
    </w:p>
    <w:p>
      <w:pPr/>
      <w:r>
        <w:t>5. CTM mínimo: parcela, inscrição, unidade, endereço e edificação.</w:t>
      </w:r>
    </w:p>
    <w:p>
      <w:pPr/>
      <w:r>
        <w:t>6. CIB: armazenamento e reconciliação; conector de integração preparado.</w:t>
      </w:r>
    </w:p>
    <w:p>
      <w:pPr/>
      <w:r>
        <w:t>7. IPTU/PGV: regras e valores cadastrais não sigilosos, com memória de cálculo.</w:t>
      </w:r>
    </w:p>
    <w:p>
      <w:pPr/>
      <w:r>
        <w:t>8. Alvarás/habite-se por integração ou importação.</w:t>
      </w:r>
    </w:p>
    <w:p>
      <w:pPr/>
      <w:r>
        <w:t>9. Assistente IA institucional com citações e controle de acesso.</w:t>
      </w:r>
    </w:p>
    <w:p>
      <w:pPr/>
      <w:r>
        <w:t>10. Publicação homologada para LoteDiretor e A.I TEC.</w:t>
      </w:r>
    </w:p>
    <w:p>
      <w:pPr/>
      <w:r>
        <w:t>11. Auditoria e exportação institucional.</w:t>
      </w:r>
    </w:p>
    <w:p>
      <w:pPr>
        <w:pStyle w:val="Heading2"/>
      </w:pPr>
      <w:r>
        <w:t>29.30 Roadmap recomendado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1152"/>
            <w:vAlign w:val="center"/>
          </w:tcPr>
          <w:p>
            <w:r>
              <w:rPr>
                <w:b/>
              </w:rPr>
              <w:t>Fase</w:t>
            </w:r>
          </w:p>
        </w:tc>
        <w:tc>
          <w:tcPr>
            <w:tcW w:type="dxa" w:w="8640"/>
            <w:vAlign w:val="center"/>
          </w:tcPr>
          <w:p>
            <w:r>
              <w:rPr>
                <w:b/>
              </w:rPr>
              <w:t>Entrega</w:t>
            </w:r>
          </w:p>
        </w:tc>
      </w:tr>
      <w:tr>
        <w:trPr>
          <w:cantSplit/>
        </w:trPr>
        <w:tc>
          <w:tcPr>
            <w:tcW w:type="dxa" w:w="1152"/>
            <w:vAlign w:val="top"/>
          </w:tcPr>
          <w:p>
            <w:r>
              <w:t>1</w:t>
            </w:r>
          </w:p>
        </w:tc>
        <w:tc>
          <w:tcPr>
            <w:tcW w:type="dxa" w:w="8640"/>
            <w:vAlign w:val="top"/>
          </w:tcPr>
          <w:p>
            <w:r>
              <w:t>Tenant municipal, identidade, ativação e RBAC.</w:t>
            </w:r>
          </w:p>
        </w:tc>
      </w:tr>
      <w:tr>
        <w:trPr>
          <w:cantSplit/>
        </w:trPr>
        <w:tc>
          <w:tcPr>
            <w:tcW w:type="dxa" w:w="1152"/>
            <w:vAlign w:val="top"/>
          </w:tcPr>
          <w:p>
            <w:r>
              <w:t>2</w:t>
            </w:r>
          </w:p>
        </w:tc>
        <w:tc>
          <w:tcPr>
            <w:tcW w:type="dxa" w:w="8640"/>
            <w:vAlign w:val="top"/>
          </w:tcPr>
          <w:p>
            <w:r>
              <w:t>Documentos, OCR, legislação e homologação.</w:t>
            </w:r>
          </w:p>
        </w:tc>
      </w:tr>
      <w:tr>
        <w:trPr>
          <w:cantSplit/>
        </w:trPr>
        <w:tc>
          <w:tcPr>
            <w:tcW w:type="dxa" w:w="1152"/>
            <w:vAlign w:val="top"/>
          </w:tcPr>
          <w:p>
            <w:r>
              <w:t>3</w:t>
            </w:r>
          </w:p>
        </w:tc>
        <w:tc>
          <w:tcPr>
            <w:tcW w:type="dxa" w:w="8640"/>
            <w:vAlign w:val="top"/>
          </w:tcPr>
          <w:p>
            <w:r>
              <w:t>GIS municipal e georreferenciamento de anexos.</w:t>
            </w:r>
          </w:p>
        </w:tc>
      </w:tr>
      <w:tr>
        <w:trPr>
          <w:cantSplit/>
        </w:trPr>
        <w:tc>
          <w:tcPr>
            <w:tcW w:type="dxa" w:w="1152"/>
            <w:vAlign w:val="top"/>
          </w:tcPr>
          <w:p>
            <w:r>
              <w:t>4</w:t>
            </w:r>
          </w:p>
        </w:tc>
        <w:tc>
          <w:tcPr>
            <w:tcW w:type="dxa" w:w="8640"/>
            <w:vAlign w:val="top"/>
          </w:tcPr>
          <w:p>
            <w:r>
              <w:t>CTM e cadastro imobiliário.</w:t>
            </w:r>
          </w:p>
        </w:tc>
      </w:tr>
      <w:tr>
        <w:trPr>
          <w:cantSplit/>
        </w:trPr>
        <w:tc>
          <w:tcPr>
            <w:tcW w:type="dxa" w:w="1152"/>
            <w:vAlign w:val="top"/>
          </w:tcPr>
          <w:p>
            <w:r>
              <w:t>5</w:t>
            </w:r>
          </w:p>
        </w:tc>
        <w:tc>
          <w:tcPr>
            <w:tcW w:type="dxa" w:w="8640"/>
            <w:vAlign w:val="top"/>
          </w:tcPr>
          <w:p>
            <w:r>
              <w:t>SINTER/CIB: validador, teste, produção e reconciliação.</w:t>
            </w:r>
          </w:p>
        </w:tc>
      </w:tr>
      <w:tr>
        <w:trPr>
          <w:cantSplit/>
        </w:trPr>
        <w:tc>
          <w:tcPr>
            <w:tcW w:type="dxa" w:w="1152"/>
            <w:vAlign w:val="top"/>
          </w:tcPr>
          <w:p>
            <w:r>
              <w:t>6</w:t>
            </w:r>
          </w:p>
        </w:tc>
        <w:tc>
          <w:tcPr>
            <w:tcW w:type="dxa" w:w="8640"/>
            <w:vAlign w:val="top"/>
          </w:tcPr>
          <w:p>
            <w:r>
              <w:t>IPTU/PGV/ITBI e motor tributário versionado.</w:t>
            </w:r>
          </w:p>
        </w:tc>
      </w:tr>
      <w:tr>
        <w:trPr>
          <w:cantSplit/>
        </w:trPr>
        <w:tc>
          <w:tcPr>
            <w:tcW w:type="dxa" w:w="1152"/>
            <w:vAlign w:val="top"/>
          </w:tcPr>
          <w:p>
            <w:r>
              <w:t>7</w:t>
            </w:r>
          </w:p>
        </w:tc>
        <w:tc>
          <w:tcPr>
            <w:tcW w:type="dxa" w:w="8640"/>
            <w:vAlign w:val="top"/>
          </w:tcPr>
          <w:p>
            <w:r>
              <w:t>Licenciamento, alvará, habite-se e parcelamento.</w:t>
            </w:r>
          </w:p>
        </w:tc>
      </w:tr>
      <w:tr>
        <w:trPr>
          <w:cantSplit/>
        </w:trPr>
        <w:tc>
          <w:tcPr>
            <w:tcW w:type="dxa" w:w="1152"/>
            <w:vAlign w:val="top"/>
          </w:tcPr>
          <w:p>
            <w:r>
              <w:t>8</w:t>
            </w:r>
          </w:p>
        </w:tc>
        <w:tc>
          <w:tcPr>
            <w:tcW w:type="dxa" w:w="8640"/>
            <w:vAlign w:val="top"/>
          </w:tcPr>
          <w:p>
            <w:r>
              <w:t>Infraestrutura, equipamentos, risco e ambiente.</w:t>
            </w:r>
          </w:p>
        </w:tc>
      </w:tr>
      <w:tr>
        <w:trPr>
          <w:cantSplit/>
        </w:trPr>
        <w:tc>
          <w:tcPr>
            <w:tcW w:type="dxa" w:w="1152"/>
            <w:vAlign w:val="top"/>
          </w:tcPr>
          <w:p>
            <w:r>
              <w:t>9</w:t>
            </w:r>
          </w:p>
        </w:tc>
        <w:tc>
          <w:tcPr>
            <w:tcW w:type="dxa" w:w="8640"/>
            <w:vAlign w:val="top"/>
          </w:tcPr>
          <w:p>
            <w:r>
              <w:t>IA institucional, qualidade e detecção de conflitos.</w:t>
            </w:r>
          </w:p>
        </w:tc>
      </w:tr>
      <w:tr>
        <w:trPr>
          <w:cantSplit/>
        </w:trPr>
        <w:tc>
          <w:tcPr>
            <w:tcW w:type="dxa" w:w="1152"/>
            <w:vAlign w:val="top"/>
          </w:tcPr>
          <w:p>
            <w:r>
              <w:t>10</w:t>
            </w:r>
          </w:p>
        </w:tc>
        <w:tc>
          <w:tcPr>
            <w:tcW w:type="dxa" w:w="8640"/>
            <w:vAlign w:val="top"/>
          </w:tcPr>
          <w:p>
            <w:r>
              <w:t>Open data, APIs, eventos e publicação nacional.</w:t>
            </w:r>
          </w:p>
        </w:tc>
      </w:tr>
    </w:tbl>
    <w:p/>
    <w:p>
      <w:pPr>
        <w:pStyle w:val="Heading2"/>
      </w:pPr>
      <w:r>
        <w:t>29.31 Critérios de aceitação</w:t>
      </w:r>
    </w:p>
    <w:p>
      <w:pPr>
        <w:pStyle w:val="ListBullet"/>
      </w:pPr>
      <w:r>
        <w:t>Município pode ser ativado e suspenso sem perda de histórico.</w:t>
      </w:r>
    </w:p>
    <w:p>
      <w:pPr>
        <w:pStyle w:val="ListBullet"/>
      </w:pPr>
      <w:r>
        <w:t>Documento original e versão derivada são rastreáveis por hash.</w:t>
      </w:r>
    </w:p>
    <w:p>
      <w:pPr>
        <w:pStyle w:val="ListBullet"/>
      </w:pPr>
      <w:r>
        <w:t>Lei/mapa publicados têm vigência e órgão responsável.</w:t>
      </w:r>
    </w:p>
    <w:p>
      <w:pPr>
        <w:pStyle w:val="ListBullet"/>
      </w:pPr>
      <w:r>
        <w:t>Nenhum dado rascunho alimenta relatório público.</w:t>
      </w:r>
    </w:p>
    <w:p>
      <w:pPr>
        <w:pStyle w:val="ListBullet"/>
      </w:pPr>
      <w:r>
        <w:t>Parcela CTM pode ser relacionada a inscrição e CIB sem fundir identidades indevidamente.</w:t>
      </w:r>
    </w:p>
    <w:p>
      <w:pPr>
        <w:pStyle w:val="ListBullet"/>
      </w:pPr>
      <w:r>
        <w:t>Matrícula é tratada como referência registral, nunca como dado municipal soberano.</w:t>
      </w:r>
    </w:p>
    <w:p>
      <w:pPr>
        <w:pStyle w:val="ListBullet"/>
      </w:pPr>
      <w:r>
        <w:t>IPTU é calculado com regra e exercício reproduzíveis.</w:t>
      </w:r>
    </w:p>
    <w:p>
      <w:pPr>
        <w:pStyle w:val="ListBullet"/>
      </w:pPr>
      <w:r>
        <w:t>Dados fiscais/pessoais restritos nunca aparecem em API pública.</w:t>
      </w:r>
    </w:p>
    <w:p>
      <w:pPr>
        <w:pStyle w:val="ListBullet"/>
      </w:pPr>
      <w:r>
        <w:t>Publicação municipal invalida/recalcula imóveis afetados.</w:t>
      </w:r>
    </w:p>
    <w:p>
      <w:pPr>
        <w:pStyle w:val="ListBullet"/>
      </w:pPr>
      <w:r>
        <w:t>IA cita evidência e respeita exatamente o mesmo RBAC dos documentos.</w:t>
      </w:r>
    </w:p>
    <w:p>
      <w:pPr>
        <w:pStyle w:val="ListBullet"/>
      </w:pPr>
      <w:r>
        <w:t>Município consegue exportar seus dados e encerrar a adesão.</w:t>
      </w:r>
    </w:p>
    <w:p>
      <w:pPr>
        <w:pStyle w:val="Heading2"/>
      </w:pPr>
      <w:r>
        <w:t>29.32 O que este módulo não deve fazer</w:t>
      </w:r>
    </w:p>
    <w:p>
      <w:pPr>
        <w:pStyle w:val="ListBullet"/>
      </w:pPr>
      <w:r>
        <w:t>Não substituir o Diário Oficial como veículo jurídico quando a legislação exigir publicação formal específica.</w:t>
      </w:r>
    </w:p>
    <w:p>
      <w:pPr>
        <w:pStyle w:val="ListBullet"/>
      </w:pPr>
      <w:r>
        <w:t>Não criar lei, alíquota, zoneamento ou parâmetro por IA.</w:t>
      </w:r>
    </w:p>
    <w:p>
      <w:pPr>
        <w:pStyle w:val="ListBullet"/>
      </w:pPr>
      <w:r>
        <w:t>Não expor contribuinte, débito ou dado protegido por padrão.</w:t>
      </w:r>
    </w:p>
    <w:p>
      <w:pPr>
        <w:pStyle w:val="ListBullet"/>
      </w:pPr>
      <w:r>
        <w:t>Não tratar matrícula como cadastro municipal.</w:t>
      </w:r>
    </w:p>
    <w:p>
      <w:pPr>
        <w:pStyle w:val="ListBullet"/>
      </w:pPr>
      <w:r>
        <w:t>Não publicar mapa vetorizado de PDF como oficial sem homologação.</w:t>
      </w:r>
    </w:p>
    <w:p>
      <w:pPr>
        <w:pStyle w:val="ListBullet"/>
      </w:pPr>
      <w:r>
        <w:t>Não sobrescrever divergência entre cadastro, registro e geometria externa.</w:t>
      </w:r>
    </w:p>
    <w:p>
      <w:pPr>
        <w:pStyle w:val="ListBullet"/>
      </w:pPr>
      <w:r>
        <w:t>Não obrigar a prefeitura a trocar todos os seus sistemas legados para aderir.</w:t>
      </w:r>
    </w:p>
    <w:p>
      <w:pPr>
        <w:pStyle w:val="ListBullet"/>
      </w:pPr>
      <w:r>
        <w:t>Não criar o painel administrativo central da plataforma neste módulo.</w:t>
      </w:r>
    </w:p>
    <w:p>
      <w:pPr>
        <w:pStyle w:val="Heading2"/>
      </w:pPr>
      <w:r>
        <w:t>29.33 Base normativa e referências específicas do módulo Prefeitura</w:t>
      </w:r>
    </w:p>
    <w:p>
      <w:r>
        <w:t>As referências [R80] a [R85], incluídas ao final do documento, sustentam o desenho de CTM, SINTER/CIB, Governo Digital e abertura/interoperabilidade dos dados públicos. Estatuto da Cidade [R1], Parcelamento do Solo [R2] e LGPD [R48] continuam aplicáveis às partes correspondentes.</w:t>
      </w:r>
    </w:p>
    <w:p>
      <w:pPr>
        <w:pStyle w:val="Heading1"/>
      </w:pPr>
      <w:r>
        <w:t>30. Arquitetura de IA — três IAs especializadas sobre uma plataforma única</w:t>
      </w:r>
    </w:p>
    <w:p>
      <w:r>
        <w:t>Decisão arquitetural. A plataforma deve apresentar três IAs especializadas ao usuário — A.I Cidades, A.I Condomínio e A.I TEC — mas não deve construir três infraestruturas independentes. As três compartilham um AI Core responsável por identidade, roteamento, modelos, RAG, ferramentas, segurança, auditoria, avaliações, custos e observabilidade. Essa separação mantém especialização sem criar duplicação operacional nem silos de tecnologia.</w:t>
      </w:r>
    </w:p>
    <w:p>
      <w:r>
        <w:drawing>
          <wp:inline xmlns:a="http://schemas.openxmlformats.org/drawingml/2006/main" xmlns:pic="http://schemas.openxmlformats.org/drawingml/2006/picture">
            <wp:extent cx="6172200" cy="4129238"/>
            <wp:docPr id="10" name="Picture 10" descr="Figura — Três IAs de negócio sobre um núcleo compartilhado de dados, regras e governança." title="Figura — Três IAs de negócio sobre um núcleo compartilhado de dados, regras e governança."/>
            <wp:cNvGraphicFramePr>
              <a:graphicFrameLocks noChangeAspect="1"/>
            </wp:cNvGraphicFramePr>
            <a:graphic>
              <a:graphicData uri="http://schemas.openxmlformats.org/drawingml/2006/picture">
                <pic:pic>
                  <pic:nvPicPr>
                    <pic:cNvPr id="0" name="ai_architecture.png"/>
                    <pic:cNvPicPr/>
                  </pic:nvPicPr>
                  <pic:blipFill>
                    <a:blip r:embed="rId20"/>
                    <a:stretch>
                      <a:fillRect/>
                    </a:stretch>
                  </pic:blipFill>
                  <pic:spPr>
                    <a:xfrm>
                      <a:off x="0" y="0"/>
                      <a:ext cx="6172200" cy="4129238"/>
                    </a:xfrm>
                    <a:prstGeom prst="rect"/>
                  </pic:spPr>
                </pic:pic>
              </a:graphicData>
            </a:graphic>
          </wp:inline>
        </w:drawing>
      </w:r>
    </w:p>
    <w:p>
      <w:pPr>
        <w:pStyle w:val="CaptionLD"/>
      </w:pPr>
      <w:r>
        <w:t>Figura — Três IAs de negócio sobre um núcleo compartilhado de dados, regras e governança.</w:t>
      </w:r>
    </w:p>
    <w:p>
      <w:pPr>
        <w:pStyle w:val="Heading2"/>
      </w:pPr>
      <w:r>
        <w:t>30.1 Quantas IAs realmente teremos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blHeader w:val="true"/>
          <w:cantSplit/>
        </w:trPr>
        <w:tc>
          <w:tcPr>
            <w:tcW w:type="dxa" w:w="1872"/>
            <w:vAlign w:val="center"/>
          </w:tcPr>
          <w:p>
            <w:r>
              <w:rPr>
                <w:b/>
              </w:rPr>
              <w:t>IA</w:t>
            </w:r>
          </w:p>
        </w:tc>
        <w:tc>
          <w:tcPr>
            <w:tcW w:type="dxa" w:w="2880"/>
            <w:vAlign w:val="center"/>
          </w:tcPr>
          <w:p>
            <w:r>
              <w:rPr>
                <w:b/>
              </w:rPr>
              <w:t>Responsabilidade</w:t>
            </w:r>
          </w:p>
        </w:tc>
        <w:tc>
          <w:tcPr>
            <w:tcW w:type="dxa" w:w="3744"/>
            <w:vAlign w:val="center"/>
          </w:tcPr>
          <w:p>
            <w:r>
              <w:rPr>
                <w:b/>
              </w:rPr>
              <w:t>Conhecimento principal</w:t>
            </w:r>
          </w:p>
        </w:tc>
        <w:tc>
          <w:tcPr>
            <w:tcW w:type="dxa" w:w="3024"/>
            <w:vAlign w:val="center"/>
          </w:tcPr>
          <w:p>
            <w:r>
              <w:rPr>
                <w:b/>
              </w:rPr>
              <w:t>O que não deve fazer</w:t>
            </w:r>
          </w:p>
        </w:tc>
      </w:tr>
      <w:tr>
        <w:trPr>
          <w:cantSplit/>
        </w:trPr>
        <w:tc>
          <w:tcPr>
            <w:tcW w:type="dxa" w:w="1872"/>
            <w:vAlign w:val="top"/>
          </w:tcPr>
          <w:p>
            <w:r>
              <w:t>1 — A.I Cidades</w:t>
            </w:r>
          </w:p>
        </w:tc>
        <w:tc>
          <w:tcPr>
            <w:tcW w:type="dxa" w:w="2880"/>
            <w:vAlign w:val="top"/>
          </w:tcPr>
          <w:p>
            <w:r>
              <w:t>Plano Diretor, leis municipais, Prefeitura, zoneamento e viabilidade normativa.</w:t>
            </w:r>
          </w:p>
        </w:tc>
        <w:tc>
          <w:tcPr>
            <w:tcW w:type="dxa" w:w="3744"/>
            <w:vAlign w:val="top"/>
          </w:tcPr>
          <w:p>
            <w:r>
              <w:t>Normas municipais, mapas, CTM, legislação temporal, parâmetros urbanísticos, GIS e serviços públicos.</w:t>
            </w:r>
          </w:p>
        </w:tc>
        <w:tc>
          <w:tcPr>
            <w:tcW w:type="dxa" w:w="3024"/>
            <w:vAlign w:val="top"/>
          </w:tcPr>
          <w:p>
            <w:r>
              <w:t>Não criar norma, não substituir o motor jurídico e não responder sem evidência suficiente.</w:t>
            </w:r>
          </w:p>
        </w:tc>
      </w:tr>
      <w:tr>
        <w:trPr>
          <w:cantSplit/>
        </w:trPr>
        <w:tc>
          <w:tcPr>
            <w:tcW w:type="dxa" w:w="1872"/>
            <w:vAlign w:val="top"/>
          </w:tcPr>
          <w:p>
            <w:r>
              <w:t>2 — A.I Condomínio</w:t>
            </w:r>
          </w:p>
        </w:tc>
        <w:tc>
          <w:tcPr>
            <w:tcW w:type="dxa" w:w="2880"/>
            <w:vAlign w:val="top"/>
          </w:tcPr>
          <w:p>
            <w:r>
              <w:t>Responder regras internas de condomínios verticais/horizontais e apoiar gestão documental.</w:t>
            </w:r>
          </w:p>
        </w:tc>
        <w:tc>
          <w:tcPr>
            <w:tcW w:type="dxa" w:w="3744"/>
            <w:vAlign w:val="top"/>
          </w:tcPr>
          <w:p>
            <w:r>
              <w:t>Convenção, regimento, atas, editais, comunicados, laudos e legislação externa aplicável.</w:t>
            </w:r>
          </w:p>
        </w:tc>
        <w:tc>
          <w:tcPr>
            <w:tcW w:type="dxa" w:w="3024"/>
            <w:vAlign w:val="top"/>
          </w:tcPr>
          <w:p>
            <w:r>
              <w:t>Não misturar documentos de condomínios diferentes, não aplicar multa nem decidir questão jurídica autonomamente.</w:t>
            </w:r>
          </w:p>
        </w:tc>
      </w:tr>
      <w:tr>
        <w:trPr>
          <w:cantSplit/>
        </w:trPr>
        <w:tc>
          <w:tcPr>
            <w:tcW w:type="dxa" w:w="1872"/>
            <w:vAlign w:val="top"/>
          </w:tcPr>
          <w:p>
            <w:r>
              <w:t>3 — A.I TEC</w:t>
            </w:r>
          </w:p>
        </w:tc>
        <w:tc>
          <w:tcPr>
            <w:tcW w:type="dxa" w:w="2880"/>
            <w:vAlign w:val="top"/>
          </w:tcPr>
          <w:p>
            <w:r>
              <w:t>Gerar e editar alternativas arquitetônicas, urbanísticas, solares e 3D.</w:t>
            </w:r>
          </w:p>
        </w:tc>
        <w:tc>
          <w:tcPr>
            <w:tcW w:type="dxa" w:w="3744"/>
            <w:vAlign w:val="top"/>
          </w:tcPr>
          <w:p>
            <w:r>
              <w:t>Terreno, restrições, Design DNA, programa, geometrias, simulações, custos, mercado e regras recebidas dos motores.</w:t>
            </w:r>
          </w:p>
        </w:tc>
        <w:tc>
          <w:tcPr>
            <w:tcW w:type="dxa" w:w="3024"/>
            <w:vAlign w:val="top"/>
          </w:tcPr>
          <w:p>
            <w:r>
              <w:t>Não declarar projeto aprovado e não usar o LLM como substituto de solver geométrico/estrutural/legal.</w:t>
            </w:r>
          </w:p>
        </w:tc>
      </w:tr>
    </w:tbl>
    <w:p/>
    <w:p>
      <w:r>
        <w:t>Imóvel 360 e RE Rural são principalmente domínios de dados, ferramentas e análises. Eles não precisam, no início, de um quarto modelo fundacional. Suas informações podem ser consumidas pelas três IAs por APIs e ferramentas determinísticas. Se no futuro houver um “Copiloto Geral”, ele será uma interface de roteamento sobre essas três especializações, não um novo repositório de conhecimento.</w:t>
      </w:r>
    </w:p>
    <w:p>
      <w:pPr>
        <w:pStyle w:val="Heading2"/>
      </w:pPr>
      <w:r>
        <w:t>30.2 Não treinar legislação ou convenções dentro do modelo</w:t>
      </w:r>
    </w:p>
    <w:p>
      <w:r>
        <w:t>Planos Diretores, leis, atas e convenções mudam. O conhecimento jurídico-operacional deve ficar fora dos pesos do modelo e ser recuperado no momento da pergunta. Carregar um novo PDF não significa “retreinar a IA”; significa processar, versionar, indexar e disponibilizar aquele documento para recuperação com controle de acesso e vigência.</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2160"/>
            <w:vAlign w:val="center"/>
          </w:tcPr>
          <w:p>
            <w:r>
              <w:rPr>
                <w:b/>
              </w:rPr>
              <w:t>Técnica</w:t>
            </w:r>
          </w:p>
        </w:tc>
        <w:tc>
          <w:tcPr>
            <w:tcW w:type="dxa" w:w="4032"/>
            <w:vAlign w:val="center"/>
          </w:tcPr>
          <w:p>
            <w:r>
              <w:rPr>
                <w:b/>
              </w:rPr>
              <w:t>Usar para</w:t>
            </w:r>
          </w:p>
        </w:tc>
        <w:tc>
          <w:tcPr>
            <w:tcW w:type="dxa" w:w="4464"/>
            <w:vAlign w:val="center"/>
          </w:tcPr>
          <w:p>
            <w:r>
              <w:rPr>
                <w:b/>
              </w:rPr>
              <w:t>Não usar para</w:t>
            </w:r>
          </w:p>
        </w:tc>
      </w:tr>
      <w:tr>
        <w:trPr>
          <w:cantSplit/>
        </w:trPr>
        <w:tc>
          <w:tcPr>
            <w:tcW w:type="dxa" w:w="2160"/>
            <w:vAlign w:val="top"/>
          </w:tcPr>
          <w:p>
            <w:r>
              <w:t>RAG / busca híbrida</w:t>
            </w:r>
          </w:p>
        </w:tc>
        <w:tc>
          <w:tcPr>
            <w:tcW w:type="dxa" w:w="4032"/>
            <w:vAlign w:val="top"/>
          </w:tcPr>
          <w:p>
            <w:r>
              <w:t>Leis, planos, convenções, atas, manuais, pareceres, documentos e conteúdo mutável.</w:t>
            </w:r>
          </w:p>
        </w:tc>
        <w:tc>
          <w:tcPr>
            <w:tcW w:type="dxa" w:w="4464"/>
            <w:vAlign w:val="top"/>
          </w:tcPr>
          <w:p>
            <w:r>
              <w:t>Geometria complexa que deve ser calculada diretamente.</w:t>
            </w:r>
          </w:p>
        </w:tc>
      </w:tr>
      <w:tr>
        <w:trPr>
          <w:cantSplit/>
        </w:trPr>
        <w:tc>
          <w:tcPr>
            <w:tcW w:type="dxa" w:w="2160"/>
            <w:vAlign w:val="top"/>
          </w:tcPr>
          <w:p>
            <w:r>
              <w:t>Fine-tuning</w:t>
            </w:r>
          </w:p>
        </w:tc>
        <w:tc>
          <w:tcPr>
            <w:tcW w:type="dxa" w:w="4032"/>
            <w:vAlign w:val="top"/>
          </w:tcPr>
          <w:p>
            <w:r>
              <w:t>Classificação, extração estruturada, padrões de resposta e tarefas estáveis com grande conjunto de exemplos.</w:t>
            </w:r>
          </w:p>
        </w:tc>
        <w:tc>
          <w:tcPr>
            <w:tcW w:type="dxa" w:w="4464"/>
            <w:vAlign w:val="top"/>
          </w:tcPr>
          <w:p>
            <w:r>
              <w:t>Memorizar leis, zoneamento, atas ou dados que mudam frequentemente.</w:t>
            </w:r>
          </w:p>
        </w:tc>
      </w:tr>
      <w:tr>
        <w:trPr>
          <w:cantSplit/>
        </w:trPr>
        <w:tc>
          <w:tcPr>
            <w:tcW w:type="dxa" w:w="2160"/>
            <w:vAlign w:val="top"/>
          </w:tcPr>
          <w:p>
            <w:r>
              <w:t>Ferramentas / APIs</w:t>
            </w:r>
          </w:p>
        </w:tc>
        <w:tc>
          <w:tcPr>
            <w:tcW w:type="dxa" w:w="4032"/>
            <w:vAlign w:val="top"/>
          </w:tcPr>
          <w:p>
            <w:r>
              <w:t>SQL, PostGIS, cálculo tributário, simulações, regras, CAD/BIM, solar e dados vivos.</w:t>
            </w:r>
          </w:p>
        </w:tc>
        <w:tc>
          <w:tcPr>
            <w:tcW w:type="dxa" w:w="4464"/>
            <w:vAlign w:val="top"/>
          </w:tcPr>
          <w:p>
            <w:r>
              <w:t>Texto documental que pode ser melhor recuperado por pesquisa.</w:t>
            </w:r>
          </w:p>
        </w:tc>
      </w:tr>
      <w:tr>
        <w:trPr>
          <w:cantSplit/>
        </w:trPr>
        <w:tc>
          <w:tcPr>
            <w:tcW w:type="dxa" w:w="2160"/>
            <w:vAlign w:val="top"/>
          </w:tcPr>
          <w:p>
            <w:r>
              <w:t>Solvers determinísticos</w:t>
            </w:r>
          </w:p>
        </w:tc>
        <w:tc>
          <w:tcPr>
            <w:tcW w:type="dxa" w:w="4032"/>
            <w:vAlign w:val="top"/>
          </w:tcPr>
          <w:p>
            <w:r>
              <w:t>Restrições geométricas, vagas, implantação, áreas, regras duras e otimização.</w:t>
            </w:r>
          </w:p>
        </w:tc>
        <w:tc>
          <w:tcPr>
            <w:tcW w:type="dxa" w:w="4464"/>
            <w:vAlign w:val="top"/>
          </w:tcPr>
          <w:p>
            <w:r>
              <w:t>Conversação e explicação em linguagem natural.</w:t>
            </w:r>
          </w:p>
        </w:tc>
      </w:tr>
    </w:tbl>
    <w:p/>
    <w:p>
      <w:pPr>
        <w:pStyle w:val="Heading2"/>
      </w:pPr>
      <w:r>
        <w:t>30.3 AI Core / AI Gateway</w:t>
      </w:r>
    </w:p>
    <w:p>
      <w:r>
        <w:t>O AI Core é um serviço de plataforma. Nenhuma tela deve chamar diretamente um fornecedor de modelo. Todo pedido passa por esse gateway, permitindo trocar modelos, aplicar políticas, limitar custos, auditar ferramentas e usar provedores diferentes sem reescrever os módulos.</w:t>
      </w:r>
    </w:p>
    <w:p>
      <w:pPr>
        <w:pStyle w:val="ListBullet"/>
      </w:pPr>
      <w:r>
        <w:t>Autenticação e identidade do usuário/tenant.</w:t>
      </w:r>
    </w:p>
    <w:p>
      <w:pPr>
        <w:pStyle w:val="ListBullet"/>
      </w:pPr>
      <w:r>
        <w:t>Router de intenção: identifica A.I Cidades, A.I Condomínio, A.I TEC ou workflow combinado.</w:t>
      </w:r>
    </w:p>
    <w:p>
      <w:pPr>
        <w:pStyle w:val="ListBullet"/>
      </w:pPr>
      <w:r>
        <w:t>Model Router: escolhe modelo pequeno, modelo de raciocínio, visão/OCR, embeddings ou fallback.</w:t>
      </w:r>
    </w:p>
    <w:p>
      <w:pPr>
        <w:pStyle w:val="ListBullet"/>
      </w:pPr>
      <w:r>
        <w:t>Prompt Registry: prompts versionados, testados e associados a domínio/versão.</w:t>
      </w:r>
    </w:p>
    <w:p>
      <w:pPr>
        <w:pStyle w:val="ListBullet"/>
      </w:pPr>
      <w:r>
        <w:t>Tool Registry: ferramentas com schema, escopo, timeout e autorização próprios.</w:t>
      </w:r>
    </w:p>
    <w:p>
      <w:pPr>
        <w:pStyle w:val="ListBullet"/>
      </w:pPr>
      <w:r>
        <w:t>Retrieval Gateway: pesquisa lexical, vetorial, reranking e filtros de autorização.</w:t>
      </w:r>
    </w:p>
    <w:p>
      <w:pPr>
        <w:pStyle w:val="ListBullet"/>
      </w:pPr>
      <w:r>
        <w:t>Policy Engine: regras de segurança, LGPD, limite de autonomia e necessidade de revisão humana.</w:t>
      </w:r>
    </w:p>
    <w:p>
      <w:pPr>
        <w:pStyle w:val="ListBullet"/>
      </w:pPr>
      <w:r>
        <w:t>Trace/Telemetry: modelo, versão, fontes, tools, latência, tokens, custo e resultado.</w:t>
      </w:r>
    </w:p>
    <w:p>
      <w:pPr>
        <w:pStyle w:val="ListBullet"/>
      </w:pPr>
      <w:r>
        <w:t>Evaluation hooks: avaliação online/offline e regressão antes de novas versões.</w:t>
      </w:r>
    </w:p>
    <w:p>
      <w:pPr>
        <w:pStyle w:val="Heading2"/>
      </w:pPr>
      <w:r>
        <w:t>30.4 Catálogo de modelos e roteamento por tarefa</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2304"/>
            <w:vAlign w:val="center"/>
          </w:tcPr>
          <w:p>
            <w:r>
              <w:rPr>
                <w:b/>
              </w:rPr>
              <w:t>Classe de modelo</w:t>
            </w:r>
          </w:p>
        </w:tc>
        <w:tc>
          <w:tcPr>
            <w:tcW w:type="dxa" w:w="4032"/>
            <w:vAlign w:val="center"/>
          </w:tcPr>
          <w:p>
            <w:r>
              <w:rPr>
                <w:b/>
              </w:rPr>
              <w:t>Tarefas</w:t>
            </w:r>
          </w:p>
        </w:tc>
        <w:tc>
          <w:tcPr>
            <w:tcW w:type="dxa" w:w="4320"/>
            <w:vAlign w:val="center"/>
          </w:tcPr>
          <w:p>
            <w:r>
              <w:rPr>
                <w:b/>
              </w:rPr>
              <w:t>Estratégia</w:t>
            </w:r>
          </w:p>
        </w:tc>
      </w:tr>
      <w:tr>
        <w:trPr>
          <w:cantSplit/>
        </w:trPr>
        <w:tc>
          <w:tcPr>
            <w:tcW w:type="dxa" w:w="2304"/>
            <w:vAlign w:val="top"/>
          </w:tcPr>
          <w:p>
            <w:r>
              <w:t>Modelo econômico/rápido</w:t>
            </w:r>
          </w:p>
        </w:tc>
        <w:tc>
          <w:tcPr>
            <w:tcW w:type="dxa" w:w="4032"/>
            <w:vAlign w:val="top"/>
          </w:tcPr>
          <w:p>
            <w:r>
              <w:t>Intent routing, classificação, query rewrite, resumo simples e extração de campos.</w:t>
            </w:r>
          </w:p>
        </w:tc>
        <w:tc>
          <w:tcPr>
            <w:tcW w:type="dxa" w:w="4320"/>
            <w:vAlign w:val="top"/>
          </w:tcPr>
          <w:p>
            <w:r>
              <w:t>Default para alto volume; escalar apenas quando a tarefa exigir.</w:t>
            </w:r>
          </w:p>
        </w:tc>
      </w:tr>
      <w:tr>
        <w:trPr>
          <w:cantSplit/>
        </w:trPr>
        <w:tc>
          <w:tcPr>
            <w:tcW w:type="dxa" w:w="2304"/>
            <w:vAlign w:val="top"/>
          </w:tcPr>
          <w:p>
            <w:r>
              <w:t>Modelo de raciocínio</w:t>
            </w:r>
          </w:p>
        </w:tc>
        <w:tc>
          <w:tcPr>
            <w:tcW w:type="dxa" w:w="4032"/>
            <w:vAlign w:val="top"/>
          </w:tcPr>
          <w:p>
            <w:r>
              <w:t>Síntese jurídica complexa, conflitos entre normas, perguntas multi-documento e explicação de cenários.</w:t>
            </w:r>
          </w:p>
        </w:tc>
        <w:tc>
          <w:tcPr>
            <w:tcW w:type="dxa" w:w="4320"/>
            <w:vAlign w:val="top"/>
          </w:tcPr>
          <w:p>
            <w:r>
              <w:t>Acionado por risco/complexidade, não por toda pergunta.</w:t>
            </w:r>
          </w:p>
        </w:tc>
      </w:tr>
      <w:tr>
        <w:trPr>
          <w:cantSplit/>
        </w:trPr>
        <w:tc>
          <w:tcPr>
            <w:tcW w:type="dxa" w:w="2304"/>
            <w:vAlign w:val="top"/>
          </w:tcPr>
          <w:p>
            <w:r>
              <w:t>Modelo multimodal</w:t>
            </w:r>
          </w:p>
        </w:tc>
        <w:tc>
          <w:tcPr>
            <w:tcW w:type="dxa" w:w="4032"/>
            <w:vAlign w:val="top"/>
          </w:tcPr>
          <w:p>
            <w:r>
              <w:t>PDF escaneado, plantas, tabelas, mapas, imagens, fachadas e documentos com layout.</w:t>
            </w:r>
          </w:p>
        </w:tc>
        <w:tc>
          <w:tcPr>
            <w:tcW w:type="dxa" w:w="4320"/>
            <w:vAlign w:val="top"/>
          </w:tcPr>
          <w:p>
            <w:r>
              <w:t>Usado na ingestão e em análises visuais específicas.</w:t>
            </w:r>
          </w:p>
        </w:tc>
      </w:tr>
      <w:tr>
        <w:trPr>
          <w:cantSplit/>
        </w:trPr>
        <w:tc>
          <w:tcPr>
            <w:tcW w:type="dxa" w:w="2304"/>
            <w:vAlign w:val="top"/>
          </w:tcPr>
          <w:p>
            <w:r>
              <w:t>Embedding model</w:t>
            </w:r>
          </w:p>
        </w:tc>
        <w:tc>
          <w:tcPr>
            <w:tcW w:type="dxa" w:w="4032"/>
            <w:vAlign w:val="top"/>
          </w:tcPr>
          <w:p>
            <w:r>
              <w:t>Indexação semântica e recuperação.</w:t>
            </w:r>
          </w:p>
        </w:tc>
        <w:tc>
          <w:tcPr>
            <w:tcW w:type="dxa" w:w="4320"/>
            <w:vAlign w:val="top"/>
          </w:tcPr>
          <w:p>
            <w:r>
              <w:t>Versão gravada em cada embedding; migração/reindexação controlada.</w:t>
            </w:r>
          </w:p>
        </w:tc>
      </w:tr>
      <w:tr>
        <w:trPr>
          <w:cantSplit/>
        </w:trPr>
        <w:tc>
          <w:tcPr>
            <w:tcW w:type="dxa" w:w="2304"/>
            <w:vAlign w:val="top"/>
          </w:tcPr>
          <w:p>
            <w:r>
              <w:t>Modelos locais/self-hosted</w:t>
            </w:r>
          </w:p>
        </w:tc>
        <w:tc>
          <w:tcPr>
            <w:tcW w:type="dxa" w:w="4032"/>
            <w:vAlign w:val="top"/>
          </w:tcPr>
          <w:p>
            <w:r>
              <w:t>Casos com alta sensibilidade ou necessidade de soberania/custo previsível.</w:t>
            </w:r>
          </w:p>
        </w:tc>
        <w:tc>
          <w:tcPr>
            <w:tcW w:type="dxa" w:w="4320"/>
            <w:vAlign w:val="top"/>
          </w:tcPr>
          <w:p>
            <w:r>
              <w:t>Disponíveis via mesmo gateway, sem mudar a aplicação.</w:t>
            </w:r>
          </w:p>
        </w:tc>
      </w:tr>
    </w:tbl>
    <w:p/>
    <w:p>
      <w:r>
        <w:t>A aplicação deve ser model-agnostic. O domínio e os contratos ficam na plataforma; o fornecedor do modelo é uma dependência substituível. Versões de modelo devem ser fixadas por ambiente e liberadas somente após avaliação de regressão.</w:t>
      </w:r>
    </w:p>
    <w:p>
      <w:pPr>
        <w:pStyle w:val="Heading2"/>
      </w:pPr>
      <w:r>
        <w:t>30.5 Knowledge Plane — como um PDF vira conhecimento utilizável</w:t>
      </w:r>
    </w:p>
    <w:p>
      <w:r>
        <w:t>1. Receber o arquivo em área de quarentena e validar MIME, extensão, tamanho, malware e integridade.</w:t>
      </w:r>
    </w:p>
    <w:p>
      <w:r>
        <w:t>2. Salvar o original imutável em Object Storage e gerar hash.</w:t>
      </w:r>
    </w:p>
    <w:p>
      <w:r>
        <w:t>3. Executar extração de texto nativo; usar OCR apenas quando necessário.</w:t>
      </w:r>
    </w:p>
    <w:p>
      <w:r>
        <w:t>4. Analisar layout: páginas, colunas, cabeçalhos, tabelas, notas, anexos, mapas e assinaturas.</w:t>
      </w:r>
    </w:p>
    <w:p>
      <w:r>
        <w:t>5. Classificar o documento: lei, decreto, Plano Diretor, convenção, ata, regimento, laudo etc.</w:t>
      </w:r>
    </w:p>
    <w:p>
      <w:r>
        <w:t>6. Extrair metadados estruturados: órgão, número, data, vigência, município/condomínio, assunto e relações.</w:t>
      </w:r>
    </w:p>
    <w:p>
      <w:r>
        <w:t>7. Fragmentar por estrutura semântica — artigo, seção, cláusula, pauta, decisão, tabela — e não apenas por número fixo de tokens.</w:t>
      </w:r>
    </w:p>
    <w:p>
      <w:r>
        <w:t>8. Preservar em cada fragmento page_number, section_id, bbox, parent_document_id, valid_from, valid_to, tenant_id e ACL.</w:t>
      </w:r>
    </w:p>
    <w:p>
      <w:r>
        <w:t>9. Gerar embeddings e índice lexical; manter ambos porque busca híbrida é mais robusta para linguagem jurídica e códigos exatos.</w:t>
      </w:r>
    </w:p>
    <w:p>
      <w:r>
        <w:t>10. Executar controles de qualidade e publicar somente depois do workflow de homologação exigido pelo domínio.</w:t>
      </w:r>
    </w:p>
    <w:p>
      <w:pPr>
        <w:pStyle w:val="Heading2"/>
      </w:pPr>
      <w:r>
        <w:t>30.6 Estrutura de armazenamento recomendada</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448"/>
            <w:vAlign w:val="center"/>
          </w:tcPr>
          <w:p>
            <w:r>
              <w:rPr>
                <w:b/>
              </w:rPr>
              <w:t>Camada</w:t>
            </w:r>
          </w:p>
        </w:tc>
        <w:tc>
          <w:tcPr>
            <w:tcW w:type="dxa" w:w="7344"/>
            <w:vAlign w:val="center"/>
          </w:tcPr>
          <w:p>
            <w:r>
              <w:rPr>
                <w:b/>
              </w:rPr>
              <w:t>Tecnologia / papel</w:t>
            </w:r>
          </w:p>
        </w:tc>
      </w:tr>
      <w:tr>
        <w:trPr>
          <w:cantSplit/>
        </w:trPr>
        <w:tc>
          <w:tcPr>
            <w:tcW w:type="dxa" w:w="2448"/>
            <w:vAlign w:val="top"/>
          </w:tcPr>
          <w:p>
            <w:r>
              <w:t>Object Storage</w:t>
            </w:r>
          </w:p>
        </w:tc>
        <w:tc>
          <w:tcPr>
            <w:tcW w:type="dxa" w:w="7344"/>
            <w:vAlign w:val="top"/>
          </w:tcPr>
          <w:p>
            <w:r>
              <w:t>Originais, PDFs, imagens, DWG/KMZ/IFC, versões derivadas e evidências imutáveis.</w:t>
            </w:r>
          </w:p>
        </w:tc>
      </w:tr>
      <w:tr>
        <w:trPr>
          <w:cantSplit/>
        </w:trPr>
        <w:tc>
          <w:tcPr>
            <w:tcW w:type="dxa" w:w="2448"/>
            <w:vAlign w:val="top"/>
          </w:tcPr>
          <w:p>
            <w:r>
              <w:t>PostgreSQL</w:t>
            </w:r>
          </w:p>
        </w:tc>
        <w:tc>
          <w:tcPr>
            <w:tcW w:type="dxa" w:w="7344"/>
            <w:vAlign w:val="top"/>
          </w:tcPr>
          <w:p>
            <w:r>
              <w:t>Metadados, tenants, documentos, regras, versões, ACL, jobs, traces e configurações.</w:t>
            </w:r>
          </w:p>
        </w:tc>
      </w:tr>
      <w:tr>
        <w:trPr>
          <w:cantSplit/>
        </w:trPr>
        <w:tc>
          <w:tcPr>
            <w:tcW w:type="dxa" w:w="2448"/>
            <w:vAlign w:val="top"/>
          </w:tcPr>
          <w:p>
            <w:r>
              <w:t>PostGIS</w:t>
            </w:r>
          </w:p>
        </w:tc>
        <w:tc>
          <w:tcPr>
            <w:tcW w:type="dxa" w:w="7344"/>
            <w:vAlign w:val="top"/>
          </w:tcPr>
          <w:p>
            <w:r>
              <w:t>Parcelas, zones, sobreposições, infraestruturas e consultas espaciais; geografia nunca deve depender de embedding.</w:t>
            </w:r>
          </w:p>
        </w:tc>
      </w:tr>
      <w:tr>
        <w:trPr>
          <w:cantSplit/>
        </w:trPr>
        <w:tc>
          <w:tcPr>
            <w:tcW w:type="dxa" w:w="2448"/>
            <w:vAlign w:val="top"/>
          </w:tcPr>
          <w:p>
            <w:r>
              <w:t>Índice lexical</w:t>
            </w:r>
          </w:p>
        </w:tc>
        <w:tc>
          <w:tcPr>
            <w:tcW w:type="dxa" w:w="7344"/>
            <w:vAlign w:val="top"/>
          </w:tcPr>
          <w:p>
            <w:r>
              <w:t>BM25/full-text para artigos, números de lei, códigos, termos exatos e filtros.</w:t>
            </w:r>
          </w:p>
        </w:tc>
      </w:tr>
      <w:tr>
        <w:trPr>
          <w:cantSplit/>
        </w:trPr>
        <w:tc>
          <w:tcPr>
            <w:tcW w:type="dxa" w:w="2448"/>
            <w:vAlign w:val="top"/>
          </w:tcPr>
          <w:p>
            <w:r>
              <w:t>Índice vetorial</w:t>
            </w:r>
          </w:p>
        </w:tc>
        <w:tc>
          <w:tcPr>
            <w:tcW w:type="dxa" w:w="7344"/>
            <w:vAlign w:val="top"/>
          </w:tcPr>
          <w:p>
            <w:r>
              <w:t>Busca semântica; embeddings são derivados e podem ser reconstruídos.</w:t>
            </w:r>
          </w:p>
        </w:tc>
      </w:tr>
      <w:tr>
        <w:trPr>
          <w:cantSplit/>
        </w:trPr>
        <w:tc>
          <w:tcPr>
            <w:tcW w:type="dxa" w:w="2448"/>
            <w:vAlign w:val="top"/>
          </w:tcPr>
          <w:p>
            <w:r>
              <w:t>Reranker</w:t>
            </w:r>
          </w:p>
        </w:tc>
        <w:tc>
          <w:tcPr>
            <w:tcW w:type="dxa" w:w="7344"/>
            <w:vAlign w:val="top"/>
          </w:tcPr>
          <w:p>
            <w:r>
              <w:t>Reordena resultados para reduzir chunks irrelevantes antes do modelo.</w:t>
            </w:r>
          </w:p>
        </w:tc>
      </w:tr>
      <w:tr>
        <w:trPr>
          <w:cantSplit/>
        </w:trPr>
        <w:tc>
          <w:tcPr>
            <w:tcW w:type="dxa" w:w="2448"/>
            <w:vAlign w:val="top"/>
          </w:tcPr>
          <w:p>
            <w:r>
              <w:t>Rule/Temporal Store</w:t>
            </w:r>
          </w:p>
        </w:tc>
        <w:tc>
          <w:tcPr>
            <w:tcW w:type="dxa" w:w="7344"/>
            <w:vAlign w:val="top"/>
          </w:tcPr>
          <w:p>
            <w:r>
              <w:t>Relações ALTERA/REVOGA/REGULAMENTA, bitemporalidade, parâmetros e fatos verificados.</w:t>
            </w:r>
          </w:p>
        </w:tc>
      </w:tr>
      <w:tr>
        <w:trPr>
          <w:cantSplit/>
        </w:trPr>
        <w:tc>
          <w:tcPr>
            <w:tcW w:type="dxa" w:w="2448"/>
            <w:vAlign w:val="top"/>
          </w:tcPr>
          <w:p>
            <w:r>
              <w:t>Valkey / cache</w:t>
            </w:r>
          </w:p>
        </w:tc>
        <w:tc>
          <w:tcPr>
            <w:tcW w:type="dxa" w:w="7344"/>
            <w:vAlign w:val="top"/>
          </w:tcPr>
          <w:p>
            <w:r>
              <w:t>Cache de retrieval e resultados com chave por tenant + snapshot + versão + política.</w:t>
            </w:r>
          </w:p>
        </w:tc>
      </w:tr>
      <w:tr>
        <w:trPr>
          <w:cantSplit/>
        </w:trPr>
        <w:tc>
          <w:tcPr>
            <w:tcW w:type="dxa" w:w="2448"/>
            <w:vAlign w:val="top"/>
          </w:tcPr>
          <w:p>
            <w:r>
              <w:t>Queue / workers</w:t>
            </w:r>
          </w:p>
        </w:tc>
        <w:tc>
          <w:tcPr>
            <w:tcW w:type="dxa" w:w="7344"/>
            <w:vAlign w:val="top"/>
          </w:tcPr>
          <w:p>
            <w:r>
              <w:t>OCR, embeddings, extrações, reprocessamentos, avaliações e jobs longos do A.I TEC.</w:t>
            </w:r>
          </w:p>
        </w:tc>
      </w:tr>
    </w:tbl>
    <w:p/>
    <w:p>
      <w:pPr>
        <w:pStyle w:val="Heading2"/>
      </w:pPr>
      <w:r>
        <w:t>30.7 RAG jurídico: híbrido, temporal e com autoridade</w:t>
      </w:r>
    </w:p>
    <w:p>
      <w:r>
        <w:t>Para Plano Diretor e Condomínio, busca vetorial isolada não é suficiente. A recuperação precisa combinar semântica, texto exato, metadados, hierarquia documental, validade temporal e autoridade da fonte.</w:t>
      </w:r>
    </w:p>
    <w:p>
      <w:pPr>
        <w:pStyle w:val="ListBullet"/>
      </w:pPr>
      <w:r>
        <w:t>Filtro de tenant/jurisdição antes da recuperação.</w:t>
      </w:r>
    </w:p>
    <w:p>
      <w:pPr>
        <w:pStyle w:val="ListBullet"/>
      </w:pPr>
      <w:r>
        <w:t>Filtro temporal: considerar a data sobre a qual o usuário está perguntando.</w:t>
      </w:r>
    </w:p>
    <w:p>
      <w:pPr>
        <w:pStyle w:val="ListBullet"/>
      </w:pPr>
      <w:r>
        <w:t>Filtro de status: homologado/publicado/histórico/rascunho.</w:t>
      </w:r>
    </w:p>
    <w:p>
      <w:pPr>
        <w:pStyle w:val="ListBullet"/>
      </w:pPr>
      <w:r>
        <w:t>Busca lexical para números de lei, artigo, zona, matrícula, siglas e códigos.</w:t>
      </w:r>
    </w:p>
    <w:p>
      <w:pPr>
        <w:pStyle w:val="ListBullet"/>
      </w:pPr>
      <w:r>
        <w:t>Busca vetorial para perguntas em linguagem natural e sinônimos.</w:t>
      </w:r>
    </w:p>
    <w:p>
      <w:pPr>
        <w:pStyle w:val="ListBullet"/>
      </w:pPr>
      <w:r>
        <w:t>Reranking dos candidatos.</w:t>
      </w:r>
    </w:p>
    <w:p>
      <w:pPr>
        <w:pStyle w:val="ListBullet"/>
      </w:pPr>
      <w:r>
        <w:t>Expansão hierárquica: recuperar também artigo pai, tabela, anexo ou decisão associada quando necessário.</w:t>
      </w:r>
    </w:p>
    <w:p>
      <w:pPr>
        <w:pStyle w:val="ListBullet"/>
      </w:pPr>
      <w:r>
        <w:t>Consulta ao grafo temporal para validar revogação/alteração.</w:t>
      </w:r>
    </w:p>
    <w:p>
      <w:pPr>
        <w:pStyle w:val="ListBullet"/>
      </w:pPr>
      <w:r>
        <w:t>Consulta ao motor de regras para parâmetros estruturados.</w:t>
      </w:r>
    </w:p>
    <w:p>
      <w:pPr>
        <w:pStyle w:val="ListBullet"/>
      </w:pPr>
      <w:r>
        <w:t>Abstenção quando a evidência é insuficiente ou contraditória.</w:t>
      </w:r>
    </w:p>
    <w:p>
      <w:pPr>
        <w:pStyle w:val="Heading2"/>
      </w:pPr>
      <w:r>
        <w:t>30.8 Bitemporalidade para normas</w:t>
      </w:r>
    </w:p>
    <w:p>
      <w:r>
        <w:t>Normas e regras precisam de dois tempos: quando a regra era válida no mundo jurídico e quando o sistema tomou conhecimento dela. Esse modelo evita respostas anacrônicas e permite auditoria quando uma lei é publicada ou corrigida com atraso.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880"/>
            <w:vAlign w:val="center"/>
          </w:tcPr>
          <w:p>
            <w:r>
              <w:rPr>
                <w:b/>
              </w:rPr>
              <w:t>Campo</w:t>
            </w:r>
          </w:p>
        </w:tc>
        <w:tc>
          <w:tcPr>
            <w:tcW w:type="dxa" w:w="6912"/>
            <w:vAlign w:val="center"/>
          </w:tcPr>
          <w:p>
            <w:r>
              <w:rPr>
                <w:b/>
              </w:rPr>
              <w:t>Exemplo</w:t>
            </w:r>
          </w:p>
        </w:tc>
      </w:tr>
      <w:tr>
        <w:trPr>
          <w:cantSplit/>
        </w:trPr>
        <w:tc>
          <w:tcPr>
            <w:tcW w:type="dxa" w:w="2880"/>
            <w:vAlign w:val="top"/>
          </w:tcPr>
          <w:p>
            <w:r>
              <w:t>valid_from / valid_to</w:t>
            </w:r>
          </w:p>
        </w:tc>
        <w:tc>
          <w:tcPr>
            <w:tcW w:type="dxa" w:w="6912"/>
            <w:vAlign w:val="top"/>
          </w:tcPr>
          <w:p>
            <w:r>
              <w:t>Período em que a norma ou parâmetro produz efeitos.</w:t>
            </w:r>
          </w:p>
        </w:tc>
      </w:tr>
      <w:tr>
        <w:trPr>
          <w:cantSplit/>
        </w:trPr>
        <w:tc>
          <w:tcPr>
            <w:tcW w:type="dxa" w:w="2880"/>
            <w:vAlign w:val="top"/>
          </w:tcPr>
          <w:p>
            <w:r>
              <w:t>recorded_at / superseded_at</w:t>
            </w:r>
          </w:p>
        </w:tc>
        <w:tc>
          <w:tcPr>
            <w:tcW w:type="dxa" w:w="6912"/>
            <w:vAlign w:val="top"/>
          </w:tcPr>
          <w:p>
            <w:r>
              <w:t>Período em que aquela versão existiu no nosso sistema.</w:t>
            </w:r>
          </w:p>
        </w:tc>
      </w:tr>
      <w:tr>
        <w:trPr>
          <w:cantSplit/>
        </w:trPr>
        <w:tc>
          <w:tcPr>
            <w:tcW w:type="dxa" w:w="2880"/>
            <w:vAlign w:val="top"/>
          </w:tcPr>
          <w:p>
            <w:r>
              <w:t>publication_date</w:t>
            </w:r>
          </w:p>
        </w:tc>
        <w:tc>
          <w:tcPr>
            <w:tcW w:type="dxa" w:w="6912"/>
            <w:vAlign w:val="top"/>
          </w:tcPr>
          <w:p>
            <w:r>
              <w:t>Data oficial de publicação.</w:t>
            </w:r>
          </w:p>
        </w:tc>
      </w:tr>
      <w:tr>
        <w:trPr>
          <w:cantSplit/>
        </w:trPr>
        <w:tc>
          <w:tcPr>
            <w:tcW w:type="dxa" w:w="2880"/>
            <w:vAlign w:val="top"/>
          </w:tcPr>
          <w:p>
            <w:r>
              <w:t>effective_date</w:t>
            </w:r>
          </w:p>
        </w:tc>
        <w:tc>
          <w:tcPr>
            <w:tcW w:type="dxa" w:w="6912"/>
            <w:vAlign w:val="top"/>
          </w:tcPr>
          <w:p>
            <w:r>
              <w:t>Início de vigência, quando diferente.</w:t>
            </w:r>
          </w:p>
        </w:tc>
      </w:tr>
      <w:tr>
        <w:trPr>
          <w:cantSplit/>
        </w:trPr>
        <w:tc>
          <w:tcPr>
            <w:tcW w:type="dxa" w:w="2880"/>
            <w:vAlign w:val="top"/>
          </w:tcPr>
          <w:p>
            <w:r>
              <w:t>source_snapshot_id</w:t>
            </w:r>
          </w:p>
        </w:tc>
        <w:tc>
          <w:tcPr>
            <w:tcW w:type="dxa" w:w="6912"/>
            <w:vAlign w:val="top"/>
          </w:tcPr>
          <w:p>
            <w:r>
              <w:t>Snapshot exato utilizado em uma resposta.</w:t>
            </w:r>
          </w:p>
        </w:tc>
      </w:tr>
    </w:tbl>
    <w:p/>
    <w:p>
      <w:pPr>
        <w:pStyle w:val="Heading2"/>
      </w:pPr>
      <w:r>
        <w:t>30.9 Pipeline de cada pergunta</w:t>
      </w:r>
    </w:p>
    <w:p>
      <w:r>
        <w:drawing>
          <wp:inline xmlns:a="http://schemas.openxmlformats.org/drawingml/2006/main" xmlns:pic="http://schemas.openxmlformats.org/drawingml/2006/picture">
            <wp:extent cx="6172200" cy="3578809"/>
            <wp:docPr id="11" name="Picture 11" descr="Figura — A resposta só é gerada depois de autorização, grounding e ferramentas determinísticas." title="Figura — A resposta só é gerada depois de autorização, grounding e ferramentas determinísticas."/>
            <wp:cNvGraphicFramePr>
              <a:graphicFrameLocks noChangeAspect="1"/>
            </wp:cNvGraphicFramePr>
            <a:graphic>
              <a:graphicData uri="http://schemas.openxmlformats.org/drawingml/2006/picture">
                <pic:pic>
                  <pic:nvPicPr>
                    <pic:cNvPr id="0" name="ai_response_pipeline.png"/>
                    <pic:cNvPicPr/>
                  </pic:nvPicPr>
                  <pic:blipFill>
                    <a:blip r:embed="rId21"/>
                    <a:stretch>
                      <a:fillRect/>
                    </a:stretch>
                  </pic:blipFill>
                  <pic:spPr>
                    <a:xfrm>
                      <a:off x="0" y="0"/>
                      <a:ext cx="6172200" cy="3578809"/>
                    </a:xfrm>
                    <a:prstGeom prst="rect"/>
                  </pic:spPr>
                </pic:pic>
              </a:graphicData>
            </a:graphic>
          </wp:inline>
        </w:drawing>
      </w:r>
    </w:p>
    <w:p>
      <w:pPr>
        <w:pStyle w:val="CaptionLD"/>
      </w:pPr>
      <w:r>
        <w:t>Figura — A resposta só é gerada depois de autorização, grounding e ferramentas determinísticas.</w:t>
      </w:r>
    </w:p>
    <w:p>
      <w:r>
        <w:t>1. Autenticar usuário e resolver organização/tenant/permissões.</w:t>
      </w:r>
    </w:p>
    <w:p>
      <w:r>
        <w:t>2. Classificar intenção e nível de risco.</w:t>
      </w:r>
    </w:p>
    <w:p>
      <w:r>
        <w:t>3. Resolver contexto explícito: município, condomínio, imóvel, projeto e data de referência.</w:t>
      </w:r>
    </w:p>
    <w:p>
      <w:r>
        <w:t>4. Executar retrieval com ACL aplicada antes da busca.</w:t>
      </w:r>
    </w:p>
    <w:p>
      <w:r>
        <w:t>5. Consultar ferramentas determinísticas necessárias: PostGIS, regras, cálculo, cadastro, solver, solar etc.</w:t>
      </w:r>
    </w:p>
    <w:p>
      <w:r>
        <w:t>6. Gerar resposta em schema estruturado.</w:t>
      </w:r>
    </w:p>
    <w:p>
      <w:r>
        <w:t>7. Validar citações, temporalidade, contradições, regras e cálculos.</w:t>
      </w:r>
    </w:p>
    <w:p>
      <w:r>
        <w:t>8. Mostrar resposta, condições, fontes, incerteza e necessidade de revisão profissional.</w:t>
      </w:r>
    </w:p>
    <w:p>
      <w:r>
        <w:t>9. Persistir trace técnico e feedback para avaliação.</w:t>
      </w:r>
    </w:p>
    <w:p>
      <w:pPr>
        <w:pStyle w:val="Heading2"/>
      </w:pPr>
      <w:r>
        <w:t>30.10 Schema padrão de resposta</w:t>
      </w:r>
    </w:p>
    <w:p>
      <w:r>
        <w:t>As IAs jurídicas devem responder em uma estrutura comum. A interface pode apresentar isso de forma visual, mas o backend deve exigir JSON/schema validável para impedir respostas livres sem evidência.</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160"/>
            <w:vAlign w:val="center"/>
          </w:tcPr>
          <w:p>
            <w:r>
              <w:rPr>
                <w:b/>
              </w:rPr>
              <w:t>Campo</w:t>
            </w:r>
          </w:p>
        </w:tc>
        <w:tc>
          <w:tcPr>
            <w:tcW w:type="dxa" w:w="7632"/>
            <w:vAlign w:val="center"/>
          </w:tcPr>
          <w:p>
            <w:r>
              <w:rPr>
                <w:b/>
              </w:rPr>
              <w:t>Conteúdo</w:t>
            </w:r>
          </w:p>
        </w:tc>
      </w:tr>
      <w:tr>
        <w:trPr>
          <w:cantSplit/>
        </w:trPr>
        <w:tc>
          <w:tcPr>
            <w:tcW w:type="dxa" w:w="2160"/>
            <w:vAlign w:val="top"/>
          </w:tcPr>
          <w:p>
            <w:r>
              <w:t>status</w:t>
            </w:r>
          </w:p>
        </w:tc>
        <w:tc>
          <w:tcPr>
            <w:tcW w:type="dxa" w:w="7632"/>
            <w:vAlign w:val="top"/>
          </w:tcPr>
          <w:p>
            <w:r>
              <w:t>PERMITIDO / PROIBIDO / CONDICIONADO / NÃO DETERMINADO / CONFLITO.</w:t>
            </w:r>
          </w:p>
        </w:tc>
      </w:tr>
      <w:tr>
        <w:trPr>
          <w:cantSplit/>
        </w:trPr>
        <w:tc>
          <w:tcPr>
            <w:tcW w:type="dxa" w:w="2160"/>
            <w:vAlign w:val="top"/>
          </w:tcPr>
          <w:p>
            <w:r>
              <w:t>answer</w:t>
            </w:r>
          </w:p>
        </w:tc>
        <w:tc>
          <w:tcPr>
            <w:tcW w:type="dxa" w:w="7632"/>
            <w:vAlign w:val="top"/>
          </w:tcPr>
          <w:p>
            <w:r>
              <w:t>Explicação em linguagem natural.</w:t>
            </w:r>
          </w:p>
        </w:tc>
      </w:tr>
      <w:tr>
        <w:trPr>
          <w:cantSplit/>
        </w:trPr>
        <w:tc>
          <w:tcPr>
            <w:tcW w:type="dxa" w:w="2160"/>
            <w:vAlign w:val="top"/>
          </w:tcPr>
          <w:p>
            <w:r>
              <w:t>conditions</w:t>
            </w:r>
          </w:p>
        </w:tc>
        <w:tc>
          <w:tcPr>
            <w:tcW w:type="dxa" w:w="7632"/>
            <w:vAlign w:val="top"/>
          </w:tcPr>
          <w:p>
            <w:r>
              <w:t>Condições, exceções, quóruns, licenças ou providências necessárias.</w:t>
            </w:r>
          </w:p>
        </w:tc>
      </w:tr>
      <w:tr>
        <w:trPr>
          <w:cantSplit/>
        </w:trPr>
        <w:tc>
          <w:tcPr>
            <w:tcW w:type="dxa" w:w="2160"/>
            <w:vAlign w:val="top"/>
          </w:tcPr>
          <w:p>
            <w:r>
              <w:t>sources[]</w:t>
            </w:r>
          </w:p>
        </w:tc>
        <w:tc>
          <w:tcPr>
            <w:tcW w:type="dxa" w:w="7632"/>
            <w:vAlign w:val="top"/>
          </w:tcPr>
          <w:p>
            <w:r>
              <w:t>Documento, versão, página, artigo/cláusula, data e source_id.</w:t>
            </w:r>
          </w:p>
        </w:tc>
      </w:tr>
      <w:tr>
        <w:trPr>
          <w:cantSplit/>
        </w:trPr>
        <w:tc>
          <w:tcPr>
            <w:tcW w:type="dxa" w:w="2160"/>
            <w:vAlign w:val="top"/>
          </w:tcPr>
          <w:p>
            <w:r>
              <w:t>rules[]</w:t>
            </w:r>
          </w:p>
        </w:tc>
        <w:tc>
          <w:tcPr>
            <w:tcW w:type="dxa" w:w="7632"/>
            <w:vAlign w:val="top"/>
          </w:tcPr>
          <w:p>
            <w:r>
              <w:t>IDs de regras determinísticas efetivamente aplicadas.</w:t>
            </w:r>
          </w:p>
        </w:tc>
      </w:tr>
      <w:tr>
        <w:trPr>
          <w:cantSplit/>
        </w:trPr>
        <w:tc>
          <w:tcPr>
            <w:tcW w:type="dxa" w:w="2160"/>
            <w:vAlign w:val="top"/>
          </w:tcPr>
          <w:p>
            <w:r>
              <w:t>calculations[]</w:t>
            </w:r>
          </w:p>
        </w:tc>
        <w:tc>
          <w:tcPr>
            <w:tcW w:type="dxa" w:w="7632"/>
            <w:vAlign w:val="top"/>
          </w:tcPr>
          <w:p>
            <w:r>
              <w:t>Memórias de cálculo ou resultados de ferramentas.</w:t>
            </w:r>
          </w:p>
        </w:tc>
      </w:tr>
      <w:tr>
        <w:trPr>
          <w:cantSplit/>
        </w:trPr>
        <w:tc>
          <w:tcPr>
            <w:tcW w:type="dxa" w:w="2160"/>
            <w:vAlign w:val="top"/>
          </w:tcPr>
          <w:p>
            <w:r>
              <w:t>uncertainty</w:t>
            </w:r>
          </w:p>
        </w:tc>
        <w:tc>
          <w:tcPr>
            <w:tcW w:type="dxa" w:w="7632"/>
            <w:vAlign w:val="top"/>
          </w:tcPr>
          <w:p>
            <w:r>
              <w:t>Baixa/média/alta e motivo.</w:t>
            </w:r>
          </w:p>
        </w:tc>
      </w:tr>
      <w:tr>
        <w:trPr>
          <w:cantSplit/>
        </w:trPr>
        <w:tc>
          <w:tcPr>
            <w:tcW w:type="dxa" w:w="2160"/>
            <w:vAlign w:val="top"/>
          </w:tcPr>
          <w:p>
            <w:r>
              <w:t>missing_information[]</w:t>
            </w:r>
          </w:p>
        </w:tc>
        <w:tc>
          <w:tcPr>
            <w:tcW w:type="dxa" w:w="7632"/>
            <w:vAlign w:val="top"/>
          </w:tcPr>
          <w:p>
            <w:r>
              <w:t>Dados necessários que não foram localizados.</w:t>
            </w:r>
          </w:p>
        </w:tc>
      </w:tr>
      <w:tr>
        <w:trPr>
          <w:cantSplit/>
        </w:trPr>
        <w:tc>
          <w:tcPr>
            <w:tcW w:type="dxa" w:w="2160"/>
            <w:vAlign w:val="top"/>
          </w:tcPr>
          <w:p>
            <w:r>
              <w:t>professional_review</w:t>
            </w:r>
          </w:p>
        </w:tc>
        <w:tc>
          <w:tcPr>
            <w:tcW w:type="dxa" w:w="7632"/>
            <w:vAlign w:val="top"/>
          </w:tcPr>
          <w:p>
            <w:r>
              <w:t>Nenhuma / recomendada / obrigatória.</w:t>
            </w:r>
          </w:p>
        </w:tc>
      </w:tr>
      <w:tr>
        <w:trPr>
          <w:cantSplit/>
        </w:trPr>
        <w:tc>
          <w:tcPr>
            <w:tcW w:type="dxa" w:w="2160"/>
            <w:vAlign w:val="top"/>
          </w:tcPr>
          <w:p>
            <w:r>
              <w:t>trace_id</w:t>
            </w:r>
          </w:p>
        </w:tc>
        <w:tc>
          <w:tcPr>
            <w:tcW w:type="dxa" w:w="7632"/>
            <w:vAlign w:val="top"/>
          </w:tcPr>
          <w:p>
            <w:r>
              <w:t>Identificador técnico para reproduzir a resposta.</w:t>
            </w:r>
          </w:p>
        </w:tc>
      </w:tr>
    </w:tbl>
    <w:p/>
    <w:p>
      <w:pPr>
        <w:pStyle w:val="Heading2"/>
      </w:pPr>
      <w:r>
        <w:t>30.11 A.I Cidades — arquitetura específica</w:t>
      </w:r>
    </w:p>
    <w:p>
      <w:r>
        <w:t>A.I Cidades atende Plano Diretor, LoteDiretor e o conteúdo homologado pela Prefeitura. Ela deve operar como assistente jurídico-urbanístico grounded, não como um modelo que “sabe” a lei de memória.</w:t>
      </w:r>
    </w:p>
    <w:p>
      <w:pPr>
        <w:pStyle w:val="ListBullet"/>
      </w:pPr>
      <w:r>
        <w:t>Namespace primário por código IBGE.</w:t>
      </w:r>
    </w:p>
    <w:p>
      <w:pPr>
        <w:pStyle w:val="ListBullet"/>
      </w:pPr>
      <w:r>
        <w:t>Fontes: atos normativos, anexos, mapas, CTM, GIS, serviços municipais, dados estaduais/federais e snapshots históricos.</w:t>
      </w:r>
    </w:p>
    <w:p>
      <w:pPr>
        <w:pStyle w:val="ListBullet"/>
      </w:pPr>
      <w:r>
        <w:t>Resolver automaticamente município pela geometria do imóvel, mas permitir confirmação humana.</w:t>
      </w:r>
    </w:p>
    <w:p>
      <w:pPr>
        <w:pStyle w:val="ListBullet"/>
      </w:pPr>
      <w:r>
        <w:t>Consultar PostGIS para determinar interseções e zona; não pedir ao LLM para inferir uma zona visualmente.</w:t>
      </w:r>
    </w:p>
    <w:p>
      <w:pPr>
        <w:pStyle w:val="ListBullet"/>
      </w:pPr>
      <w:r>
        <w:t>Converter parâmetros críticos em regras estruturadas e revisadas.</w:t>
      </w:r>
    </w:p>
    <w:p>
      <w:pPr>
        <w:pStyle w:val="ListBullet"/>
      </w:pPr>
      <w:r>
        <w:t>Responder com artigo, anexo/mapa, vigência e cálculo.</w:t>
      </w:r>
    </w:p>
    <w:p>
      <w:pPr>
        <w:pStyle w:val="ListBullet"/>
      </w:pPr>
      <w:r>
        <w:t>Separar “fonte municipal homologada”, “fonte oficial externa” e “fonte pública descoberta”.</w:t>
      </w:r>
    </w:p>
    <w:p>
      <w:pPr>
        <w:pStyle w:val="ListBullet"/>
      </w:pPr>
      <w:r>
        <w:t>Quando um PDF novo é publicado, indexar e invalidar respostas/cache relacionados; não retreinar o modelo.</w:t>
      </w:r>
    </w:p>
    <w:p>
      <w:r>
        <w:t>Fluxo de atualização municipal: upload/publicação → parsing → extração → revisão/homologação → snapshot → indexação → eventos de invalidação → reprocessamento dos imóveis e avaliações impactadas.</w:t>
      </w:r>
    </w:p>
    <w:p>
      <w:pPr>
        <w:pStyle w:val="Heading2"/>
      </w:pPr>
      <w:r>
        <w:t>30.12 A.I Condomínio — arquitetura específica</w:t>
      </w:r>
    </w:p>
    <w:p>
      <w:r>
        <w:t>A.I Condomínio usa o mesmo motor RAG, mas o isolamento é mais rígido porque os documentos são privados e podem conter dados pessoais.</w:t>
      </w:r>
    </w:p>
    <w:p>
      <w:pPr>
        <w:pStyle w:val="ListBullet"/>
      </w:pPr>
      <w:r>
        <w:t>Todo documento tem tenant_id/condominium_id e ACL desde a ingestão.</w:t>
      </w:r>
    </w:p>
    <w:p>
      <w:pPr>
        <w:pStyle w:val="ListBullet"/>
      </w:pPr>
      <w:r>
        <w:t>O filtro de autorização ocorre antes da busca vetorial/lexical, nunca somente depois do retrieval.</w:t>
      </w:r>
    </w:p>
    <w:p>
      <w:pPr>
        <w:pStyle w:val="ListBullet"/>
      </w:pPr>
      <w:r>
        <w:t>Índices podem ser particionados por condomínio; clientes de alta sensibilidade podem usar índice/chave dedicados.</w:t>
      </w:r>
    </w:p>
    <w:p>
      <w:pPr>
        <w:pStyle w:val="ListBullet"/>
      </w:pPr>
      <w:r>
        <w:t>Convenção, regimento e atas têm hierarquia e vigência próprias.</w:t>
      </w:r>
    </w:p>
    <w:p>
      <w:pPr>
        <w:pStyle w:val="ListBullet"/>
      </w:pPr>
      <w:r>
        <w:t>A ata deve ter pauta, quórum, decisão, data e alcance extraídos e revisáveis.</w:t>
      </w:r>
    </w:p>
    <w:p>
      <w:pPr>
        <w:pStyle w:val="ListBullet"/>
      </w:pPr>
      <w:r>
        <w:t>Documentos recuperados são dados não confiáveis do ponto de vista de prompt injection: nunca podem instruir a IA a executar ferramenta.</w:t>
      </w:r>
    </w:p>
    <w:p>
      <w:pPr>
        <w:pStyle w:val="ListBullet"/>
      </w:pPr>
      <w:r>
        <w:t>A IA não envia advertência, multa, boleto, comunicação ou alteração cadastral sem ação explícita/autorizada do usuário.</w:t>
      </w:r>
    </w:p>
    <w:p>
      <w:r>
        <w:t>Uma pergunta como “posso instalar ar-condicionado na fachada?” deve primeiro buscar convenção/regimento/atas, depois consultar legislação externa quando necessária e finalmente responder com a hierarquia das evidências — nunca misturar conhecimento de outro condomínio.</w:t>
      </w:r>
    </w:p>
    <w:p>
      <w:pPr>
        <w:pStyle w:val="Heading2"/>
      </w:pPr>
      <w:r>
        <w:t>30.13 A.I TEC — arquitetura específica</w:t>
      </w:r>
    </w:p>
    <w:p>
      <w:r>
        <w:t>A.I TEC é diferente. O modelo de linguagem atua como planejador, tradutor de intenção e explicador. Geometria, otimização, áreas, vagas, sol, estrutura de programa e restrições duras são calculadas por motores determinísticos.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592"/>
            <w:vAlign w:val="center"/>
          </w:tcPr>
          <w:p>
            <w:r>
              <w:rPr>
                <w:b/>
              </w:rPr>
              <w:t>Camada</w:t>
            </w:r>
          </w:p>
        </w:tc>
        <w:tc>
          <w:tcPr>
            <w:tcW w:type="dxa" w:w="7200"/>
            <w:vAlign w:val="center"/>
          </w:tcPr>
          <w:p>
            <w:r>
              <w:rPr>
                <w:b/>
              </w:rPr>
              <w:t>Responsabilidade</w:t>
            </w:r>
          </w:p>
        </w:tc>
      </w:tr>
      <w:tr>
        <w:trPr>
          <w:cantSplit/>
        </w:trPr>
        <w:tc>
          <w:tcPr>
            <w:tcW w:type="dxa" w:w="2592"/>
            <w:vAlign w:val="top"/>
          </w:tcPr>
          <w:p>
            <w:r>
              <w:t>LLM/Agent</w:t>
            </w:r>
          </w:p>
        </w:tc>
        <w:tc>
          <w:tcPr>
            <w:tcW w:type="dxa" w:w="7200"/>
            <w:vAlign w:val="top"/>
          </w:tcPr>
          <w:p>
            <w:r>
              <w:t>Interpretar pedido, gerar ConstraintSpec, escolher ferramentas, explicar e editar intenção.</w:t>
            </w:r>
          </w:p>
        </w:tc>
      </w:tr>
      <w:tr>
        <w:trPr>
          <w:cantSplit/>
        </w:trPr>
        <w:tc>
          <w:tcPr>
            <w:tcW w:type="dxa" w:w="2592"/>
            <w:vAlign w:val="top"/>
          </w:tcPr>
          <w:p>
            <w:r>
              <w:t>Terrain/Parcel Engine</w:t>
            </w:r>
          </w:p>
        </w:tc>
        <w:tc>
          <w:tcPr>
            <w:tcW w:type="dxa" w:w="7200"/>
            <w:vAlign w:val="top"/>
          </w:tcPr>
          <w:p>
            <w:r>
              <w:t>KMZ/DWG/GeoJSON, topografia, parcela e coordenadas.</w:t>
            </w:r>
          </w:p>
        </w:tc>
      </w:tr>
      <w:tr>
        <w:trPr>
          <w:cantSplit/>
        </w:trPr>
        <w:tc>
          <w:tcPr>
            <w:tcW w:type="dxa" w:w="2592"/>
            <w:vAlign w:val="top"/>
          </w:tcPr>
          <w:p>
            <w:r>
              <w:t>Legal Constraint Engine</w:t>
            </w:r>
          </w:p>
        </w:tc>
        <w:tc>
          <w:tcPr>
            <w:tcW w:type="dxa" w:w="7200"/>
            <w:vAlign w:val="top"/>
          </w:tcPr>
          <w:p>
            <w:r>
              <w:t>Receber regras verificadas da A.I Cidades/LoteDiretor.</w:t>
            </w:r>
          </w:p>
        </w:tc>
      </w:tr>
      <w:tr>
        <w:trPr>
          <w:cantSplit/>
        </w:trPr>
        <w:tc>
          <w:tcPr>
            <w:tcW w:type="dxa" w:w="2592"/>
            <w:vAlign w:val="top"/>
          </w:tcPr>
          <w:p>
            <w:r>
              <w:t>Private Constraint Engine</w:t>
            </w:r>
          </w:p>
        </w:tc>
        <w:tc>
          <w:tcPr>
            <w:tcW w:type="dxa" w:w="7200"/>
            <w:vAlign w:val="top"/>
          </w:tcPr>
          <w:p>
            <w:r>
              <w:t>Receber regras aplicáveis da A.I Condomínio quando o projeto estiver em condomínio.</w:t>
            </w:r>
          </w:p>
        </w:tc>
      </w:tr>
      <w:tr>
        <w:trPr>
          <w:cantSplit/>
        </w:trPr>
        <w:tc>
          <w:tcPr>
            <w:tcW w:type="dxa" w:w="2592"/>
            <w:vAlign w:val="top"/>
          </w:tcPr>
          <w:p>
            <w:r>
              <w:t>Site/Building Solver</w:t>
            </w:r>
          </w:p>
        </w:tc>
        <w:tc>
          <w:tcPr>
            <w:tcW w:type="dxa" w:w="7200"/>
            <w:vAlign w:val="top"/>
          </w:tcPr>
          <w:p>
            <w:r>
              <w:t>Implantação, torres, casas, circulação, pavimentos, unit mix e plantas.</w:t>
            </w:r>
          </w:p>
        </w:tc>
      </w:tr>
      <w:tr>
        <w:trPr>
          <w:cantSplit/>
        </w:trPr>
        <w:tc>
          <w:tcPr>
            <w:tcW w:type="dxa" w:w="2592"/>
            <w:vAlign w:val="top"/>
          </w:tcPr>
          <w:p>
            <w:r>
              <w:t>Parking Solver</w:t>
            </w:r>
          </w:p>
        </w:tc>
        <w:tc>
          <w:tcPr>
            <w:tcW w:type="dxa" w:w="7200"/>
            <w:vAlign w:val="top"/>
          </w:tcPr>
          <w:p>
            <w:r>
              <w:t>Vagas, circulação, rampas, pilares, acessibilidade e EV.</w:t>
            </w:r>
          </w:p>
        </w:tc>
      </w:tr>
      <w:tr>
        <w:trPr>
          <w:cantSplit/>
        </w:trPr>
        <w:tc>
          <w:tcPr>
            <w:tcW w:type="dxa" w:w="2592"/>
            <w:vAlign w:val="top"/>
          </w:tcPr>
          <w:p>
            <w:r>
              <w:t>Solar Engine</w:t>
            </w:r>
          </w:p>
        </w:tc>
        <w:tc>
          <w:tcPr>
            <w:tcW w:type="dxa" w:w="7200"/>
            <w:vAlign w:val="top"/>
          </w:tcPr>
          <w:p>
            <w:r>
              <w:t>Sol, sombra, módulos, geração, economia e cenários.</w:t>
            </w:r>
          </w:p>
        </w:tc>
      </w:tr>
      <w:tr>
        <w:trPr>
          <w:cantSplit/>
        </w:trPr>
        <w:tc>
          <w:tcPr>
            <w:tcW w:type="dxa" w:w="2592"/>
            <w:vAlign w:val="top"/>
          </w:tcPr>
          <w:p>
            <w:r>
              <w:t>Analysis Engines</w:t>
            </w:r>
          </w:p>
        </w:tc>
        <w:tc>
          <w:tcPr>
            <w:tcW w:type="dxa" w:w="7200"/>
            <w:vAlign w:val="top"/>
          </w:tcPr>
          <w:p>
            <w:r>
              <w:t>Daylight, vento, ruído, terraplenagem, custos, carbono, VGV e margem.</w:t>
            </w:r>
          </w:p>
        </w:tc>
      </w:tr>
      <w:tr>
        <w:trPr>
          <w:cantSplit/>
        </w:trPr>
        <w:tc>
          <w:tcPr>
            <w:tcW w:type="dxa" w:w="2592"/>
            <w:vAlign w:val="top"/>
          </w:tcPr>
          <w:p>
            <w:r>
              <w:t>Validator</w:t>
            </w:r>
          </w:p>
        </w:tc>
        <w:tc>
          <w:tcPr>
            <w:tcW w:type="dxa" w:w="7200"/>
            <w:vAlign w:val="top"/>
          </w:tcPr>
          <w:p>
            <w:r>
              <w:t>Verificar regras duras antes de aceitar cenário.</w:t>
            </w:r>
          </w:p>
        </w:tc>
      </w:tr>
      <w:tr>
        <w:trPr>
          <w:cantSplit/>
        </w:trPr>
        <w:tc>
          <w:tcPr>
            <w:tcW w:type="dxa" w:w="2592"/>
            <w:vAlign w:val="top"/>
          </w:tcPr>
          <w:p>
            <w:r>
              <w:t>Exporter</w:t>
            </w:r>
          </w:p>
        </w:tc>
        <w:tc>
          <w:tcPr>
            <w:tcW w:type="dxa" w:w="7200"/>
            <w:vAlign w:val="top"/>
          </w:tcPr>
          <w:p>
            <w:r>
              <w:t>GeoJSON/KMZ/DWG/IFC/BIM/PDF/XLSX e artefatos de projeto.</w:t>
            </w:r>
          </w:p>
        </w:tc>
      </w:tr>
    </w:tbl>
    <w:p/>
    <w:p>
      <w:r>
        <w:t>A conversa nunca deve modificar a geometria diretamente por texto. O LLM produz uma operação estruturada, por exemplo `set_unit_mix`, `lock_building`, `move_access`, `set_max_basements`; o backend valida e só então o solver executa.</w:t>
      </w:r>
    </w:p>
    <w:p>
      <w:pPr>
        <w:pStyle w:val="Heading2"/>
      </w:pPr>
      <w:r>
        <w:t>30.14 Workflows previsíveis em vez de swarm livre</w:t>
      </w:r>
    </w:p>
    <w:p>
      <w:r>
        <w:t>Módulos regulatórios e jurídicos exigem rastreabilidade. Por isso a arquitetura padrão deve utilizar routing, prompt chaining e passos programáticos com gates. Multiagentes autônomos só devem ser adotados quando um benchmark provar ganho real.</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880"/>
            <w:vAlign w:val="center"/>
          </w:tcPr>
          <w:p>
            <w:r>
              <w:rPr>
                <w:b/>
              </w:rPr>
              <w:t>Padrão</w:t>
            </w:r>
          </w:p>
        </w:tc>
        <w:tc>
          <w:tcPr>
            <w:tcW w:type="dxa" w:w="6912"/>
            <w:vAlign w:val="center"/>
          </w:tcPr>
          <w:p>
            <w:r>
              <w:rPr>
                <w:b/>
              </w:rPr>
              <w:t>Onde usar</w:t>
            </w:r>
          </w:p>
        </w:tc>
      </w:tr>
      <w:tr>
        <w:trPr>
          <w:cantSplit/>
        </w:trPr>
        <w:tc>
          <w:tcPr>
            <w:tcW w:type="dxa" w:w="2880"/>
            <w:vAlign w:val="top"/>
          </w:tcPr>
          <w:p>
            <w:r>
              <w:t>Single augmented LLM</w:t>
            </w:r>
          </w:p>
        </w:tc>
        <w:tc>
          <w:tcPr>
            <w:tcW w:type="dxa" w:w="6912"/>
            <w:vAlign w:val="top"/>
          </w:tcPr>
          <w:p>
            <w:r>
              <w:t>Perguntas simples grounded em uma coleção e uma ou duas ferramentas.</w:t>
            </w:r>
          </w:p>
        </w:tc>
      </w:tr>
      <w:tr>
        <w:trPr>
          <w:cantSplit/>
        </w:trPr>
        <w:tc>
          <w:tcPr>
            <w:tcW w:type="dxa" w:w="2880"/>
            <w:vAlign w:val="top"/>
          </w:tcPr>
          <w:p>
            <w:r>
              <w:t>Routing</w:t>
            </w:r>
          </w:p>
        </w:tc>
        <w:tc>
          <w:tcPr>
            <w:tcW w:type="dxa" w:w="6912"/>
            <w:vAlign w:val="top"/>
          </w:tcPr>
          <w:p>
            <w:r>
              <w:t>Escolher Cidades, Condomínio, A.I TEC e classe de modelo.</w:t>
            </w:r>
          </w:p>
        </w:tc>
      </w:tr>
      <w:tr>
        <w:trPr>
          <w:cantSplit/>
        </w:trPr>
        <w:tc>
          <w:tcPr>
            <w:tcW w:type="dxa" w:w="2880"/>
            <w:vAlign w:val="top"/>
          </w:tcPr>
          <w:p>
            <w:r>
              <w:t>Prompt chain + gates</w:t>
            </w:r>
          </w:p>
        </w:tc>
        <w:tc>
          <w:tcPr>
            <w:tcW w:type="dxa" w:w="6912"/>
            <w:vAlign w:val="top"/>
          </w:tcPr>
          <w:p>
            <w:r>
              <w:t>Extração de norma → validação → regra → resposta.</w:t>
            </w:r>
          </w:p>
        </w:tc>
      </w:tr>
      <w:tr>
        <w:trPr>
          <w:cantSplit/>
        </w:trPr>
        <w:tc>
          <w:tcPr>
            <w:tcW w:type="dxa" w:w="2880"/>
            <w:vAlign w:val="top"/>
          </w:tcPr>
          <w:p>
            <w:r>
              <w:t>Parallel checks</w:t>
            </w:r>
          </w:p>
        </w:tc>
        <w:tc>
          <w:tcPr>
            <w:tcW w:type="dxa" w:w="6912"/>
            <w:vAlign w:val="top"/>
          </w:tcPr>
          <w:p>
            <w:r>
              <w:t>Verificação independente de citações, segurança, cálculo e conflito.</w:t>
            </w:r>
          </w:p>
        </w:tc>
      </w:tr>
      <w:tr>
        <w:trPr>
          <w:cantSplit/>
        </w:trPr>
        <w:tc>
          <w:tcPr>
            <w:tcW w:type="dxa" w:w="2880"/>
            <w:vAlign w:val="top"/>
          </w:tcPr>
          <w:p>
            <w:r>
              <w:t>Orchestrator-workers limitado</w:t>
            </w:r>
          </w:p>
        </w:tc>
        <w:tc>
          <w:tcPr>
            <w:tcW w:type="dxa" w:w="6912"/>
            <w:vAlign w:val="top"/>
          </w:tcPr>
          <w:p>
            <w:r>
              <w:t>Pesquisas complexas ou geração A.I TEC com subtarefas variáveis.</w:t>
            </w:r>
          </w:p>
        </w:tc>
      </w:tr>
      <w:tr>
        <w:trPr>
          <w:cantSplit/>
        </w:trPr>
        <w:tc>
          <w:tcPr>
            <w:tcW w:type="dxa" w:w="2880"/>
            <w:vAlign w:val="top"/>
          </w:tcPr>
          <w:p>
            <w:r>
              <w:t>Swarm/peer-to-peer</w:t>
            </w:r>
          </w:p>
        </w:tc>
        <w:tc>
          <w:tcPr>
            <w:tcW w:type="dxa" w:w="6912"/>
            <w:vAlign w:val="top"/>
          </w:tcPr>
          <w:p>
            <w:r>
              <w:t>Não usar como default em decisões legais ou workflows de alto risco.</w:t>
            </w:r>
          </w:p>
        </w:tc>
      </w:tr>
    </w:tbl>
    <w:p/>
    <w:p>
      <w:pPr>
        <w:pStyle w:val="Heading2"/>
      </w:pPr>
      <w:r>
        <w:t>30.15 Segurança contra prompt injection e conteúdo malicioso</w:t>
      </w:r>
    </w:p>
    <w:p>
      <w:r>
        <w:t>PDFs, páginas web e textos recuperados são dados não confiáveis. Um documento pode conter instruções maliciosas visíveis ou ocultas. RAG e fine-tuning não eliminam prompt injection; por isso a segurança deve existir na arquitetura.</w:t>
      </w:r>
    </w:p>
    <w:p>
      <w:pPr>
        <w:pStyle w:val="ListBullet"/>
      </w:pPr>
      <w:r>
        <w:t>Separar claramente system instructions de retrieved content.</w:t>
      </w:r>
    </w:p>
    <w:p>
      <w:pPr>
        <w:pStyle w:val="ListBullet"/>
      </w:pPr>
      <w:r>
        <w:t>Documentos não têm autoridade para solicitar tool calls.</w:t>
      </w:r>
    </w:p>
    <w:p>
      <w:pPr>
        <w:pStyle w:val="ListBullet"/>
      </w:pPr>
      <w:r>
        <w:t>Tool allowlist por agente, usuário, tenant e operação.</w:t>
      </w:r>
    </w:p>
    <w:p>
      <w:pPr>
        <w:pStyle w:val="ListBullet"/>
      </w:pPr>
      <w:r>
        <w:t>Schemas estritos; nunca executar SQL/shell/código arbitrário vindo do modelo.</w:t>
      </w:r>
    </w:p>
    <w:p>
      <w:pPr>
        <w:pStyle w:val="ListBullet"/>
      </w:pPr>
      <w:r>
        <w:t>Sandbox para conversores, OCR e arquivos CAD/PDF complexos.</w:t>
      </w:r>
    </w:p>
    <w:p>
      <w:pPr>
        <w:pStyle w:val="ListBullet"/>
      </w:pPr>
      <w:r>
        <w:t>Bloqueio de URL/SSRF e downloads externos sem allowlist.</w:t>
      </w:r>
    </w:p>
    <w:p>
      <w:pPr>
        <w:pStyle w:val="ListBullet"/>
      </w:pPr>
      <w:r>
        <w:t>Validação/sanitização da saída antes de usar em HTML, banco, PDF ou ferramentas.</w:t>
      </w:r>
    </w:p>
    <w:p>
      <w:pPr>
        <w:pStyle w:val="ListBullet"/>
      </w:pPr>
      <w:r>
        <w:t>Limites de loops, tokens, custo e tempo.</w:t>
      </w:r>
    </w:p>
    <w:p>
      <w:pPr>
        <w:pStyle w:val="ListBullet"/>
      </w:pPr>
      <w:r>
        <w:t>Detecção de exfiltração, dados pessoais e tentativa de cruzamento de tenants.</w:t>
      </w:r>
    </w:p>
    <w:p>
      <w:pPr>
        <w:pStyle w:val="ListBullet"/>
      </w:pPr>
      <w:r>
        <w:t>Testes contínuos de prompt injection, poisoning, document leakage e excessive agency.</w:t>
      </w:r>
    </w:p>
    <w:p>
      <w:pPr>
        <w:pStyle w:val="Heading2"/>
      </w:pPr>
      <w:r>
        <w:t>30.16 Autorização antes do retrieval</w:t>
      </w:r>
    </w:p>
    <w:p>
      <w:r>
        <w:t>O controle de acesso deve ser propagado até o índice. Recuperar primeiro e filtrar depois é uma falha arquitetural porque o modelo ou o serviço pode ter recebido conteúdo não autorizado.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160"/>
            <w:vAlign w:val="center"/>
          </w:tcPr>
          <w:p>
            <w:r>
              <w:rPr>
                <w:b/>
              </w:rPr>
              <w:t>Escopo</w:t>
            </w:r>
          </w:p>
        </w:tc>
        <w:tc>
          <w:tcPr>
            <w:tcW w:type="dxa" w:w="7632"/>
            <w:vAlign w:val="center"/>
          </w:tcPr>
          <w:p>
            <w:r>
              <w:rPr>
                <w:b/>
              </w:rPr>
              <w:t>Chaves mínimas</w:t>
            </w:r>
          </w:p>
        </w:tc>
      </w:tr>
      <w:tr>
        <w:trPr>
          <w:cantSplit/>
        </w:trPr>
        <w:tc>
          <w:tcPr>
            <w:tcW w:type="dxa" w:w="2160"/>
            <w:vAlign w:val="top"/>
          </w:tcPr>
          <w:p>
            <w:r>
              <w:t>Prefeitura</w:t>
            </w:r>
          </w:p>
        </w:tc>
        <w:tc>
          <w:tcPr>
            <w:tcW w:type="dxa" w:w="7632"/>
            <w:vAlign w:val="top"/>
          </w:tcPr>
          <w:p>
            <w:r>
              <w:t>municipality_id, department, document_visibility, role, homologation_status.</w:t>
            </w:r>
          </w:p>
        </w:tc>
      </w:tr>
      <w:tr>
        <w:trPr>
          <w:cantSplit/>
        </w:trPr>
        <w:tc>
          <w:tcPr>
            <w:tcW w:type="dxa" w:w="2160"/>
            <w:vAlign w:val="top"/>
          </w:tcPr>
          <w:p>
            <w:r>
              <w:t>Condomínio</w:t>
            </w:r>
          </w:p>
        </w:tc>
        <w:tc>
          <w:tcPr>
            <w:tcW w:type="dxa" w:w="7632"/>
            <w:vAlign w:val="top"/>
          </w:tcPr>
          <w:p>
            <w:r>
              <w:t>condominium_id, user_role, unit_scope, document_acl, sensitivity.</w:t>
            </w:r>
          </w:p>
        </w:tc>
      </w:tr>
      <w:tr>
        <w:trPr>
          <w:cantSplit/>
        </w:trPr>
        <w:tc>
          <w:tcPr>
            <w:tcW w:type="dxa" w:w="2160"/>
            <w:vAlign w:val="top"/>
          </w:tcPr>
          <w:p>
            <w:r>
              <w:t>A.I TEC</w:t>
            </w:r>
          </w:p>
        </w:tc>
        <w:tc>
          <w:tcPr>
            <w:tcW w:type="dxa" w:w="7632"/>
            <w:vAlign w:val="top"/>
          </w:tcPr>
          <w:p>
            <w:r>
              <w:t>organization_id, project_id, project_role, Design DNA ACL.</w:t>
            </w:r>
          </w:p>
        </w:tc>
      </w:tr>
      <w:tr>
        <w:trPr>
          <w:cantSplit/>
        </w:trPr>
        <w:tc>
          <w:tcPr>
            <w:tcW w:type="dxa" w:w="2160"/>
            <w:vAlign w:val="top"/>
          </w:tcPr>
          <w:p>
            <w:r>
              <w:t>Imóvel / CRM</w:t>
            </w:r>
          </w:p>
        </w:tc>
        <w:tc>
          <w:tcPr>
            <w:tcW w:type="dxa" w:w="7632"/>
            <w:vAlign w:val="top"/>
          </w:tcPr>
          <w:p>
            <w:r>
              <w:t>organization_id, asset_id, field-level sensitivity.</w:t>
            </w:r>
          </w:p>
        </w:tc>
      </w:tr>
    </w:tbl>
    <w:p/>
    <w:p>
      <w:r>
        <w:t>Na camada relacional, usar Row Level Security/ABAC quando aplicável. Na busca, replicar as permissões como metadados de filtro e testá-las explicitamente.</w:t>
      </w:r>
    </w:p>
    <w:p>
      <w:pPr>
        <w:pStyle w:val="Heading2"/>
      </w:pPr>
      <w:r>
        <w:t>30.17 Memória: não transformar chat em banco invisível</w:t>
      </w:r>
    </w:p>
    <w:p>
      <w:r>
        <w:t>Histórico de conversa e memória de projeto são coisas diferentes. Preferências persistentes importantes devem ser salvas explicitamente como dados estruturados, e não depender de uma memória implícita do modelo.</w:t>
      </w:r>
    </w:p>
    <w:p>
      <w:pPr>
        <w:pStyle w:val="ListBullet"/>
      </w:pPr>
      <w:r>
        <w:t>Chat history: janela curta necessária para a conversa.</w:t>
      </w:r>
    </w:p>
    <w:p>
      <w:pPr>
        <w:pStyle w:val="ListBullet"/>
      </w:pPr>
      <w:r>
        <w:t>Project facts: terreno, objetivo, tipologias e constraints em tabelas próprias.</w:t>
      </w:r>
    </w:p>
    <w:p>
      <w:pPr>
        <w:pStyle w:val="ListBullet"/>
      </w:pPr>
      <w:r>
        <w:t>Design DNA: biblioteca versionada da organização.</w:t>
      </w:r>
    </w:p>
    <w:p>
      <w:pPr>
        <w:pStyle w:val="ListBullet"/>
      </w:pPr>
      <w:r>
        <w:t>Condo preferences: somente configurações autorizadas do condomínio.</w:t>
      </w:r>
    </w:p>
    <w:p>
      <w:pPr>
        <w:pStyle w:val="ListBullet"/>
      </w:pPr>
      <w:r>
        <w:t>User preferences: opt-in e separadas de fatos técnicos/jurídicos.</w:t>
      </w:r>
    </w:p>
    <w:p>
      <w:pPr>
        <w:pStyle w:val="ListBullet"/>
      </w:pPr>
      <w:r>
        <w:t>Nunca usar conversa de um tenant para treinar ou responder a outro tenant.</w:t>
      </w:r>
    </w:p>
    <w:p>
      <w:pPr>
        <w:pStyle w:val="Heading2"/>
      </w:pPr>
      <w:r>
        <w:t>30.18 Governança de modelos e prompts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448"/>
            <w:vAlign w:val="center"/>
          </w:tcPr>
          <w:p>
            <w:r>
              <w:rPr>
                <w:b/>
              </w:rPr>
              <w:t>Artefato</w:t>
            </w:r>
          </w:p>
        </w:tc>
        <w:tc>
          <w:tcPr>
            <w:tcW w:type="dxa" w:w="7344"/>
            <w:vAlign w:val="center"/>
          </w:tcPr>
          <w:p>
            <w:r>
              <w:rPr>
                <w:b/>
              </w:rPr>
              <w:t>Versionamento obrigatório</w:t>
            </w:r>
          </w:p>
        </w:tc>
      </w:tr>
      <w:tr>
        <w:trPr>
          <w:cantSplit/>
        </w:trPr>
        <w:tc>
          <w:tcPr>
            <w:tcW w:type="dxa" w:w="2448"/>
            <w:vAlign w:val="top"/>
          </w:tcPr>
          <w:p>
            <w:r>
              <w:t>Modelo</w:t>
            </w:r>
          </w:p>
        </w:tc>
        <w:tc>
          <w:tcPr>
            <w:tcW w:type="dxa" w:w="7344"/>
            <w:vAlign w:val="top"/>
          </w:tcPr>
          <w:p>
            <w:r>
              <w:t>provider, model_id, version/snapshot, region e configuração.</w:t>
            </w:r>
          </w:p>
        </w:tc>
      </w:tr>
      <w:tr>
        <w:trPr>
          <w:cantSplit/>
        </w:trPr>
        <w:tc>
          <w:tcPr>
            <w:tcW w:type="dxa" w:w="2448"/>
            <w:vAlign w:val="top"/>
          </w:tcPr>
          <w:p>
            <w:r>
              <w:t>Prompt</w:t>
            </w:r>
          </w:p>
        </w:tc>
        <w:tc>
          <w:tcPr>
            <w:tcW w:type="dxa" w:w="7344"/>
            <w:vAlign w:val="top"/>
          </w:tcPr>
          <w:p>
            <w:r>
              <w:t>prompt_id, versão, domínio e avaliação associada.</w:t>
            </w:r>
          </w:p>
        </w:tc>
      </w:tr>
      <w:tr>
        <w:trPr>
          <w:cantSplit/>
        </w:trPr>
        <w:tc>
          <w:tcPr>
            <w:tcW w:type="dxa" w:w="2448"/>
            <w:vAlign w:val="top"/>
          </w:tcPr>
          <w:p>
            <w:r>
              <w:t>Tool</w:t>
            </w:r>
          </w:p>
        </w:tc>
        <w:tc>
          <w:tcPr>
            <w:tcW w:type="dxa" w:w="7344"/>
            <w:vAlign w:val="top"/>
          </w:tcPr>
          <w:p>
            <w:r>
              <w:t>tool_id, schema_version, permissões e timeout.</w:t>
            </w:r>
          </w:p>
        </w:tc>
      </w:tr>
      <w:tr>
        <w:trPr>
          <w:cantSplit/>
        </w:trPr>
        <w:tc>
          <w:tcPr>
            <w:tcW w:type="dxa" w:w="2448"/>
            <w:vAlign w:val="top"/>
          </w:tcPr>
          <w:p>
            <w:r>
              <w:t>Embedding</w:t>
            </w:r>
          </w:p>
        </w:tc>
        <w:tc>
          <w:tcPr>
            <w:tcW w:type="dxa" w:w="7344"/>
            <w:vAlign w:val="top"/>
          </w:tcPr>
          <w:p>
            <w:r>
              <w:t>embedding_model_version e dimensão.</w:t>
            </w:r>
          </w:p>
        </w:tc>
      </w:tr>
      <w:tr>
        <w:trPr>
          <w:cantSplit/>
        </w:trPr>
        <w:tc>
          <w:tcPr>
            <w:tcW w:type="dxa" w:w="2448"/>
            <w:vAlign w:val="top"/>
          </w:tcPr>
          <w:p>
            <w:r>
              <w:t>Index</w:t>
            </w:r>
          </w:p>
        </w:tc>
        <w:tc>
          <w:tcPr>
            <w:tcW w:type="dxa" w:w="7344"/>
            <w:vAlign w:val="top"/>
          </w:tcPr>
          <w:p>
            <w:r>
              <w:t>index_version, source_snapshot e data.</w:t>
            </w:r>
          </w:p>
        </w:tc>
      </w:tr>
      <w:tr>
        <w:trPr>
          <w:cantSplit/>
        </w:trPr>
        <w:tc>
          <w:tcPr>
            <w:tcW w:type="dxa" w:w="2448"/>
            <w:vAlign w:val="top"/>
          </w:tcPr>
          <w:p>
            <w:r>
              <w:t>Rule engine</w:t>
            </w:r>
          </w:p>
        </w:tc>
        <w:tc>
          <w:tcPr>
            <w:tcW w:type="dxa" w:w="7344"/>
            <w:vAlign w:val="top"/>
          </w:tcPr>
          <w:p>
            <w:r>
              <w:t>rule_set_version e leis/fontes associadas.</w:t>
            </w:r>
          </w:p>
        </w:tc>
      </w:tr>
      <w:tr>
        <w:trPr>
          <w:cantSplit/>
        </w:trPr>
        <w:tc>
          <w:tcPr>
            <w:tcW w:type="dxa" w:w="2448"/>
            <w:vAlign w:val="top"/>
          </w:tcPr>
          <w:p>
            <w:r>
              <w:t>Solver</w:t>
            </w:r>
          </w:p>
        </w:tc>
        <w:tc>
          <w:tcPr>
            <w:tcW w:type="dxa" w:w="7344"/>
            <w:vAlign w:val="top"/>
          </w:tcPr>
          <w:p>
            <w:r>
              <w:t>solver_version, parâmetros e seed quando aplicável.</w:t>
            </w:r>
          </w:p>
        </w:tc>
      </w:tr>
    </w:tbl>
    <w:p/>
    <w:p>
      <w:r>
        <w:t>Uma resposta ou cenário deve poder ser reproduzido no nível necessário para auditoria: não basta saber qual modelo respondeu; é preciso saber quais fontes, tools, regras e versões participaram.</w:t>
      </w:r>
    </w:p>
    <w:p>
      <w:pPr>
        <w:pStyle w:val="Heading2"/>
      </w:pPr>
      <w:r>
        <w:t>30.19 Observabilidade e trace completo</w:t>
      </w:r>
    </w:p>
    <w:p>
      <w:pPr>
        <w:pStyle w:val="ListBullet"/>
      </w:pPr>
      <w:r>
        <w:t>trace_id único por pergunta/job.</w:t>
      </w:r>
    </w:p>
    <w:p>
      <w:pPr>
        <w:pStyle w:val="ListBullet"/>
      </w:pPr>
      <w:r>
        <w:t>tenant, usuário e sessão com pseudonimização apropriada nos logs.</w:t>
      </w:r>
    </w:p>
    <w:p>
      <w:pPr>
        <w:pStyle w:val="ListBullet"/>
      </w:pPr>
      <w:r>
        <w:t>router decision e risk_class.</w:t>
      </w:r>
    </w:p>
    <w:p>
      <w:pPr>
        <w:pStyle w:val="ListBullet"/>
      </w:pPr>
      <w:r>
        <w:t>modelo/version/config usados em cada chamada.</w:t>
      </w:r>
    </w:p>
    <w:p>
      <w:pPr>
        <w:pStyle w:val="ListBullet"/>
      </w:pPr>
      <w:r>
        <w:t>prompt_template_id sem gravar segredo desnecessário.</w:t>
      </w:r>
    </w:p>
    <w:p>
      <w:pPr>
        <w:pStyle w:val="ListBullet"/>
      </w:pPr>
      <w:r>
        <w:t>query original, queries derivadas e filtros de retrieval.</w:t>
      </w:r>
    </w:p>
    <w:p>
      <w:pPr>
        <w:pStyle w:val="ListBullet"/>
      </w:pPr>
      <w:r>
        <w:t>IDs dos chunks/fontes recuperados e scores.</w:t>
      </w:r>
    </w:p>
    <w:p>
      <w:pPr>
        <w:pStyle w:val="ListBullet"/>
      </w:pPr>
      <w:r>
        <w:t>tools executadas, inputs validados, outputs e duração.</w:t>
      </w:r>
    </w:p>
    <w:p>
      <w:pPr>
        <w:pStyle w:val="ListBullet"/>
      </w:pPr>
      <w:r>
        <w:t>rule_set e solver versions.</w:t>
      </w:r>
    </w:p>
    <w:p>
      <w:pPr>
        <w:pStyle w:val="ListBullet"/>
      </w:pPr>
      <w:r>
        <w:t>tokens, custo, latência e cache hits.</w:t>
      </w:r>
    </w:p>
    <w:p>
      <w:pPr>
        <w:pStyle w:val="ListBullet"/>
      </w:pPr>
      <w:r>
        <w:t>output estruturado, status dos verificadores e hash da resposta.</w:t>
      </w:r>
    </w:p>
    <w:p>
      <w:pPr>
        <w:pStyle w:val="ListBullet"/>
      </w:pPr>
      <w:r>
        <w:t>feedback do usuário e eventual correção humana.</w:t>
      </w:r>
    </w:p>
    <w:p>
      <w:pPr>
        <w:pStyle w:val="Heading2"/>
      </w:pPr>
      <w:r>
        <w:t>30.20 Avaliações obrigatórias — Evals antes de produção</w:t>
      </w:r>
    </w:p>
    <w:p>
      <w:r>
        <w:t>Cada IA deve possuir um conjunto permanente de testes representativos. Mudança de modelo, prompt, embedding, chunking, reranker, OCR ou tool deve rodar regressão antes de chegar a produção.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160"/>
            <w:vAlign w:val="center"/>
          </w:tcPr>
          <w:p>
            <w:r>
              <w:rPr>
                <w:b/>
              </w:rPr>
              <w:t>Domínio</w:t>
            </w:r>
          </w:p>
        </w:tc>
        <w:tc>
          <w:tcPr>
            <w:tcW w:type="dxa" w:w="7632"/>
            <w:vAlign w:val="center"/>
          </w:tcPr>
          <w:p>
            <w:r>
              <w:rPr>
                <w:b/>
              </w:rPr>
              <w:t>Métricas principais</w:t>
            </w:r>
          </w:p>
        </w:tc>
      </w:tr>
      <w:tr>
        <w:trPr>
          <w:cantSplit/>
        </w:trPr>
        <w:tc>
          <w:tcPr>
            <w:tcW w:type="dxa" w:w="2160"/>
            <w:vAlign w:val="top"/>
          </w:tcPr>
          <w:p>
            <w:r>
              <w:t>Retrieval</w:t>
            </w:r>
          </w:p>
        </w:tc>
        <w:tc>
          <w:tcPr>
            <w:tcW w:type="dxa" w:w="7632"/>
            <w:vAlign w:val="top"/>
          </w:tcPr>
          <w:p>
            <w:r>
              <w:t>Recall@K, precision@K, MRR/nDCG, cobertura de fonte, filtros corretos.</w:t>
            </w:r>
          </w:p>
        </w:tc>
      </w:tr>
      <w:tr>
        <w:trPr>
          <w:cantSplit/>
        </w:trPr>
        <w:tc>
          <w:tcPr>
            <w:tcW w:type="dxa" w:w="2160"/>
            <w:vAlign w:val="top"/>
          </w:tcPr>
          <w:p>
            <w:r>
              <w:t>A.I Cidades</w:t>
            </w:r>
          </w:p>
        </w:tc>
        <w:tc>
          <w:tcPr>
            <w:tcW w:type="dxa" w:w="7632"/>
            <w:vAlign w:val="top"/>
          </w:tcPr>
          <w:p>
            <w:r>
              <w:t>Acerto temporal, artigo correto, parâmetro correto, citação, abstenção e conflito.</w:t>
            </w:r>
          </w:p>
        </w:tc>
      </w:tr>
      <w:tr>
        <w:trPr>
          <w:cantSplit/>
        </w:trPr>
        <w:tc>
          <w:tcPr>
            <w:tcW w:type="dxa" w:w="2160"/>
            <w:vAlign w:val="top"/>
          </w:tcPr>
          <w:p>
            <w:r>
              <w:t>A.I Condomínio</w:t>
            </w:r>
          </w:p>
        </w:tc>
        <w:tc>
          <w:tcPr>
            <w:tcW w:type="dxa" w:w="7632"/>
            <w:vAlign w:val="top"/>
          </w:tcPr>
          <w:p>
            <w:r>
              <w:t>Documento/tenant correto, hierarquia normativa, decisão de status e citações.</w:t>
            </w:r>
          </w:p>
        </w:tc>
      </w:tr>
      <w:tr>
        <w:trPr>
          <w:cantSplit/>
        </w:trPr>
        <w:tc>
          <w:tcPr>
            <w:tcW w:type="dxa" w:w="2160"/>
            <w:vAlign w:val="top"/>
          </w:tcPr>
          <w:p>
            <w:r>
              <w:t>A.I TEC</w:t>
            </w:r>
          </w:p>
        </w:tc>
        <w:tc>
          <w:tcPr>
            <w:tcW w:type="dxa" w:w="7632"/>
            <w:vAlign w:val="top"/>
          </w:tcPr>
          <w:p>
            <w:r>
              <w:t>0 violações duras, métricas geométricas, factibilidade, custo/tempo e qualidade Pareto.</w:t>
            </w:r>
          </w:p>
        </w:tc>
      </w:tr>
      <w:tr>
        <w:trPr>
          <w:cantSplit/>
        </w:trPr>
        <w:tc>
          <w:tcPr>
            <w:tcW w:type="dxa" w:w="2160"/>
            <w:vAlign w:val="top"/>
          </w:tcPr>
          <w:p>
            <w:r>
              <w:t>Segurança</w:t>
            </w:r>
          </w:p>
        </w:tc>
        <w:tc>
          <w:tcPr>
            <w:tcW w:type="dxa" w:w="7632"/>
            <w:vAlign w:val="top"/>
          </w:tcPr>
          <w:p>
            <w:r>
              <w:t>Prompt injection, tenant leakage, PII disclosure, excessive agency, tool abuse.</w:t>
            </w:r>
          </w:p>
        </w:tc>
      </w:tr>
      <w:tr>
        <w:trPr>
          <w:cantSplit/>
        </w:trPr>
        <w:tc>
          <w:tcPr>
            <w:tcW w:type="dxa" w:w="2160"/>
            <w:vAlign w:val="top"/>
          </w:tcPr>
          <w:p>
            <w:r>
              <w:t>Operação</w:t>
            </w:r>
          </w:p>
        </w:tc>
        <w:tc>
          <w:tcPr>
            <w:tcW w:type="dxa" w:w="7632"/>
            <w:vAlign w:val="top"/>
          </w:tcPr>
          <w:p>
            <w:r>
              <w:t>P95 latency, custo/resposta, taxa de erro, fallback e disponibilidade.</w:t>
            </w:r>
          </w:p>
        </w:tc>
      </w:tr>
    </w:tbl>
    <w:p/>
    <w:p>
      <w:r>
        <w:t>Além de métricas automáticas, manter painéis de revisão por especialistas: urbanista/advogado para regras municipais, gestor/advogado para condomínio e arquitetos/engenheiros para A.I TEC.</w:t>
      </w:r>
    </w:p>
    <w:p>
      <w:pPr>
        <w:pStyle w:val="Heading2"/>
      </w:pPr>
      <w:r>
        <w:t>30.21 Golden datasets</w:t>
      </w:r>
    </w:p>
    <w:p>
      <w:pPr>
        <w:pStyle w:val="ListBullet"/>
      </w:pPr>
      <w:r>
        <w:t>Conjunto de municípios piloto com perguntas cuja resposta jurídica e geográfica foi revisada.</w:t>
      </w:r>
    </w:p>
    <w:p>
      <w:pPr>
        <w:pStyle w:val="ListBullet"/>
      </w:pPr>
      <w:r>
        <w:t>Conjunto de condomínios sintéticos/consentidos com conflitos, atas antigas e versões sucessivas.</w:t>
      </w:r>
    </w:p>
    <w:p>
      <w:pPr>
        <w:pStyle w:val="ListBullet"/>
      </w:pPr>
      <w:r>
        <w:t>Terrenos A.I TEC com soluções de referência e constraints conhecidas.</w:t>
      </w:r>
    </w:p>
    <w:p>
      <w:pPr>
        <w:pStyle w:val="ListBullet"/>
      </w:pPr>
      <w:r>
        <w:t>Casos adversariais: documentos maliciosos, OCR ruim, tabelas, mapas contraditórios, lei revogada e tenant errado.</w:t>
      </w:r>
    </w:p>
    <w:p>
      <w:pPr>
        <w:pStyle w:val="ListBullet"/>
      </w:pPr>
      <w:r>
        <w:t>Casos de ausência: pergunta para a qual o sistema deve dizer NÃO DETERMINADO.</w:t>
      </w:r>
    </w:p>
    <w:p>
      <w:r>
        <w:t>O objetivo não é maximizar uma nota genérica do modelo; é medir o comportamento exato que o produto precisa cumprir.</w:t>
      </w:r>
    </w:p>
    <w:p>
      <w:pPr>
        <w:pStyle w:val="Heading2"/>
      </w:pPr>
      <w:r>
        <w:t>30.22 Human-in-the-loop por nível de risco</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cantSplit/>
        </w:trPr>
        <w:tc>
          <w:tcPr>
            <w:tcW w:type="dxa" w:w="1872"/>
            <w:vAlign w:val="center"/>
          </w:tcPr>
          <w:p>
            <w:r>
              <w:rPr>
                <w:b/>
              </w:rPr>
              <w:t>Classe</w:t>
            </w:r>
          </w:p>
        </w:tc>
        <w:tc>
          <w:tcPr>
            <w:tcW w:type="dxa" w:w="3744"/>
            <w:vAlign w:val="center"/>
          </w:tcPr>
          <w:p>
            <w:r>
              <w:rPr>
                <w:b/>
              </w:rPr>
              <w:t>Exemplo</w:t>
            </w:r>
          </w:p>
        </w:tc>
        <w:tc>
          <w:tcPr>
            <w:tcW w:type="dxa" w:w="4752"/>
            <w:vAlign w:val="center"/>
          </w:tcPr>
          <w:p>
            <w:r>
              <w:rPr>
                <w:b/>
              </w:rPr>
              <w:t>Política</w:t>
            </w:r>
          </w:p>
        </w:tc>
      </w:tr>
      <w:tr>
        <w:trPr>
          <w:cantSplit/>
        </w:trPr>
        <w:tc>
          <w:tcPr>
            <w:tcW w:type="dxa" w:w="1872"/>
            <w:vAlign w:val="top"/>
          </w:tcPr>
          <w:p>
            <w:r>
              <w:t>Baixa</w:t>
            </w:r>
          </w:p>
        </w:tc>
        <w:tc>
          <w:tcPr>
            <w:tcW w:type="dxa" w:w="3744"/>
            <w:vAlign w:val="top"/>
          </w:tcPr>
          <w:p>
            <w:r>
              <w:t>Resumo de documento ou busca de artigo.</w:t>
            </w:r>
          </w:p>
        </w:tc>
        <w:tc>
          <w:tcPr>
            <w:tcW w:type="dxa" w:w="4752"/>
            <w:vAlign w:val="top"/>
          </w:tcPr>
          <w:p>
            <w:r>
              <w:t>Resposta automática com citações.</w:t>
            </w:r>
          </w:p>
        </w:tc>
      </w:tr>
      <w:tr>
        <w:trPr>
          <w:cantSplit/>
        </w:trPr>
        <w:tc>
          <w:tcPr>
            <w:tcW w:type="dxa" w:w="1872"/>
            <w:vAlign w:val="top"/>
          </w:tcPr>
          <w:p>
            <w:r>
              <w:t>Média</w:t>
            </w:r>
          </w:p>
        </w:tc>
        <w:tc>
          <w:tcPr>
            <w:tcW w:type="dxa" w:w="3744"/>
            <w:vAlign w:val="top"/>
          </w:tcPr>
          <w:p>
            <w:r>
              <w:t>Interpretação de regra com possível exceção.</w:t>
            </w:r>
          </w:p>
        </w:tc>
        <w:tc>
          <w:tcPr>
            <w:tcW w:type="dxa" w:w="4752"/>
            <w:vAlign w:val="top"/>
          </w:tcPr>
          <w:p>
            <w:r>
              <w:t>Mostrar incerteza; revisão recomendada.</w:t>
            </w:r>
          </w:p>
        </w:tc>
      </w:tr>
      <w:tr>
        <w:trPr>
          <w:cantSplit/>
        </w:trPr>
        <w:tc>
          <w:tcPr>
            <w:tcW w:type="dxa" w:w="1872"/>
            <w:vAlign w:val="top"/>
          </w:tcPr>
          <w:p>
            <w:r>
              <w:t>Alta</w:t>
            </w:r>
          </w:p>
        </w:tc>
        <w:tc>
          <w:tcPr>
            <w:tcW w:type="dxa" w:w="3744"/>
            <w:vAlign w:val="top"/>
          </w:tcPr>
          <w:p>
            <w:r>
              <w:t>Conclusão de viabilidade, conflito jurídico ou decisão que afeta obra/multa.</w:t>
            </w:r>
          </w:p>
        </w:tc>
        <w:tc>
          <w:tcPr>
            <w:tcW w:type="dxa" w:w="4752"/>
            <w:vAlign w:val="top"/>
          </w:tcPr>
          <w:p>
            <w:r>
              <w:t>Regra determinística + evidência + revisão profissional.</w:t>
            </w:r>
          </w:p>
        </w:tc>
      </w:tr>
      <w:tr>
        <w:trPr>
          <w:cantSplit/>
        </w:trPr>
        <w:tc>
          <w:tcPr>
            <w:tcW w:type="dxa" w:w="1872"/>
            <w:vAlign w:val="top"/>
          </w:tcPr>
          <w:p>
            <w:r>
              <w:t>Ação irreversível</w:t>
            </w:r>
          </w:p>
        </w:tc>
        <w:tc>
          <w:tcPr>
            <w:tcW w:type="dxa" w:w="3744"/>
            <w:vAlign w:val="top"/>
          </w:tcPr>
          <w:p>
            <w:r>
              <w:t>Publicar norma, alterar cadastro, aplicar multa, protocolar ou executar operação financeira.</w:t>
            </w:r>
          </w:p>
        </w:tc>
        <w:tc>
          <w:tcPr>
            <w:tcW w:type="dxa" w:w="4752"/>
            <w:vAlign w:val="top"/>
          </w:tcPr>
          <w:p>
            <w:r>
              <w:t>Aprovação explícita e controles fora do LLM.</w:t>
            </w:r>
          </w:p>
        </w:tc>
      </w:tr>
    </w:tbl>
    <w:p/>
    <w:p>
      <w:pPr>
        <w:pStyle w:val="Heading2"/>
      </w:pPr>
      <w:r>
        <w:t>30.23 Cache e invalidação baseada em snapshot</w:t>
      </w:r>
    </w:p>
    <w:p>
      <w:r>
        <w:t>Respostas públicas repetitivas podem ser cacheadas, mas a chave precisa incluir tenant/jurisdição, data de referência, source_snapshot, rule_set e versões relevantes. Quando uma fonte muda, eventos invalidam somente o que depende daquele snapshot.</w:t>
      </w:r>
    </w:p>
    <w:p>
      <w:pPr>
        <w:pStyle w:val="ListBullet"/>
      </w:pPr>
      <w:r>
        <w:t>Nunca compartilhar cache privado entre condomínios ou organizações.</w:t>
      </w:r>
    </w:p>
    <w:p>
      <w:pPr>
        <w:pStyle w:val="ListBullet"/>
      </w:pPr>
      <w:r>
        <w:t>Não cachear resposta final de alto risco sem guardar as mesmas evidências/verificadores.</w:t>
      </w:r>
    </w:p>
    <w:p>
      <w:pPr>
        <w:pStyle w:val="ListBullet"/>
      </w:pPr>
      <w:r>
        <w:t>Deduplicar OCR/embedding pelo hash do arquivo.</w:t>
      </w:r>
    </w:p>
    <w:p>
      <w:pPr>
        <w:pStyle w:val="ListBullet"/>
      </w:pPr>
      <w:r>
        <w:t>Cache semântico somente para contextos equivalentes e com controles de segurança.</w:t>
      </w:r>
    </w:p>
    <w:p>
      <w:pPr>
        <w:pStyle w:val="Heading2"/>
      </w:pPr>
      <w:r>
        <w:t>30.24 Continuidade e fallback de fornecedores de IA</w:t>
      </w:r>
    </w:p>
    <w:p>
      <w:pPr>
        <w:pStyle w:val="ListBullet"/>
      </w:pPr>
      <w:r>
        <w:t>Circuit breaker e timeout por provider.</w:t>
      </w:r>
    </w:p>
    <w:p>
      <w:pPr>
        <w:pStyle w:val="ListBullet"/>
      </w:pPr>
      <w:r>
        <w:t>Fallback para segundo modelo compatível quando permitido pelo domínio.</w:t>
      </w:r>
    </w:p>
    <w:p>
      <w:pPr>
        <w:pStyle w:val="ListBullet"/>
      </w:pPr>
      <w:r>
        <w:t>Fila e reprocessamento para jobs não interativos.</w:t>
      </w:r>
    </w:p>
    <w:p>
      <w:pPr>
        <w:pStyle w:val="ListBullet"/>
      </w:pPr>
      <w:r>
        <w:t>Modo degradado: busca/documentos e ferramentas continuam disponíveis mesmo sem LLM.</w:t>
      </w:r>
    </w:p>
    <w:p>
      <w:pPr>
        <w:pStyle w:val="ListBullet"/>
      </w:pPr>
      <w:r>
        <w:t>Capacidade futura de modelos locais para workloads sensíveis.</w:t>
      </w:r>
    </w:p>
    <w:p>
      <w:pPr>
        <w:pStyle w:val="ListBullet"/>
      </w:pPr>
      <w:r>
        <w:t>Nunca trocar silenciosamente para um modelo não avaliado; fallback também precisa de benchmark aprovado.</w:t>
      </w:r>
    </w:p>
    <w:p>
      <w:pPr>
        <w:pStyle w:val="Heading2"/>
      </w:pPr>
      <w:r>
        <w:t>30.25 Arquitetura de implantação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592"/>
            <w:vAlign w:val="center"/>
          </w:tcPr>
          <w:p>
            <w:r>
              <w:rPr>
                <w:b/>
              </w:rPr>
              <w:t>Serviço</w:t>
            </w:r>
          </w:p>
        </w:tc>
        <w:tc>
          <w:tcPr>
            <w:tcW w:type="dxa" w:w="7200"/>
            <w:vAlign w:val="center"/>
          </w:tcPr>
          <w:p>
            <w:r>
              <w:rPr>
                <w:b/>
              </w:rPr>
              <w:t>Função</w:t>
            </w:r>
          </w:p>
        </w:tc>
      </w:tr>
      <w:tr>
        <w:trPr>
          <w:cantSplit/>
        </w:trPr>
        <w:tc>
          <w:tcPr>
            <w:tcW w:type="dxa" w:w="2592"/>
            <w:vAlign w:val="top"/>
          </w:tcPr>
          <w:p>
            <w:r>
              <w:t>ai-gateway</w:t>
            </w:r>
          </w:p>
        </w:tc>
        <w:tc>
          <w:tcPr>
            <w:tcW w:type="dxa" w:w="7200"/>
            <w:vAlign w:val="top"/>
          </w:tcPr>
          <w:p>
            <w:r>
              <w:t>Autenticação, rate limit, routing, policies e provider abstraction.</w:t>
            </w:r>
          </w:p>
        </w:tc>
      </w:tr>
      <w:tr>
        <w:trPr>
          <w:cantSplit/>
        </w:trPr>
        <w:tc>
          <w:tcPr>
            <w:tcW w:type="dxa" w:w="2592"/>
            <w:vAlign w:val="top"/>
          </w:tcPr>
          <w:p>
            <w:r>
              <w:t>ai-orchestrator</w:t>
            </w:r>
          </w:p>
        </w:tc>
        <w:tc>
          <w:tcPr>
            <w:tcW w:type="dxa" w:w="7200"/>
            <w:vAlign w:val="top"/>
          </w:tcPr>
          <w:p>
            <w:r>
              <w:t>Workflows, state machine, tool execution e checkpoints.</w:t>
            </w:r>
          </w:p>
        </w:tc>
      </w:tr>
      <w:tr>
        <w:trPr>
          <w:cantSplit/>
        </w:trPr>
        <w:tc>
          <w:tcPr>
            <w:tcW w:type="dxa" w:w="2592"/>
            <w:vAlign w:val="top"/>
          </w:tcPr>
          <w:p>
            <w:r>
              <w:t>ai-retrieval</w:t>
            </w:r>
          </w:p>
        </w:tc>
        <w:tc>
          <w:tcPr>
            <w:tcW w:type="dxa" w:w="7200"/>
            <w:vAlign w:val="top"/>
          </w:tcPr>
          <w:p>
            <w:r>
              <w:t>Hybrid search, reranking, ACL e citation context.</w:t>
            </w:r>
          </w:p>
        </w:tc>
      </w:tr>
      <w:tr>
        <w:trPr>
          <w:cantSplit/>
        </w:trPr>
        <w:tc>
          <w:tcPr>
            <w:tcW w:type="dxa" w:w="2592"/>
            <w:vAlign w:val="top"/>
          </w:tcPr>
          <w:p>
            <w:r>
              <w:t>ai-ingest</w:t>
            </w:r>
          </w:p>
        </w:tc>
        <w:tc>
          <w:tcPr>
            <w:tcW w:type="dxa" w:w="7200"/>
            <w:vAlign w:val="top"/>
          </w:tcPr>
          <w:p>
            <w:r>
              <w:t>OCR, parsing, classificação, chunking, embeddings e quality gates.</w:t>
            </w:r>
          </w:p>
        </w:tc>
      </w:tr>
      <w:tr>
        <w:trPr>
          <w:cantSplit/>
        </w:trPr>
        <w:tc>
          <w:tcPr>
            <w:tcW w:type="dxa" w:w="2592"/>
            <w:vAlign w:val="top"/>
          </w:tcPr>
          <w:p>
            <w:r>
              <w:t>ai-rules</w:t>
            </w:r>
          </w:p>
        </w:tc>
        <w:tc>
          <w:tcPr>
            <w:tcW w:type="dxa" w:w="7200"/>
            <w:vAlign w:val="top"/>
          </w:tcPr>
          <w:p>
            <w:r>
              <w:t>Motor jurídico/condominial/urbanístico temporal.</w:t>
            </w:r>
          </w:p>
        </w:tc>
      </w:tr>
      <w:tr>
        <w:trPr>
          <w:cantSplit/>
        </w:trPr>
        <w:tc>
          <w:tcPr>
            <w:tcW w:type="dxa" w:w="2592"/>
            <w:vAlign w:val="top"/>
          </w:tcPr>
          <w:p>
            <w:r>
              <w:t>ai-eval</w:t>
            </w:r>
          </w:p>
        </w:tc>
        <w:tc>
          <w:tcPr>
            <w:tcW w:type="dxa" w:w="7200"/>
            <w:vAlign w:val="top"/>
          </w:tcPr>
          <w:p>
            <w:r>
              <w:t>Datasets, regressões, red-team e quality gates.</w:t>
            </w:r>
          </w:p>
        </w:tc>
      </w:tr>
      <w:tr>
        <w:trPr>
          <w:cantSplit/>
        </w:trPr>
        <w:tc>
          <w:tcPr>
            <w:tcW w:type="dxa" w:w="2592"/>
            <w:vAlign w:val="top"/>
          </w:tcPr>
          <w:p>
            <w:r>
              <w:t>ai-observability</w:t>
            </w:r>
          </w:p>
        </w:tc>
        <w:tc>
          <w:tcPr>
            <w:tcW w:type="dxa" w:w="7200"/>
            <w:vAlign w:val="top"/>
          </w:tcPr>
          <w:p>
            <w:r>
              <w:t>Traces, custos, métricas, dashboards e auditoria.</w:t>
            </w:r>
          </w:p>
        </w:tc>
      </w:tr>
      <w:tr>
        <w:trPr>
          <w:cantSplit/>
        </w:trPr>
        <w:tc>
          <w:tcPr>
            <w:tcW w:type="dxa" w:w="2592"/>
            <w:vAlign w:val="top"/>
          </w:tcPr>
          <w:p>
            <w:r>
              <w:t>aitec-workers</w:t>
            </w:r>
          </w:p>
        </w:tc>
        <w:tc>
          <w:tcPr>
            <w:tcW w:type="dxa" w:w="7200"/>
            <w:vAlign w:val="top"/>
          </w:tcPr>
          <w:p>
            <w:r>
              <w:t>Solvers CPU/GPU, CAD/BIM, solar e simulações.</w:t>
            </w:r>
          </w:p>
        </w:tc>
      </w:tr>
      <w:tr>
        <w:trPr>
          <w:cantSplit/>
        </w:trPr>
        <w:tc>
          <w:tcPr>
            <w:tcW w:type="dxa" w:w="2592"/>
            <w:vAlign w:val="top"/>
          </w:tcPr>
          <w:p>
            <w:r>
              <w:t>model-adapters</w:t>
            </w:r>
          </w:p>
        </w:tc>
        <w:tc>
          <w:tcPr>
            <w:tcW w:type="dxa" w:w="7200"/>
            <w:vAlign w:val="top"/>
          </w:tcPr>
          <w:p>
            <w:r>
              <w:t>Conectores isolados para modelos externos ou self-hosted.</w:t>
            </w:r>
          </w:p>
        </w:tc>
      </w:tr>
    </w:tbl>
    <w:p/>
    <w:p>
      <w:r>
        <w:t>No ambiente local, esses serviços podem começar em Docker Compose. Em produção, devem ser containers independentes com autoscaling de workers, filas, secret manager, storage durável e política de deployment canário. Kubernetes é uma opção para escala, não uma exigência do MVP.</w:t>
      </w:r>
    </w:p>
    <w:p>
      <w:pPr>
        <w:pStyle w:val="Heading2"/>
      </w:pPr>
      <w:r>
        <w:t>30.26 Fluxo A.I Cidades: cidade nova em poucas horas, sem retreino</w:t>
      </w:r>
    </w:p>
    <w:p>
      <w:r>
        <w:t>1. Cadastrar município/código IBGE.</w:t>
      </w:r>
    </w:p>
    <w:p>
      <w:r>
        <w:t>2. Carregar ou descobrir documentos e GIS.</w:t>
      </w:r>
    </w:p>
    <w:p>
      <w:r>
        <w:t>3. Preservar originais e extrair texto/layout.</w:t>
      </w:r>
    </w:p>
    <w:p>
      <w:r>
        <w:t>4. Classificar normas e relações temporais.</w:t>
      </w:r>
    </w:p>
    <w:p>
      <w:r>
        <w:t>5. Extrair candidatos a parâmetros urbanísticos.</w:t>
      </w:r>
    </w:p>
    <w:p>
      <w:r>
        <w:t>6. Revisar/homologar o que for necessário.</w:t>
      </w:r>
    </w:p>
    <w:p>
      <w:r>
        <w:t>7. Indexar lexical + vetor e publicar rule_set.</w:t>
      </w:r>
    </w:p>
    <w:p>
      <w:r>
        <w:t>8. Rodar golden tests daquela cidade.</w:t>
      </w:r>
    </w:p>
    <w:p>
      <w:r>
        <w:t>9. Ativar para usuários com confidence/status visível.</w:t>
      </w:r>
    </w:p>
    <w:p>
      <w:r>
        <w:t>10. Cada nova versão da lei repete somente o pipeline documental e de avaliação; o modelo fundacional permanece separado.</w:t>
      </w:r>
    </w:p>
    <w:p>
      <w:pPr>
        <w:pStyle w:val="Heading2"/>
      </w:pPr>
      <w:r>
        <w:t>30.27 Fluxo A.I Condomínio: isolamento desde o upload</w:t>
      </w:r>
    </w:p>
    <w:p>
      <w:r>
        <w:t>1. Criar tenant do condomínio.</w:t>
      </w:r>
    </w:p>
    <w:p>
      <w:r>
        <w:t>2. Upload com ACL e quarentena.</w:t>
      </w:r>
    </w:p>
    <w:p>
      <w:r>
        <w:t>3. OCR/layout e classificação.</w:t>
      </w:r>
    </w:p>
    <w:p>
      <w:r>
        <w:t>4. Extrair convenção, regras, atas, quóruns e vigências.</w:t>
      </w:r>
    </w:p>
    <w:p>
      <w:r>
        <w:t>5. Revisar conflitos e documentos críticos.</w:t>
      </w:r>
    </w:p>
    <w:p>
      <w:r>
        <w:t>6. Indexar em namespace privado.</w:t>
      </w:r>
    </w:p>
    <w:p>
      <w:r>
        <w:t>7. Rodar testes de tenant isolation e perguntas de referência.</w:t>
      </w:r>
    </w:p>
    <w:p>
      <w:r>
        <w:t>8. Liberar chat somente após os controles passarem.</w:t>
      </w:r>
    </w:p>
    <w:p>
      <w:pPr>
        <w:pStyle w:val="Heading2"/>
      </w:pPr>
      <w:r>
        <w:t>30.28 Fluxo A.I TEC: LLM gera intenção; solvers geram projeto</w:t>
      </w:r>
    </w:p>
    <w:p>
      <w:r>
        <w:t>1. Importar terreno/projeto e normalizar geometria.</w:t>
      </w:r>
    </w:p>
    <w:p>
      <w:r>
        <w:t>2. Consultar A.I Cidades/LoteDiretor para regras aplicáveis e converter em ConstraintSpec assinado/versionado.</w:t>
      </w:r>
    </w:p>
    <w:p>
      <w:r>
        <w:t>3. Consultar Condomínio quando houver regra privada aplicável.</w:t>
      </w:r>
    </w:p>
    <w:p>
      <w:r>
        <w:t>4. Interpretar briefing e programa.</w:t>
      </w:r>
    </w:p>
    <w:p>
      <w:r>
        <w:t>5. Gerar cenários pelos solvers.</w:t>
      </w:r>
    </w:p>
    <w:p>
      <w:r>
        <w:t>6. Executar validações duras.</w:t>
      </w:r>
    </w:p>
    <w:p>
      <w:r>
        <w:t>7. Executar análises de sol, sombra, terreno, vagas, custo, VGV e outras.</w:t>
      </w:r>
    </w:p>
    <w:p>
      <w:r>
        <w:t>8. Classificar Pareto e apresentar alternativas.</w:t>
      </w:r>
    </w:p>
    <w:p>
      <w:r>
        <w:t>9. Comandos do chat geram operações estruturadas; solver recalcula.</w:t>
      </w:r>
    </w:p>
    <w:p>
      <w:r>
        <w:t>10. Exportar artefatos com versões e avisos de revisão profissional.</w:t>
      </w:r>
    </w:p>
    <w:p>
      <w:pPr>
        <w:pStyle w:val="Heading2"/>
      </w:pPr>
      <w:r>
        <w:t>30.29 O que pode ser fine-tuned no futuro</w:t>
      </w:r>
    </w:p>
    <w:p>
      <w:pPr>
        <w:pStyle w:val="ListBullet"/>
      </w:pPr>
      <w:r>
        <w:t>Classificador de tipo documental brasileiro.</w:t>
      </w:r>
    </w:p>
    <w:p>
      <w:pPr>
        <w:pStyle w:val="ListBullet"/>
      </w:pPr>
      <w:r>
        <w:t>Extrator de parâmetros urbanísticos e tabelas normativas.</w:t>
      </w:r>
    </w:p>
    <w:p>
      <w:pPr>
        <w:pStyle w:val="ListBullet"/>
      </w:pPr>
      <w:r>
        <w:t>Extrator de decisões/quóruns de atas.</w:t>
      </w:r>
    </w:p>
    <w:p>
      <w:pPr>
        <w:pStyle w:val="ListBullet"/>
      </w:pPr>
      <w:r>
        <w:t>Reranker jurídico/urbanístico treinado com julgamentos de relevância.</w:t>
      </w:r>
    </w:p>
    <w:p>
      <w:pPr>
        <w:pStyle w:val="ListBullet"/>
      </w:pPr>
      <w:r>
        <w:t>Modelos de visão para plantas, simbologia e georreferenciamento assistido.</w:t>
      </w:r>
    </w:p>
    <w:p>
      <w:pPr>
        <w:pStyle w:val="ListBullet"/>
      </w:pPr>
      <w:r>
        <w:t>Modelos de preferência/Design DNA do A.I TEC, sem substituir constraints duras.</w:t>
      </w:r>
    </w:p>
    <w:p>
      <w:r>
        <w:t>Mesmo nesses casos, o conjunto de treinamento precisa ser versionado, licenciado, auditado e separado por finalidade. Dados privados de clientes não entram em treinamento compartilhado sem autorização explícita e base contratual apropriada.</w:t>
      </w:r>
    </w:p>
    <w:p>
      <w:pPr>
        <w:pStyle w:val="Heading2"/>
      </w:pPr>
      <w:r>
        <w:t>30.30 Métricas de sucesso da arquitetura</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736"/>
            <w:vAlign w:val="center"/>
          </w:tcPr>
          <w:p>
            <w:r>
              <w:rPr>
                <w:b/>
              </w:rPr>
              <w:t>Objetivo</w:t>
            </w:r>
          </w:p>
        </w:tc>
        <w:tc>
          <w:tcPr>
            <w:tcW w:type="dxa" w:w="7056"/>
            <w:vAlign w:val="center"/>
          </w:tcPr>
          <w:p>
            <w:r>
              <w:rPr>
                <w:b/>
              </w:rPr>
              <w:t>Indicador</w:t>
            </w:r>
          </w:p>
        </w:tc>
      </w:tr>
      <w:tr>
        <w:trPr>
          <w:cantSplit/>
        </w:trPr>
        <w:tc>
          <w:tcPr>
            <w:tcW w:type="dxa" w:w="2736"/>
            <w:vAlign w:val="top"/>
          </w:tcPr>
          <w:p>
            <w:r>
              <w:t>Confiabilidade jurídica</w:t>
            </w:r>
          </w:p>
        </w:tc>
        <w:tc>
          <w:tcPr>
            <w:tcW w:type="dxa" w:w="7056"/>
            <w:vAlign w:val="top"/>
          </w:tcPr>
          <w:p>
            <w:r>
              <w:t>% de respostas com fonte correta e temporalmente válida.</w:t>
            </w:r>
          </w:p>
        </w:tc>
      </w:tr>
      <w:tr>
        <w:trPr>
          <w:cantSplit/>
        </w:trPr>
        <w:tc>
          <w:tcPr>
            <w:tcW w:type="dxa" w:w="2736"/>
            <w:vAlign w:val="top"/>
          </w:tcPr>
          <w:p>
            <w:r>
              <w:t>Abstenção saudável</w:t>
            </w:r>
          </w:p>
        </w:tc>
        <w:tc>
          <w:tcPr>
            <w:tcW w:type="dxa" w:w="7056"/>
            <w:vAlign w:val="top"/>
          </w:tcPr>
          <w:p>
            <w:r>
              <w:t>% de casos insuficientes em que a IA não inventa conclusão.</w:t>
            </w:r>
          </w:p>
        </w:tc>
      </w:tr>
      <w:tr>
        <w:trPr>
          <w:cantSplit/>
        </w:trPr>
        <w:tc>
          <w:tcPr>
            <w:tcW w:type="dxa" w:w="2736"/>
            <w:vAlign w:val="top"/>
          </w:tcPr>
          <w:p>
            <w:r>
              <w:t>Segurança</w:t>
            </w:r>
          </w:p>
        </w:tc>
        <w:tc>
          <w:tcPr>
            <w:tcW w:type="dxa" w:w="7056"/>
            <w:vAlign w:val="top"/>
          </w:tcPr>
          <w:p>
            <w:r>
              <w:t>0 vazamentos cross-tenant; taxa de bloqueio de ataques em suíte adversarial.</w:t>
            </w:r>
          </w:p>
        </w:tc>
      </w:tr>
      <w:tr>
        <w:trPr>
          <w:cantSplit/>
        </w:trPr>
        <w:tc>
          <w:tcPr>
            <w:tcW w:type="dxa" w:w="2736"/>
            <w:vAlign w:val="top"/>
          </w:tcPr>
          <w:p>
            <w:r>
              <w:t>Qualidade de retrieval</w:t>
            </w:r>
          </w:p>
        </w:tc>
        <w:tc>
          <w:tcPr>
            <w:tcW w:type="dxa" w:w="7056"/>
            <w:vAlign w:val="top"/>
          </w:tcPr>
          <w:p>
            <w:r>
              <w:t>Recall@K e precisão do conjunto de evidências.</w:t>
            </w:r>
          </w:p>
        </w:tc>
      </w:tr>
      <w:tr>
        <w:trPr>
          <w:cantSplit/>
        </w:trPr>
        <w:tc>
          <w:tcPr>
            <w:tcW w:type="dxa" w:w="2736"/>
            <w:vAlign w:val="top"/>
          </w:tcPr>
          <w:p>
            <w:r>
              <w:t>A.I TEC</w:t>
            </w:r>
          </w:p>
        </w:tc>
        <w:tc>
          <w:tcPr>
            <w:tcW w:type="dxa" w:w="7056"/>
            <w:vAlign w:val="top"/>
          </w:tcPr>
          <w:p>
            <w:r>
              <w:t>% de cenários factíveis e sem violação de constraint dura.</w:t>
            </w:r>
          </w:p>
        </w:tc>
      </w:tr>
      <w:tr>
        <w:trPr>
          <w:cantSplit/>
        </w:trPr>
        <w:tc>
          <w:tcPr>
            <w:tcW w:type="dxa" w:w="2736"/>
            <w:vAlign w:val="top"/>
          </w:tcPr>
          <w:p>
            <w:r>
              <w:t>Operação</w:t>
            </w:r>
          </w:p>
        </w:tc>
        <w:tc>
          <w:tcPr>
            <w:tcW w:type="dxa" w:w="7056"/>
            <w:vAlign w:val="top"/>
          </w:tcPr>
          <w:p>
            <w:r>
              <w:t>Disponibilidade, P95, custo por tipo de tarefa e taxa de fallback.</w:t>
            </w:r>
          </w:p>
        </w:tc>
      </w:tr>
      <w:tr>
        <w:trPr>
          <w:cantSplit/>
        </w:trPr>
        <w:tc>
          <w:tcPr>
            <w:tcW w:type="dxa" w:w="2736"/>
            <w:vAlign w:val="top"/>
          </w:tcPr>
          <w:p>
            <w:r>
              <w:t>Atualização</w:t>
            </w:r>
          </w:p>
        </w:tc>
        <w:tc>
          <w:tcPr>
            <w:tcW w:type="dxa" w:w="7056"/>
            <w:vAlign w:val="top"/>
          </w:tcPr>
          <w:p>
            <w:r>
              <w:t>Tempo entre publicação/homologação de fonte e disponibilidade correta na IA.</w:t>
            </w:r>
          </w:p>
        </w:tc>
      </w:tr>
      <w:tr>
        <w:trPr>
          <w:cantSplit/>
        </w:trPr>
        <w:tc>
          <w:tcPr>
            <w:tcW w:type="dxa" w:w="2736"/>
            <w:vAlign w:val="top"/>
          </w:tcPr>
          <w:p>
            <w:r>
              <w:t>Auditabilidade</w:t>
            </w:r>
          </w:p>
        </w:tc>
        <w:tc>
          <w:tcPr>
            <w:tcW w:type="dxa" w:w="7056"/>
            <w:vAlign w:val="top"/>
          </w:tcPr>
          <w:p>
            <w:r>
              <w:t>% de respostas de risco alto reproduzíveis por trace/source snapshot.</w:t>
            </w:r>
          </w:p>
        </w:tc>
      </w:tr>
    </w:tbl>
    <w:p/>
    <w:p>
      <w:pPr>
        <w:pStyle w:val="Heading2"/>
      </w:pPr>
      <w:r>
        <w:t>30.31 Recomendação de implementação por fases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1152"/>
            <w:vAlign w:val="center"/>
          </w:tcPr>
          <w:p>
            <w:r>
              <w:rPr>
                <w:b/>
              </w:rPr>
              <w:t>Fase</w:t>
            </w:r>
          </w:p>
        </w:tc>
        <w:tc>
          <w:tcPr>
            <w:tcW w:type="dxa" w:w="8640"/>
            <w:vAlign w:val="center"/>
          </w:tcPr>
          <w:p>
            <w:r>
              <w:rPr>
                <w:b/>
              </w:rPr>
              <w:t>Entrega</w:t>
            </w:r>
          </w:p>
        </w:tc>
      </w:tr>
      <w:tr>
        <w:trPr>
          <w:cantSplit/>
        </w:trPr>
        <w:tc>
          <w:tcPr>
            <w:tcW w:type="dxa" w:w="1152"/>
            <w:vAlign w:val="top"/>
          </w:tcPr>
          <w:p>
            <w:r>
              <w:t>1</w:t>
            </w:r>
          </w:p>
        </w:tc>
        <w:tc>
          <w:tcPr>
            <w:tcW w:type="dxa" w:w="8640"/>
            <w:vAlign w:val="top"/>
          </w:tcPr>
          <w:p>
            <w:r>
              <w:t>AI Gateway + identidade + model router + traces.</w:t>
            </w:r>
          </w:p>
        </w:tc>
      </w:tr>
      <w:tr>
        <w:trPr>
          <w:cantSplit/>
        </w:trPr>
        <w:tc>
          <w:tcPr>
            <w:tcW w:type="dxa" w:w="1152"/>
            <w:vAlign w:val="top"/>
          </w:tcPr>
          <w:p>
            <w:r>
              <w:t>2</w:t>
            </w:r>
          </w:p>
        </w:tc>
        <w:tc>
          <w:tcPr>
            <w:tcW w:type="dxa" w:w="8640"/>
            <w:vAlign w:val="top"/>
          </w:tcPr>
          <w:p>
            <w:r>
              <w:t>Ingestão documental comum + Object Storage + metadados + OCR.</w:t>
            </w:r>
          </w:p>
        </w:tc>
      </w:tr>
      <w:tr>
        <w:trPr>
          <w:cantSplit/>
        </w:trPr>
        <w:tc>
          <w:tcPr>
            <w:tcW w:type="dxa" w:w="1152"/>
            <w:vAlign w:val="top"/>
          </w:tcPr>
          <w:p>
            <w:r>
              <w:t>3</w:t>
            </w:r>
          </w:p>
        </w:tc>
        <w:tc>
          <w:tcPr>
            <w:tcW w:type="dxa" w:w="8640"/>
            <w:vAlign w:val="top"/>
          </w:tcPr>
          <w:p>
            <w:r>
              <w:t>Hybrid retrieval + ACL + citations + reranker.</w:t>
            </w:r>
          </w:p>
        </w:tc>
      </w:tr>
      <w:tr>
        <w:trPr>
          <w:cantSplit/>
        </w:trPr>
        <w:tc>
          <w:tcPr>
            <w:tcW w:type="dxa" w:w="1152"/>
            <w:vAlign w:val="top"/>
          </w:tcPr>
          <w:p>
            <w:r>
              <w:t>4</w:t>
            </w:r>
          </w:p>
        </w:tc>
        <w:tc>
          <w:tcPr>
            <w:tcW w:type="dxa" w:w="8640"/>
            <w:vAlign w:val="top"/>
          </w:tcPr>
          <w:p>
            <w:r>
              <w:t>A.I Cidades MVP com 3–5 municípios e rule engine temporal.</w:t>
            </w:r>
          </w:p>
        </w:tc>
      </w:tr>
      <w:tr>
        <w:trPr>
          <w:cantSplit/>
        </w:trPr>
        <w:tc>
          <w:tcPr>
            <w:tcW w:type="dxa" w:w="1152"/>
            <w:vAlign w:val="top"/>
          </w:tcPr>
          <w:p>
            <w:r>
              <w:t>5</w:t>
            </w:r>
          </w:p>
        </w:tc>
        <w:tc>
          <w:tcPr>
            <w:tcW w:type="dxa" w:w="8640"/>
            <w:vAlign w:val="top"/>
          </w:tcPr>
          <w:p>
            <w:r>
              <w:t>A.I Condomínio MVP com isolamento forte e hierarquia documental.</w:t>
            </w:r>
          </w:p>
        </w:tc>
      </w:tr>
      <w:tr>
        <w:trPr>
          <w:cantSplit/>
        </w:trPr>
        <w:tc>
          <w:tcPr>
            <w:tcW w:type="dxa" w:w="1152"/>
            <w:vAlign w:val="top"/>
          </w:tcPr>
          <w:p>
            <w:r>
              <w:t>6</w:t>
            </w:r>
          </w:p>
        </w:tc>
        <w:tc>
          <w:tcPr>
            <w:tcW w:type="dxa" w:w="8640"/>
            <w:vAlign w:val="top"/>
          </w:tcPr>
          <w:p>
            <w:r>
              <w:t>Evaluation platform + golden datasets + security red-team.</w:t>
            </w:r>
          </w:p>
        </w:tc>
      </w:tr>
      <w:tr>
        <w:trPr>
          <w:cantSplit/>
        </w:trPr>
        <w:tc>
          <w:tcPr>
            <w:tcW w:type="dxa" w:w="1152"/>
            <w:vAlign w:val="top"/>
          </w:tcPr>
          <w:p>
            <w:r>
              <w:t>7</w:t>
            </w:r>
          </w:p>
        </w:tc>
        <w:tc>
          <w:tcPr>
            <w:tcW w:type="dxa" w:w="8640"/>
            <w:vAlign w:val="top"/>
          </w:tcPr>
          <w:p>
            <w:r>
              <w:t>Tool Registry + PostGIS/SQL/APIs determinísticas.</w:t>
            </w:r>
          </w:p>
        </w:tc>
      </w:tr>
      <w:tr>
        <w:trPr>
          <w:cantSplit/>
        </w:trPr>
        <w:tc>
          <w:tcPr>
            <w:tcW w:type="dxa" w:w="1152"/>
            <w:vAlign w:val="top"/>
          </w:tcPr>
          <w:p>
            <w:r>
              <w:t>8</w:t>
            </w:r>
          </w:p>
        </w:tc>
        <w:tc>
          <w:tcPr>
            <w:tcW w:type="dxa" w:w="8640"/>
            <w:vAlign w:val="top"/>
          </w:tcPr>
          <w:p>
            <w:r>
              <w:t>A.I TEC conectado ao ConstraintSpec e solvers.</w:t>
            </w:r>
          </w:p>
        </w:tc>
      </w:tr>
      <w:tr>
        <w:trPr>
          <w:cantSplit/>
        </w:trPr>
        <w:tc>
          <w:tcPr>
            <w:tcW w:type="dxa" w:w="1152"/>
            <w:vAlign w:val="top"/>
          </w:tcPr>
          <w:p>
            <w:r>
              <w:t>9</w:t>
            </w:r>
          </w:p>
        </w:tc>
        <w:tc>
          <w:tcPr>
            <w:tcW w:type="dxa" w:w="8640"/>
            <w:vAlign w:val="top"/>
          </w:tcPr>
          <w:p>
            <w:r>
              <w:t>Model/provider fallback + self-hosted option + cost routing.</w:t>
            </w:r>
          </w:p>
        </w:tc>
      </w:tr>
      <w:tr>
        <w:trPr>
          <w:cantSplit/>
        </w:trPr>
        <w:tc>
          <w:tcPr>
            <w:tcW w:type="dxa" w:w="1152"/>
            <w:vAlign w:val="top"/>
          </w:tcPr>
          <w:p>
            <w:r>
              <w:t>10</w:t>
            </w:r>
          </w:p>
        </w:tc>
        <w:tc>
          <w:tcPr>
            <w:tcW w:type="dxa" w:w="8640"/>
            <w:vAlign w:val="top"/>
          </w:tcPr>
          <w:p>
            <w:r>
              <w:t>Escala nacional, automação de onboarding e continuous evaluation.</w:t>
            </w:r>
          </w:p>
        </w:tc>
      </w:tr>
    </w:tbl>
    <w:p/>
    <w:p>
      <w:pPr>
        <w:pStyle w:val="Heading2"/>
      </w:pPr>
      <w:r>
        <w:t>30.32 Critérios de aceitação da camada de IA</w:t>
      </w:r>
    </w:p>
    <w:p>
      <w:pPr>
        <w:pStyle w:val="ListBullet"/>
      </w:pPr>
      <w:r>
        <w:t>Nenhuma resposta jurídica de alto risco sem fontes recuperadas e verificáveis.</w:t>
      </w:r>
    </w:p>
    <w:p>
      <w:pPr>
        <w:pStyle w:val="ListBullet"/>
      </w:pPr>
      <w:r>
        <w:t>Nenhuma fonte privada recuperada fora do tenant/permissão correta.</w:t>
      </w:r>
    </w:p>
    <w:p>
      <w:pPr>
        <w:pStyle w:val="ListBullet"/>
      </w:pPr>
      <w:r>
        <w:t>Toda resposta jurídica suporta data de referência e vigência.</w:t>
      </w:r>
    </w:p>
    <w:p>
      <w:pPr>
        <w:pStyle w:val="ListBullet"/>
      </w:pPr>
      <w:r>
        <w:t>Novo PDF de município/condomínio fica disponível por indexação, sem retreinar modelo fundacional.</w:t>
      </w:r>
    </w:p>
    <w:p>
      <w:pPr>
        <w:pStyle w:val="ListBullet"/>
      </w:pPr>
      <w:r>
        <w:t>Índice vetorial pode ser completamente reconstruído a partir do source of truth.</w:t>
      </w:r>
    </w:p>
    <w:p>
      <w:pPr>
        <w:pStyle w:val="ListBullet"/>
      </w:pPr>
      <w:r>
        <w:t>LLM nunca executa SQL, shell ou alteração irreversível diretamente.</w:t>
      </w:r>
    </w:p>
    <w:p>
      <w:pPr>
        <w:pStyle w:val="ListBullet"/>
      </w:pPr>
      <w:r>
        <w:t>A.I TEC não aceita cenário com constraint dura violada.</w:t>
      </w:r>
    </w:p>
    <w:p>
      <w:pPr>
        <w:pStyle w:val="ListBullet"/>
      </w:pPr>
      <w:r>
        <w:t>Mudança de modelo/prompt/retrieval só entra em produção após regressão.</w:t>
      </w:r>
    </w:p>
    <w:p>
      <w:pPr>
        <w:pStyle w:val="ListBullet"/>
      </w:pPr>
      <w:r>
        <w:t>Toda interação crítica gera trace auditável.</w:t>
      </w:r>
    </w:p>
    <w:p>
      <w:pPr>
        <w:pStyle w:val="ListBullet"/>
      </w:pPr>
      <w:r>
        <w:t>Sistema funciona em modo degradado com busca/ferramentas mesmo se provider de LLM estiver indisponível.</w:t>
      </w:r>
    </w:p>
    <w:p>
      <w:pPr>
        <w:pStyle w:val="Heading2"/>
      </w:pPr>
      <w:r>
        <w:t>30.33 Frameworks de risco e melhores práticas adotados</w:t>
      </w:r>
    </w:p>
    <w:p>
      <w:r>
        <w:t>A governança recomendada adota como referências NIST AI RMF/Generative AI Profile, NIST SSDF para IA, OWASP GenAI LLM Top 10, práticas de RAG com controle documental/tenant e disciplina de evaluations. Esses frameworks não substituem LGPD ou obrigações setoriais brasileiras, mas oferecem um baseline técnico consistente para desenvolvimento, implantação, medição e segurança.</w:t>
      </w:r>
    </w:p>
    <w:p>
      <w:pPr>
        <w:pStyle w:val="Heading1"/>
      </w:pPr>
      <w:r>
        <w:t>31. Painel Admin SaaS — Control Plane comercial, operacional e técnico</w:t>
      </w:r>
    </w:p>
    <w:p>
      <w:r>
        <w:t>Propósito. O Painel Admin é o ambiente interno que governa todo o SaaS. Ele não é uma área de cliente, não é o módulo Prefeitura e não é o backoffice GIS de um município. É o Control Plane da empresa operadora: clientes, faturamento, planos, módulos, conteúdo institucional, suporte, dados, IA, infraestrutura, releases, segurança, auditoria e evolução contínua do produto.</w:t>
      </w:r>
    </w:p>
    <w:p>
      <w:r>
        <w:t>Princípio estrutural. O Admin controla configuração e promoção de artefatos confiáveis; não deve oferecer execução arbitrária de código, shell, SQL ou upload de executáveis. O site institucional pode ser editado por CMS. O software da plataforma é atualizado por CI/CD, com artefatos assinados, testes e rollback.</w:t>
      </w:r>
    </w:p>
    <w:p>
      <w:r>
        <w:drawing>
          <wp:inline xmlns:a="http://schemas.openxmlformats.org/drawingml/2006/main" xmlns:pic="http://schemas.openxmlformats.org/drawingml/2006/picture">
            <wp:extent cx="6172200" cy="4129238"/>
            <wp:docPr id="12" name="Picture 12" descr="Figura — Painel Admin como Control Plane do SaaS, separado do data plane dos clientes." title="Figura — Painel Admin como Control Plane do SaaS, separado do data plane dos clientes."/>
            <wp:cNvGraphicFramePr>
              <a:graphicFrameLocks noChangeAspect="1"/>
            </wp:cNvGraphicFramePr>
            <a:graphic>
              <a:graphicData uri="http://schemas.openxmlformats.org/drawingml/2006/picture">
                <pic:pic>
                  <pic:nvPicPr>
                    <pic:cNvPr id="0" name="admin_control_plane.png"/>
                    <pic:cNvPicPr/>
                  </pic:nvPicPr>
                  <pic:blipFill>
                    <a:blip r:embed="rId22"/>
                    <a:stretch>
                      <a:fillRect/>
                    </a:stretch>
                  </pic:blipFill>
                  <pic:spPr>
                    <a:xfrm>
                      <a:off x="0" y="0"/>
                      <a:ext cx="6172200" cy="4129238"/>
                    </a:xfrm>
                    <a:prstGeom prst="rect"/>
                  </pic:spPr>
                </pic:pic>
              </a:graphicData>
            </a:graphic>
          </wp:inline>
        </w:drawing>
      </w:r>
    </w:p>
    <w:p>
      <w:pPr>
        <w:pStyle w:val="CaptionLD"/>
      </w:pPr>
      <w:r>
        <w:t>Figura — Painel Admin como Control Plane do SaaS, separado do data plane dos clientes.</w:t>
      </w:r>
    </w:p>
    <w:p>
      <w:pPr>
        <w:pStyle w:val="Heading2"/>
      </w:pPr>
      <w:r>
        <w:t>31.1 Áreas principais do painel</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304"/>
            <w:vAlign w:val="center"/>
          </w:tcPr>
          <w:p>
            <w:r>
              <w:rPr>
                <w:b/>
              </w:rPr>
              <w:t>Área</w:t>
            </w:r>
          </w:p>
        </w:tc>
        <w:tc>
          <w:tcPr>
            <w:tcW w:type="dxa" w:w="7488"/>
            <w:vAlign w:val="center"/>
          </w:tcPr>
          <w:p>
            <w:r>
              <w:rPr>
                <w:b/>
              </w:rPr>
              <w:t>Responsabilidade</w:t>
            </w:r>
          </w:p>
        </w:tc>
      </w:tr>
      <w:tr>
        <w:trPr>
          <w:cantSplit/>
        </w:trPr>
        <w:tc>
          <w:tcPr>
            <w:tcW w:type="dxa" w:w="2304"/>
            <w:vAlign w:val="top"/>
          </w:tcPr>
          <w:p>
            <w:r>
              <w:t>Visão executiva</w:t>
            </w:r>
          </w:p>
        </w:tc>
        <w:tc>
          <w:tcPr>
            <w:tcW w:type="dxa" w:w="7488"/>
            <w:vAlign w:val="top"/>
          </w:tcPr>
          <w:p>
            <w:r>
              <w:t>Receita, clientes, crescimento, churn, inadimplência, uso, margem, custos de IA e saúde operacional.</w:t>
            </w:r>
          </w:p>
        </w:tc>
      </w:tr>
      <w:tr>
        <w:trPr>
          <w:cantSplit/>
        </w:trPr>
        <w:tc>
          <w:tcPr>
            <w:tcW w:type="dxa" w:w="2304"/>
            <w:vAlign w:val="top"/>
          </w:tcPr>
          <w:p>
            <w:r>
              <w:t>Clientes / Tenants</w:t>
            </w:r>
          </w:p>
        </w:tc>
        <w:tc>
          <w:tcPr>
            <w:tcW w:type="dxa" w:w="7488"/>
            <w:vAlign w:val="top"/>
          </w:tcPr>
          <w:p>
            <w:r>
              <w:t>Empresas, profissionais, condomínios, prefeituras, equipes, contratos e lifecycle.</w:t>
            </w:r>
          </w:p>
        </w:tc>
      </w:tr>
      <w:tr>
        <w:trPr>
          <w:cantSplit/>
        </w:trPr>
        <w:tc>
          <w:tcPr>
            <w:tcW w:type="dxa" w:w="2304"/>
            <w:vAlign w:val="top"/>
          </w:tcPr>
          <w:p>
            <w:r>
              <w:t>Planos e Billing</w:t>
            </w:r>
          </w:p>
        </w:tc>
        <w:tc>
          <w:tcPr>
            <w:tcW w:type="dxa" w:w="7488"/>
            <w:vAlign w:val="top"/>
          </w:tcPr>
          <w:p>
            <w:r>
              <w:t>Preços, assinaturas, add-ons, cupons, Mercado Pago, ledger, fiscal e conciliação.</w:t>
            </w:r>
          </w:p>
        </w:tc>
      </w:tr>
      <w:tr>
        <w:trPr>
          <w:cantSplit/>
        </w:trPr>
        <w:tc>
          <w:tcPr>
            <w:tcW w:type="dxa" w:w="2304"/>
            <w:vAlign w:val="top"/>
          </w:tcPr>
          <w:p>
            <w:r>
              <w:t>Produto</w:t>
            </w:r>
          </w:p>
        </w:tc>
        <w:tc>
          <w:tcPr>
            <w:tcW w:type="dxa" w:w="7488"/>
            <w:vAlign w:val="top"/>
          </w:tcPr>
          <w:p>
            <w:r>
              <w:t>Módulos, entitlements, quotas, feature flags, experimentos e configuração.</w:t>
            </w:r>
          </w:p>
        </w:tc>
      </w:tr>
      <w:tr>
        <w:trPr>
          <w:cantSplit/>
        </w:trPr>
        <w:tc>
          <w:tcPr>
            <w:tcW w:type="dxa" w:w="2304"/>
            <w:vAlign w:val="top"/>
          </w:tcPr>
          <w:p>
            <w:r>
              <w:t>CMS / Site</w:t>
            </w:r>
          </w:p>
        </w:tc>
        <w:tc>
          <w:tcPr>
            <w:tcW w:type="dxa" w:w="7488"/>
            <w:vAlign w:val="top"/>
          </w:tcPr>
          <w:p>
            <w:r>
              <w:t>Páginas, mídia, menus, SEO, blog, campanhas, formulários, previews, agendamentos e rollback.</w:t>
            </w:r>
          </w:p>
        </w:tc>
      </w:tr>
      <w:tr>
        <w:trPr>
          <w:cantSplit/>
        </w:trPr>
        <w:tc>
          <w:tcPr>
            <w:tcW w:type="dxa" w:w="2304"/>
            <w:vAlign w:val="top"/>
          </w:tcPr>
          <w:p>
            <w:r>
              <w:t>Suporte</w:t>
            </w:r>
          </w:p>
        </w:tc>
        <w:tc>
          <w:tcPr>
            <w:tcW w:type="dxa" w:w="7488"/>
            <w:vAlign w:val="top"/>
          </w:tcPr>
          <w:p>
            <w:r>
              <w:t>Tickets, contatos, eventos do cliente, diagnóstico, sessões de suporte controladas e SLA.</w:t>
            </w:r>
          </w:p>
        </w:tc>
      </w:tr>
      <w:tr>
        <w:trPr>
          <w:cantSplit/>
        </w:trPr>
        <w:tc>
          <w:tcPr>
            <w:tcW w:type="dxa" w:w="2304"/>
            <w:vAlign w:val="top"/>
          </w:tcPr>
          <w:p>
            <w:r>
              <w:t>Dados / Fontes</w:t>
            </w:r>
          </w:p>
        </w:tc>
        <w:tc>
          <w:tcPr>
            <w:tcW w:type="dxa" w:w="7488"/>
            <w:vAlign w:val="top"/>
          </w:tcPr>
          <w:p>
            <w:r>
              <w:t>Conectores, ETLs, municípios, camadas, documentos, qualidade, freshness e falhas.</w:t>
            </w:r>
          </w:p>
        </w:tc>
      </w:tr>
      <w:tr>
        <w:trPr>
          <w:cantSplit/>
        </w:trPr>
        <w:tc>
          <w:tcPr>
            <w:tcW w:type="dxa" w:w="2304"/>
            <w:vAlign w:val="top"/>
          </w:tcPr>
          <w:p>
            <w:r>
              <w:t>AI Ops</w:t>
            </w:r>
          </w:p>
        </w:tc>
        <w:tc>
          <w:tcPr>
            <w:tcW w:type="dxa" w:w="7488"/>
            <w:vAlign w:val="top"/>
          </w:tcPr>
          <w:p>
            <w:r>
              <w:t>Modelos, prompts, evals, custos, traces, embeddings, filas e segurança.</w:t>
            </w:r>
          </w:p>
        </w:tc>
      </w:tr>
      <w:tr>
        <w:trPr>
          <w:cantSplit/>
        </w:trPr>
        <w:tc>
          <w:tcPr>
            <w:tcW w:type="dxa" w:w="2304"/>
            <w:vAlign w:val="top"/>
          </w:tcPr>
          <w:p>
            <w:r>
              <w:t>Operações</w:t>
            </w:r>
          </w:p>
        </w:tc>
        <w:tc>
          <w:tcPr>
            <w:tcW w:type="dxa" w:w="7488"/>
            <w:vAlign w:val="top"/>
          </w:tcPr>
          <w:p>
            <w:r>
              <w:t>Status de serviços, filas, jobs, storage, bancos, APIs, incidentes, backups e observabilidade.</w:t>
            </w:r>
          </w:p>
        </w:tc>
      </w:tr>
      <w:tr>
        <w:trPr>
          <w:cantSplit/>
        </w:trPr>
        <w:tc>
          <w:tcPr>
            <w:tcW w:type="dxa" w:w="2304"/>
            <w:vAlign w:val="top"/>
          </w:tcPr>
          <w:p>
            <w:r>
              <w:t>Releases</w:t>
            </w:r>
          </w:p>
        </w:tc>
        <w:tc>
          <w:tcPr>
            <w:tcW w:type="dxa" w:w="7488"/>
            <w:vAlign w:val="top"/>
          </w:tcPr>
          <w:p>
            <w:r>
              <w:t>Versões, staging, canary, aprovação, changelog, migrações, rollback e manutenção.</w:t>
            </w:r>
          </w:p>
        </w:tc>
      </w:tr>
      <w:tr>
        <w:trPr>
          <w:cantSplit/>
        </w:trPr>
        <w:tc>
          <w:tcPr>
            <w:tcW w:type="dxa" w:w="2304"/>
            <w:vAlign w:val="top"/>
          </w:tcPr>
          <w:p>
            <w:r>
              <w:t>Segurança</w:t>
            </w:r>
          </w:p>
        </w:tc>
        <w:tc>
          <w:tcPr>
            <w:tcW w:type="dxa" w:w="7488"/>
            <w:vAlign w:val="top"/>
          </w:tcPr>
          <w:p>
            <w:r>
              <w:t>Administradores, MFA, sessões, chaves, eventos, IPs, auditoria e respostas a incidentes.</w:t>
            </w:r>
          </w:p>
        </w:tc>
      </w:tr>
    </w:tbl>
    <w:p/>
    <w:p>
      <w:pPr>
        <w:pStyle w:val="Heading2"/>
      </w:pPr>
      <w:r>
        <w:t>31.2 Perfis administrativos e segregação de funções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520"/>
            <w:vAlign w:val="center"/>
          </w:tcPr>
          <w:p>
            <w:r>
              <w:rPr>
                <w:b/>
              </w:rPr>
              <w:t>Perfil</w:t>
            </w:r>
          </w:p>
        </w:tc>
        <w:tc>
          <w:tcPr>
            <w:tcW w:type="dxa" w:w="7272"/>
            <w:vAlign w:val="center"/>
          </w:tcPr>
          <w:p>
            <w:r>
              <w:rPr>
                <w:b/>
              </w:rPr>
              <w:t>Escopo recomendado</w:t>
            </w:r>
          </w:p>
        </w:tc>
      </w:tr>
      <w:tr>
        <w:trPr>
          <w:cantSplit/>
        </w:trPr>
        <w:tc>
          <w:tcPr>
            <w:tcW w:type="dxa" w:w="2520"/>
            <w:vAlign w:val="top"/>
          </w:tcPr>
          <w:p>
            <w:r>
              <w:t>Owner / Break-glass</w:t>
            </w:r>
          </w:p>
        </w:tc>
        <w:tc>
          <w:tcPr>
            <w:tcW w:type="dxa" w:w="7272"/>
            <w:vAlign w:val="top"/>
          </w:tcPr>
          <w:p>
            <w:r>
              <w:t>Conta excepcional para emergência; hardware key, cofre, uso fortemente auditado e não utilizada no dia a dia.</w:t>
            </w:r>
          </w:p>
        </w:tc>
      </w:tr>
      <w:tr>
        <w:trPr>
          <w:cantSplit/>
        </w:trPr>
        <w:tc>
          <w:tcPr>
            <w:tcW w:type="dxa" w:w="2520"/>
            <w:vAlign w:val="top"/>
          </w:tcPr>
          <w:p>
            <w:r>
              <w:t>Super Admin</w:t>
            </w:r>
          </w:p>
        </w:tc>
        <w:tc>
          <w:tcPr>
            <w:tcW w:type="dxa" w:w="7272"/>
            <w:vAlign w:val="top"/>
          </w:tcPr>
          <w:p>
            <w:r>
              <w:t>Governança geral, sem acesso automático a segredos ou dados privados desnecessários.</w:t>
            </w:r>
          </w:p>
        </w:tc>
      </w:tr>
      <w:tr>
        <w:trPr>
          <w:cantSplit/>
        </w:trPr>
        <w:tc>
          <w:tcPr>
            <w:tcW w:type="dxa" w:w="2520"/>
            <w:vAlign w:val="top"/>
          </w:tcPr>
          <w:p>
            <w:r>
              <w:t>Financeiro</w:t>
            </w:r>
          </w:p>
        </w:tc>
        <w:tc>
          <w:tcPr>
            <w:tcW w:type="dxa" w:w="7272"/>
            <w:vAlign w:val="top"/>
          </w:tcPr>
          <w:p>
            <w:r>
              <w:t>Billing, Mercado Pago, fiscal, reembolsos, conciliação, planos e relatórios financeiros.</w:t>
            </w:r>
          </w:p>
        </w:tc>
      </w:tr>
      <w:tr>
        <w:trPr>
          <w:cantSplit/>
        </w:trPr>
        <w:tc>
          <w:tcPr>
            <w:tcW w:type="dxa" w:w="2520"/>
            <w:vAlign w:val="top"/>
          </w:tcPr>
          <w:p>
            <w:r>
              <w:t>Customer Success / Suporte</w:t>
            </w:r>
          </w:p>
        </w:tc>
        <w:tc>
          <w:tcPr>
            <w:tcW w:type="dxa" w:w="7272"/>
            <w:vAlign w:val="top"/>
          </w:tcPr>
          <w:p>
            <w:r>
              <w:t>Clientes, tickets, uso e diagnóstico; sem alterar cobrança crítica ou configurações de produção.</w:t>
            </w:r>
          </w:p>
        </w:tc>
      </w:tr>
      <w:tr>
        <w:trPr>
          <w:cantSplit/>
        </w:trPr>
        <w:tc>
          <w:tcPr>
            <w:tcW w:type="dxa" w:w="2520"/>
            <w:vAlign w:val="top"/>
          </w:tcPr>
          <w:p>
            <w:r>
              <w:t>Product Admin</w:t>
            </w:r>
          </w:p>
        </w:tc>
        <w:tc>
          <w:tcPr>
            <w:tcW w:type="dxa" w:w="7272"/>
            <w:vAlign w:val="top"/>
          </w:tcPr>
          <w:p>
            <w:r>
              <w:t>Planos funcionais, entitlements, quotas, módulos, feature flags e experimentos.</w:t>
            </w:r>
          </w:p>
        </w:tc>
      </w:tr>
      <w:tr>
        <w:trPr>
          <w:cantSplit/>
        </w:trPr>
        <w:tc>
          <w:tcPr>
            <w:tcW w:type="dxa" w:w="2520"/>
            <w:vAlign w:val="top"/>
          </w:tcPr>
          <w:p>
            <w:r>
              <w:t>CMS Editor</w:t>
            </w:r>
          </w:p>
        </w:tc>
        <w:tc>
          <w:tcPr>
            <w:tcW w:type="dxa" w:w="7272"/>
            <w:vAlign w:val="top"/>
          </w:tcPr>
          <w:p>
            <w:r>
              <w:t>Site institucional, blog, mídia e campanhas; não acessa clientes privados.</w:t>
            </w:r>
          </w:p>
        </w:tc>
      </w:tr>
      <w:tr>
        <w:trPr>
          <w:cantSplit/>
        </w:trPr>
        <w:tc>
          <w:tcPr>
            <w:tcW w:type="dxa" w:w="2520"/>
            <w:vAlign w:val="top"/>
          </w:tcPr>
          <w:p>
            <w:r>
              <w:t>Release Manager</w:t>
            </w:r>
          </w:p>
        </w:tc>
        <w:tc>
          <w:tcPr>
            <w:tcW w:type="dxa" w:w="7272"/>
            <w:vAlign w:val="top"/>
          </w:tcPr>
          <w:p>
            <w:r>
              <w:t>Promover versões aprovadas, iniciar manutenção e rollback conforme workflow.</w:t>
            </w:r>
          </w:p>
        </w:tc>
      </w:tr>
      <w:tr>
        <w:trPr>
          <w:cantSplit/>
        </w:trPr>
        <w:tc>
          <w:tcPr>
            <w:tcW w:type="dxa" w:w="2520"/>
            <w:vAlign w:val="top"/>
          </w:tcPr>
          <w:p>
            <w:r>
              <w:t>Data Ops</w:t>
            </w:r>
          </w:p>
        </w:tc>
        <w:tc>
          <w:tcPr>
            <w:tcW w:type="dxa" w:w="7272"/>
            <w:vAlign w:val="top"/>
          </w:tcPr>
          <w:p>
            <w:r>
              <w:t>ETLs, fontes, camadas, freshness e qualidade.</w:t>
            </w:r>
          </w:p>
        </w:tc>
      </w:tr>
      <w:tr>
        <w:trPr>
          <w:cantSplit/>
        </w:trPr>
        <w:tc>
          <w:tcPr>
            <w:tcW w:type="dxa" w:w="2520"/>
            <w:vAlign w:val="top"/>
          </w:tcPr>
          <w:p>
            <w:r>
              <w:t>AI Ops</w:t>
            </w:r>
          </w:p>
        </w:tc>
        <w:tc>
          <w:tcPr>
            <w:tcW w:type="dxa" w:w="7272"/>
            <w:vAlign w:val="top"/>
          </w:tcPr>
          <w:p>
            <w:r>
              <w:t>Prompts, modelos, evals, custos e traces redigidos conforme permissão.</w:t>
            </w:r>
          </w:p>
        </w:tc>
      </w:tr>
      <w:tr>
        <w:trPr>
          <w:cantSplit/>
        </w:trPr>
        <w:tc>
          <w:tcPr>
            <w:tcW w:type="dxa" w:w="2520"/>
            <w:vAlign w:val="top"/>
          </w:tcPr>
          <w:p>
            <w:r>
              <w:t>Security Auditor</w:t>
            </w:r>
          </w:p>
        </w:tc>
        <w:tc>
          <w:tcPr>
            <w:tcW w:type="dxa" w:w="7272"/>
            <w:vAlign w:val="top"/>
          </w:tcPr>
          <w:p>
            <w:r>
              <w:t>Leitura de auditoria, sessões, acessos e configurações; sem edição.</w:t>
            </w:r>
          </w:p>
        </w:tc>
      </w:tr>
    </w:tbl>
    <w:p/>
    <w:p>
      <w:pPr>
        <w:pStyle w:val="ListBullet"/>
      </w:pPr>
      <w:r>
        <w:t>MFA obrigatório para todos os administradores; preferir WebAuthn/passkeys ou chaves de segurança para privilégios elevados.</w:t>
      </w:r>
    </w:p>
    <w:p>
      <w:pPr>
        <w:pStyle w:val="ListBullet"/>
      </w:pPr>
      <w:r>
        <w:t>Permissões pelo princípio do menor privilégio, com RBAC + atributos para recursos sensíveis.</w:t>
      </w:r>
    </w:p>
    <w:p>
      <w:pPr>
        <w:pStyle w:val="ListBullet"/>
      </w:pPr>
      <w:r>
        <w:t>Ações críticas exigem step-up authentication e, quando aplicável, aprovação por segundo administrador.</w:t>
      </w:r>
    </w:p>
    <w:p>
      <w:pPr>
        <w:pStyle w:val="ListBullet"/>
      </w:pPr>
      <w:r>
        <w:t>Nunca usar uma conta administrativa compartilhada.</w:t>
      </w:r>
    </w:p>
    <w:p>
      <w:pPr>
        <w:pStyle w:val="ListBullet"/>
      </w:pPr>
      <w:r>
        <w:t>Sessões administrativas curtas, revogáveis e com inventário de dispositivos/sessões.</w:t>
      </w:r>
    </w:p>
    <w:p>
      <w:pPr>
        <w:pStyle w:val="Heading2"/>
      </w:pPr>
      <w:r>
        <w:t>31.3 Dashboard executivo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160"/>
            <w:vAlign w:val="center"/>
          </w:tcPr>
          <w:p>
            <w:r>
              <w:rPr>
                <w:b/>
              </w:rPr>
              <w:t>Grupo</w:t>
            </w:r>
          </w:p>
        </w:tc>
        <w:tc>
          <w:tcPr>
            <w:tcW w:type="dxa" w:w="7632"/>
            <w:vAlign w:val="center"/>
          </w:tcPr>
          <w:p>
            <w:r>
              <w:rPr>
                <w:b/>
              </w:rPr>
              <w:t>KPIs</w:t>
            </w:r>
          </w:p>
        </w:tc>
      </w:tr>
      <w:tr>
        <w:trPr>
          <w:cantSplit/>
        </w:trPr>
        <w:tc>
          <w:tcPr>
            <w:tcW w:type="dxa" w:w="2160"/>
            <w:vAlign w:val="top"/>
          </w:tcPr>
          <w:p>
            <w:r>
              <w:t>Receita SaaS</w:t>
            </w:r>
          </w:p>
        </w:tc>
        <w:tc>
          <w:tcPr>
            <w:tcW w:type="dxa" w:w="7632"/>
            <w:vAlign w:val="top"/>
          </w:tcPr>
          <w:p>
            <w:r>
              <w:t>MRR, ARR, New MRR, Expansion MRR, Contraction MRR, Reactivation MRR, Churned MRR.</w:t>
            </w:r>
          </w:p>
        </w:tc>
      </w:tr>
      <w:tr>
        <w:trPr>
          <w:cantSplit/>
        </w:trPr>
        <w:tc>
          <w:tcPr>
            <w:tcW w:type="dxa" w:w="2160"/>
            <w:vAlign w:val="top"/>
          </w:tcPr>
          <w:p>
            <w:r>
              <w:t>Retenção</w:t>
            </w:r>
          </w:p>
        </w:tc>
        <w:tc>
          <w:tcPr>
            <w:tcW w:type="dxa" w:w="7632"/>
            <w:vAlign w:val="top"/>
          </w:tcPr>
          <w:p>
            <w:r>
              <w:t>Logo churn, revenue churn, GRR, NRR, cohort retention, downgrade/upgrade.</w:t>
            </w:r>
          </w:p>
        </w:tc>
      </w:tr>
      <w:tr>
        <w:trPr>
          <w:cantSplit/>
        </w:trPr>
        <w:tc>
          <w:tcPr>
            <w:tcW w:type="dxa" w:w="2160"/>
            <w:vAlign w:val="top"/>
          </w:tcPr>
          <w:p>
            <w:r>
              <w:t>Clientes</w:t>
            </w:r>
          </w:p>
        </w:tc>
        <w:tc>
          <w:tcPr>
            <w:tcW w:type="dxa" w:w="7632"/>
            <w:vAlign w:val="top"/>
          </w:tcPr>
          <w:p>
            <w:r>
              <w:t>Trials, ativos, pagos, inadimplentes, suspensos, cancelados, enterprise e prefeituras.</w:t>
            </w:r>
          </w:p>
        </w:tc>
      </w:tr>
      <w:tr>
        <w:trPr>
          <w:cantSplit/>
        </w:trPr>
        <w:tc>
          <w:tcPr>
            <w:tcW w:type="dxa" w:w="2160"/>
            <w:vAlign w:val="top"/>
          </w:tcPr>
          <w:p>
            <w:r>
              <w:t>Unit economics</w:t>
            </w:r>
          </w:p>
        </w:tc>
        <w:tc>
          <w:tcPr>
            <w:tcW w:type="dxa" w:w="7632"/>
            <w:vAlign w:val="top"/>
          </w:tcPr>
          <w:p>
            <w:r>
              <w:t>ARPA/ARPU, CAC quando disponível, LTV, CAC payback, margem bruta e margem por plano.</w:t>
            </w:r>
          </w:p>
        </w:tc>
      </w:tr>
      <w:tr>
        <w:trPr>
          <w:cantSplit/>
        </w:trPr>
        <w:tc>
          <w:tcPr>
            <w:tcW w:type="dxa" w:w="2160"/>
            <w:vAlign w:val="top"/>
          </w:tcPr>
          <w:p>
            <w:r>
              <w:t>Cobrança</w:t>
            </w:r>
          </w:p>
        </w:tc>
        <w:tc>
          <w:tcPr>
            <w:tcW w:type="dxa" w:w="7632"/>
            <w:vAlign w:val="top"/>
          </w:tcPr>
          <w:p>
            <w:r>
              <w:t>Aprovados, recusados, retries, recuperação de inadimplência, refunds, chargebacks e liquidação.</w:t>
            </w:r>
          </w:p>
        </w:tc>
      </w:tr>
      <w:tr>
        <w:trPr>
          <w:cantSplit/>
        </w:trPr>
        <w:tc>
          <w:tcPr>
            <w:tcW w:type="dxa" w:w="2160"/>
            <w:vAlign w:val="top"/>
          </w:tcPr>
          <w:p>
            <w:r>
              <w:t>Uso</w:t>
            </w:r>
          </w:p>
        </w:tc>
        <w:tc>
          <w:tcPr>
            <w:tcW w:type="dxa" w:w="7632"/>
            <w:vAlign w:val="top"/>
          </w:tcPr>
          <w:p>
            <w:r>
              <w:t>MAU/WAU/DAU, usuários por tenant, relatórios, consultas, imóveis, projetos, uploads e uso por módulo.</w:t>
            </w:r>
          </w:p>
        </w:tc>
      </w:tr>
      <w:tr>
        <w:trPr>
          <w:cantSplit/>
        </w:trPr>
        <w:tc>
          <w:tcPr>
            <w:tcW w:type="dxa" w:w="2160"/>
            <w:vAlign w:val="top"/>
          </w:tcPr>
          <w:p>
            <w:r>
              <w:t>IA</w:t>
            </w:r>
          </w:p>
        </w:tc>
        <w:tc>
          <w:tcPr>
            <w:tcW w:type="dxa" w:w="7632"/>
            <w:vAlign w:val="top"/>
          </w:tcPr>
          <w:p>
            <w:r>
              <w:t>Tokens/custo, custo por tenant/plano/módulo, cache hit, custo por resposta/projeto e margem após IA.</w:t>
            </w:r>
          </w:p>
        </w:tc>
      </w:tr>
      <w:tr>
        <w:trPr>
          <w:cantSplit/>
        </w:trPr>
        <w:tc>
          <w:tcPr>
            <w:tcW w:type="dxa" w:w="2160"/>
            <w:vAlign w:val="top"/>
          </w:tcPr>
          <w:p>
            <w:r>
              <w:t>Operação</w:t>
            </w:r>
          </w:p>
        </w:tc>
        <w:tc>
          <w:tcPr>
            <w:tcW w:type="dxa" w:w="7632"/>
            <w:vAlign w:val="top"/>
          </w:tcPr>
          <w:p>
            <w:r>
              <w:t>Uptime, erro 5xx, P95/P99, jobs falhos, backlog, storage, DB saturation e incidentes.</w:t>
            </w:r>
          </w:p>
        </w:tc>
      </w:tr>
      <w:tr>
        <w:trPr>
          <w:cantSplit/>
        </w:trPr>
        <w:tc>
          <w:tcPr>
            <w:tcW w:type="dxa" w:w="2160"/>
            <w:vAlign w:val="top"/>
          </w:tcPr>
          <w:p>
            <w:r>
              <w:t>Aquisição</w:t>
            </w:r>
          </w:p>
        </w:tc>
        <w:tc>
          <w:tcPr>
            <w:tcW w:type="dxa" w:w="7632"/>
            <w:vAlign w:val="top"/>
          </w:tcPr>
          <w:p>
            <w:r>
              <w:t>Leads, signup conversion, trial-to-paid, fonte/campanha, landing page e funil.</w:t>
            </w:r>
          </w:p>
        </w:tc>
      </w:tr>
    </w:tbl>
    <w:p/>
    <w:p>
      <w:r>
        <w:t>Os KPIs precisam de definições formais e versionadas. MRR, por exemplo, deve derivar do nosso ledger e contratos ativos, não apenas somar pagamentos recebidos no Mercado Pago.</w:t>
      </w:r>
    </w:p>
    <w:p>
      <w:pPr>
        <w:pStyle w:val="Heading2"/>
      </w:pPr>
      <w:r>
        <w:t>31.4 Tela de clientes / tenants</w:t>
      </w:r>
    </w:p>
    <w:p>
      <w:r>
        <w:t>Cada cliente deve ter uma ficha administrativa única, independentemente do tipo de produto.</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088"/>
            <w:vAlign w:val="center"/>
          </w:tcPr>
          <w:p>
            <w:r>
              <w:rPr>
                <w:b/>
              </w:rPr>
              <w:t>Bloco</w:t>
            </w:r>
          </w:p>
        </w:tc>
        <w:tc>
          <w:tcPr>
            <w:tcW w:type="dxa" w:w="7704"/>
            <w:vAlign w:val="center"/>
          </w:tcPr>
          <w:p>
            <w:r>
              <w:rPr>
                <w:b/>
              </w:rPr>
              <w:t>Conteúdo</w:t>
            </w:r>
          </w:p>
        </w:tc>
      </w:tr>
      <w:tr>
        <w:trPr>
          <w:cantSplit/>
        </w:trPr>
        <w:tc>
          <w:tcPr>
            <w:tcW w:type="dxa" w:w="2088"/>
            <w:vAlign w:val="top"/>
          </w:tcPr>
          <w:p>
            <w:r>
              <w:t>Identidade</w:t>
            </w:r>
          </w:p>
        </w:tc>
        <w:tc>
          <w:tcPr>
            <w:tcW w:type="dxa" w:w="7704"/>
            <w:vAlign w:val="top"/>
          </w:tcPr>
          <w:p>
            <w:r>
              <w:t>Razão social/nome, CPF/CNPJ conforme necessidade, domínio, contatos, endereço fiscal e tenant_id.</w:t>
            </w:r>
          </w:p>
        </w:tc>
      </w:tr>
      <w:tr>
        <w:trPr>
          <w:cantSplit/>
        </w:trPr>
        <w:tc>
          <w:tcPr>
            <w:tcW w:type="dxa" w:w="2088"/>
            <w:vAlign w:val="top"/>
          </w:tcPr>
          <w:p>
            <w:r>
              <w:t>Tipo</w:t>
            </w:r>
          </w:p>
        </w:tc>
        <w:tc>
          <w:tcPr>
            <w:tcW w:type="dxa" w:w="7704"/>
            <w:vAlign w:val="top"/>
          </w:tcPr>
          <w:p>
            <w:r>
              <w:t>Profissional, imobiliária, incorporadora, escritório, condomínio, prefeitura, enterprise etc.</w:t>
            </w:r>
          </w:p>
        </w:tc>
      </w:tr>
      <w:tr>
        <w:trPr>
          <w:cantSplit/>
        </w:trPr>
        <w:tc>
          <w:tcPr>
            <w:tcW w:type="dxa" w:w="2088"/>
            <w:vAlign w:val="top"/>
          </w:tcPr>
          <w:p>
            <w:r>
              <w:t>Plano</w:t>
            </w:r>
          </w:p>
        </w:tc>
        <w:tc>
          <w:tcPr>
            <w:tcW w:type="dxa" w:w="7704"/>
            <w:vAlign w:val="top"/>
          </w:tcPr>
          <w:p>
            <w:r>
              <w:t>Plano atual, ciclo, preço, desconto, trial, add-ons e contrato.</w:t>
            </w:r>
          </w:p>
        </w:tc>
      </w:tr>
      <w:tr>
        <w:trPr>
          <w:cantSplit/>
        </w:trPr>
        <w:tc>
          <w:tcPr>
            <w:tcW w:type="dxa" w:w="2088"/>
            <w:vAlign w:val="top"/>
          </w:tcPr>
          <w:p>
            <w:r>
              <w:t>Entitlements</w:t>
            </w:r>
          </w:p>
        </w:tc>
        <w:tc>
          <w:tcPr>
            <w:tcW w:type="dxa" w:w="7704"/>
            <w:vAlign w:val="top"/>
          </w:tcPr>
          <w:p>
            <w:r>
              <w:t>Módulos habilitados, quotas, overrides e feature flags.</w:t>
            </w:r>
          </w:p>
        </w:tc>
      </w:tr>
      <w:tr>
        <w:trPr>
          <w:cantSplit/>
        </w:trPr>
        <w:tc>
          <w:tcPr>
            <w:tcW w:type="dxa" w:w="2088"/>
            <w:vAlign w:val="top"/>
          </w:tcPr>
          <w:p>
            <w:r>
              <w:t>Usuários</w:t>
            </w:r>
          </w:p>
        </w:tc>
        <w:tc>
          <w:tcPr>
            <w:tcW w:type="dxa" w:w="7704"/>
            <w:vAlign w:val="top"/>
          </w:tcPr>
          <w:p>
            <w:r>
              <w:t>Ativos, convites, papéis, MFA, último acesso e sessões.</w:t>
            </w:r>
          </w:p>
        </w:tc>
      </w:tr>
      <w:tr>
        <w:trPr>
          <w:cantSplit/>
        </w:trPr>
        <w:tc>
          <w:tcPr>
            <w:tcW w:type="dxa" w:w="2088"/>
            <w:vAlign w:val="top"/>
          </w:tcPr>
          <w:p>
            <w:r>
              <w:t>Cobrança</w:t>
            </w:r>
          </w:p>
        </w:tc>
        <w:tc>
          <w:tcPr>
            <w:tcW w:type="dxa" w:w="7704"/>
            <w:vAlign w:val="top"/>
          </w:tcPr>
          <w:p>
            <w:r>
              <w:t>Assinatura, pagamentos, inadimplência, créditos, reembolsos e notas fiscais.</w:t>
            </w:r>
          </w:p>
        </w:tc>
      </w:tr>
      <w:tr>
        <w:trPr>
          <w:cantSplit/>
        </w:trPr>
        <w:tc>
          <w:tcPr>
            <w:tcW w:type="dxa" w:w="2088"/>
            <w:vAlign w:val="top"/>
          </w:tcPr>
          <w:p>
            <w:r>
              <w:t>Uso</w:t>
            </w:r>
          </w:p>
        </w:tc>
        <w:tc>
          <w:tcPr>
            <w:tcW w:type="dxa" w:w="7704"/>
            <w:vAlign w:val="top"/>
          </w:tcPr>
          <w:p>
            <w:r>
              <w:t>Métricas por módulo e série histórica.</w:t>
            </w:r>
          </w:p>
        </w:tc>
      </w:tr>
      <w:tr>
        <w:trPr>
          <w:cantSplit/>
        </w:trPr>
        <w:tc>
          <w:tcPr>
            <w:tcW w:type="dxa" w:w="2088"/>
            <w:vAlign w:val="top"/>
          </w:tcPr>
          <w:p>
            <w:r>
              <w:t>Suporte</w:t>
            </w:r>
          </w:p>
        </w:tc>
        <w:tc>
          <w:tcPr>
            <w:tcW w:type="dxa" w:w="7704"/>
            <w:vAlign w:val="top"/>
          </w:tcPr>
          <w:p>
            <w:r>
              <w:t>Tickets, CS owner, saúde, NPS/CSAT e notas internas.</w:t>
            </w:r>
          </w:p>
        </w:tc>
      </w:tr>
      <w:tr>
        <w:trPr>
          <w:cantSplit/>
        </w:trPr>
        <w:tc>
          <w:tcPr>
            <w:tcW w:type="dxa" w:w="2088"/>
            <w:vAlign w:val="top"/>
          </w:tcPr>
          <w:p>
            <w:r>
              <w:t>Segurança</w:t>
            </w:r>
          </w:p>
        </w:tc>
        <w:tc>
          <w:tcPr>
            <w:tcW w:type="dxa" w:w="7704"/>
            <w:vAlign w:val="top"/>
          </w:tcPr>
          <w:p>
            <w:r>
              <w:t>Alertas, sessões, bloqueios, exportações, consentimentos e auditoria.</w:t>
            </w:r>
          </w:p>
        </w:tc>
      </w:tr>
      <w:tr>
        <w:trPr>
          <w:cantSplit/>
        </w:trPr>
        <w:tc>
          <w:tcPr>
            <w:tcW w:type="dxa" w:w="2088"/>
            <w:vAlign w:val="top"/>
          </w:tcPr>
          <w:p>
            <w:r>
              <w:t>Dados</w:t>
            </w:r>
          </w:p>
        </w:tc>
        <w:tc>
          <w:tcPr>
            <w:tcW w:type="dxa" w:w="7704"/>
            <w:vAlign w:val="top"/>
          </w:tcPr>
          <w:p>
            <w:r>
              <w:t>Storage, documentos, projetos, municípios/condomínios, retenção e exportação.</w:t>
            </w:r>
          </w:p>
        </w:tc>
      </w:tr>
    </w:tbl>
    <w:p/>
    <w:p>
      <w:pPr>
        <w:pStyle w:val="Heading2"/>
      </w:pPr>
      <w:r>
        <w:t>31.5 Lifecycle do cliente</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1872"/>
            <w:vAlign w:val="center"/>
          </w:tcPr>
          <w:p>
            <w:r>
              <w:rPr>
                <w:b/>
              </w:rPr>
              <w:t>Estado</w:t>
            </w:r>
          </w:p>
        </w:tc>
        <w:tc>
          <w:tcPr>
            <w:tcW w:type="dxa" w:w="7920"/>
            <w:vAlign w:val="center"/>
          </w:tcPr>
          <w:p>
            <w:r>
              <w:rPr>
                <w:b/>
              </w:rPr>
              <w:t>Significado / ações</w:t>
            </w:r>
          </w:p>
        </w:tc>
      </w:tr>
      <w:tr>
        <w:trPr>
          <w:cantSplit/>
        </w:trPr>
        <w:tc>
          <w:tcPr>
            <w:tcW w:type="dxa" w:w="1872"/>
            <w:vAlign w:val="top"/>
          </w:tcPr>
          <w:p>
            <w:r>
              <w:t>LEAD</w:t>
            </w:r>
          </w:p>
        </w:tc>
        <w:tc>
          <w:tcPr>
            <w:tcW w:type="dxa" w:w="7920"/>
            <w:vAlign w:val="top"/>
          </w:tcPr>
          <w:p>
            <w:r>
              <w:t>Ainda sem tenant ou somente pré-cadastro.</w:t>
            </w:r>
          </w:p>
        </w:tc>
      </w:tr>
      <w:tr>
        <w:trPr>
          <w:cantSplit/>
        </w:trPr>
        <w:tc>
          <w:tcPr>
            <w:tcW w:type="dxa" w:w="1872"/>
            <w:vAlign w:val="top"/>
          </w:tcPr>
          <w:p>
            <w:r>
              <w:t>TRIAL</w:t>
            </w:r>
          </w:p>
        </w:tc>
        <w:tc>
          <w:tcPr>
            <w:tcW w:type="dxa" w:w="7920"/>
            <w:vAlign w:val="top"/>
          </w:tcPr>
          <w:p>
            <w:r>
              <w:t>Acesso temporário com limites e expiração definida.</w:t>
            </w:r>
          </w:p>
        </w:tc>
      </w:tr>
      <w:tr>
        <w:trPr>
          <w:cantSplit/>
        </w:trPr>
        <w:tc>
          <w:tcPr>
            <w:tcW w:type="dxa" w:w="1872"/>
            <w:vAlign w:val="top"/>
          </w:tcPr>
          <w:p>
            <w:r>
              <w:t>ACTIVE</w:t>
            </w:r>
          </w:p>
        </w:tc>
        <w:tc>
          <w:tcPr>
            <w:tcW w:type="dxa" w:w="7920"/>
            <w:vAlign w:val="top"/>
          </w:tcPr>
          <w:p>
            <w:r>
              <w:t>Assinatura/contrato válido e entitlements ativos.</w:t>
            </w:r>
          </w:p>
        </w:tc>
      </w:tr>
      <w:tr>
        <w:trPr>
          <w:cantSplit/>
        </w:trPr>
        <w:tc>
          <w:tcPr>
            <w:tcW w:type="dxa" w:w="1872"/>
            <w:vAlign w:val="top"/>
          </w:tcPr>
          <w:p>
            <w:r>
              <w:t>PAST_DUE</w:t>
            </w:r>
          </w:p>
        </w:tc>
        <w:tc>
          <w:tcPr>
            <w:tcW w:type="dxa" w:w="7920"/>
            <w:vAlign w:val="top"/>
          </w:tcPr>
          <w:p>
            <w:r>
              <w:t>Falha de cobrança; dunning/grace period em andamento.</w:t>
            </w:r>
          </w:p>
        </w:tc>
      </w:tr>
      <w:tr>
        <w:trPr>
          <w:cantSplit/>
        </w:trPr>
        <w:tc>
          <w:tcPr>
            <w:tcW w:type="dxa" w:w="1872"/>
            <w:vAlign w:val="top"/>
          </w:tcPr>
          <w:p>
            <w:r>
              <w:t>RESTRICTED</w:t>
            </w:r>
          </w:p>
        </w:tc>
        <w:tc>
          <w:tcPr>
            <w:tcW w:type="dxa" w:w="7920"/>
            <w:vAlign w:val="top"/>
          </w:tcPr>
          <w:p>
            <w:r>
              <w:t>Acesso parcial após grace period; dados preservados.</w:t>
            </w:r>
          </w:p>
        </w:tc>
      </w:tr>
      <w:tr>
        <w:trPr>
          <w:cantSplit/>
        </w:trPr>
        <w:tc>
          <w:tcPr>
            <w:tcW w:type="dxa" w:w="1872"/>
            <w:vAlign w:val="top"/>
          </w:tcPr>
          <w:p>
            <w:r>
              <w:t>SUSPENDED</w:t>
            </w:r>
          </w:p>
        </w:tc>
        <w:tc>
          <w:tcPr>
            <w:tcW w:type="dxa" w:w="7920"/>
            <w:vAlign w:val="top"/>
          </w:tcPr>
          <w:p>
            <w:r>
              <w:t>Acesso bloqueado por cobrança, segurança, contrato ou decisão operacional.</w:t>
            </w:r>
          </w:p>
        </w:tc>
      </w:tr>
      <w:tr>
        <w:trPr>
          <w:cantSplit/>
        </w:trPr>
        <w:tc>
          <w:tcPr>
            <w:tcW w:type="dxa" w:w="1872"/>
            <w:vAlign w:val="top"/>
          </w:tcPr>
          <w:p>
            <w:r>
              <w:t>CANCELLED</w:t>
            </w:r>
          </w:p>
        </w:tc>
        <w:tc>
          <w:tcPr>
            <w:tcW w:type="dxa" w:w="7920"/>
            <w:vAlign w:val="top"/>
          </w:tcPr>
          <w:p>
            <w:r>
              <w:t>Renovação encerrada; aplicar política de retenção/exportação.</w:t>
            </w:r>
          </w:p>
        </w:tc>
      </w:tr>
      <w:tr>
        <w:trPr>
          <w:cantSplit/>
        </w:trPr>
        <w:tc>
          <w:tcPr>
            <w:tcW w:type="dxa" w:w="1872"/>
            <w:vAlign w:val="top"/>
          </w:tcPr>
          <w:p>
            <w:r>
              <w:t>DELETED</w:t>
            </w:r>
          </w:p>
        </w:tc>
        <w:tc>
          <w:tcPr>
            <w:tcW w:type="dxa" w:w="7920"/>
            <w:vAlign w:val="top"/>
          </w:tcPr>
          <w:p>
            <w:r>
              <w:t>Processo de exclusão concluído conforme retenção, LGPD e obrigações legais.</w:t>
            </w:r>
          </w:p>
        </w:tc>
      </w:tr>
    </w:tbl>
    <w:p/>
    <w:p>
      <w:r>
        <w:t>Billing e acesso não devem ser o mesmo estado. Um cliente pode estar PAST_DUE e ainda ter acesso durante o grace period; por isso assinatura, entitlements e tenant status são domínios separados.</w:t>
      </w:r>
    </w:p>
    <w:p>
      <w:pPr>
        <w:pStyle w:val="Heading2"/>
      </w:pPr>
      <w:r>
        <w:t>31.6 Catálogo de planos, preços e add-ons</w:t>
      </w:r>
    </w:p>
    <w:p>
      <w:pPr>
        <w:pStyle w:val="ListBullet"/>
      </w:pPr>
      <w:r>
        <w:t>Planos mensais e anuais.</w:t>
      </w:r>
    </w:p>
    <w:p>
      <w:pPr>
        <w:pStyle w:val="ListBullet"/>
      </w:pPr>
      <w:r>
        <w:t>Preços por segmento: profissional, empresa, condomínio, prefeitura/enterprise quando aplicável.</w:t>
      </w:r>
    </w:p>
    <w:p>
      <w:pPr>
        <w:pStyle w:val="ListBullet"/>
      </w:pPr>
      <w:r>
        <w:t>Trial configurável e período promocional.</w:t>
      </w:r>
    </w:p>
    <w:p>
      <w:pPr>
        <w:pStyle w:val="ListBullet"/>
      </w:pPr>
      <w:r>
        <w:t>Add-ons por módulo, capacidade, créditos, usuários, imóveis, projetos ou IA.</w:t>
      </w:r>
    </w:p>
    <w:p>
      <w:pPr>
        <w:pStyle w:val="ListBullet"/>
      </w:pPr>
      <w:r>
        <w:t>Cupons com validade, limite de uso, segmento e aprovação.</w:t>
      </w:r>
    </w:p>
    <w:p>
      <w:pPr>
        <w:pStyle w:val="ListBullet"/>
      </w:pPr>
      <w:r>
        <w:t>Desconto comercial com justificativa e expiração.</w:t>
      </w:r>
    </w:p>
    <w:p>
      <w:pPr>
        <w:pStyle w:val="ListBullet"/>
      </w:pPr>
      <w:r>
        <w:t>Grandfathering: cliente mantém preço antigo até evento definido.</w:t>
      </w:r>
    </w:p>
    <w:p>
      <w:pPr>
        <w:pStyle w:val="ListBullet"/>
      </w:pPr>
      <w:r>
        <w:t>Scheduled price changes: alteração futura com comunicação e regra de migração.</w:t>
      </w:r>
    </w:p>
    <w:p>
      <w:pPr>
        <w:pStyle w:val="ListBullet"/>
      </w:pPr>
      <w:r>
        <w:t>Plan versioning: nunca editar retroativamente o significado de um plano já contratado.</w:t>
      </w:r>
    </w:p>
    <w:p>
      <w:pPr>
        <w:pStyle w:val="Heading2"/>
      </w:pPr>
      <w:r>
        <w:t>31.7 Entitlements: não codificar plano diretamente nas telas</w:t>
      </w:r>
    </w:p>
    <w:p>
      <w:r>
        <w:t>O plano comercial deve ser traduzido por um serviço de entitlements. A aplicação pergunta “este tenant pode usar A.I TEC?” ou “qual quota de relatórios?” em vez de verificar `if plan == premium`. Isso permite alterar packaging sem redeploy.</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016"/>
            <w:vAlign w:val="center"/>
          </w:tcPr>
          <w:p>
            <w:r>
              <w:rPr>
                <w:b/>
              </w:rPr>
              <w:t>Tipo</w:t>
            </w:r>
          </w:p>
        </w:tc>
        <w:tc>
          <w:tcPr>
            <w:tcW w:type="dxa" w:w="7776"/>
            <w:vAlign w:val="center"/>
          </w:tcPr>
          <w:p>
            <w:r>
              <w:rPr>
                <w:b/>
              </w:rPr>
              <w:t>Exemplos</w:t>
            </w:r>
          </w:p>
        </w:tc>
      </w:tr>
      <w:tr>
        <w:trPr>
          <w:cantSplit/>
        </w:trPr>
        <w:tc>
          <w:tcPr>
            <w:tcW w:type="dxa" w:w="2016"/>
            <w:vAlign w:val="top"/>
          </w:tcPr>
          <w:p>
            <w:r>
              <w:t>Boolean</w:t>
            </w:r>
          </w:p>
        </w:tc>
        <w:tc>
          <w:tcPr>
            <w:tcW w:type="dxa" w:w="7776"/>
            <w:vAlign w:val="top"/>
          </w:tcPr>
          <w:p>
            <w:r>
              <w:t>A.I TEC, Energia Solar, RE Rural, Condomínio, Prefeitura, exportação IFC.</w:t>
            </w:r>
          </w:p>
        </w:tc>
      </w:tr>
      <w:tr>
        <w:trPr>
          <w:cantSplit/>
        </w:trPr>
        <w:tc>
          <w:tcPr>
            <w:tcW w:type="dxa" w:w="2016"/>
            <w:vAlign w:val="top"/>
          </w:tcPr>
          <w:p>
            <w:r>
              <w:t>Quota</w:t>
            </w:r>
          </w:p>
        </w:tc>
        <w:tc>
          <w:tcPr>
            <w:tcW w:type="dxa" w:w="7776"/>
            <w:vAlign w:val="top"/>
          </w:tcPr>
          <w:p>
            <w:r>
              <w:t>Relatórios/mês, consultas IA, armazenamento, projetos, usuários, municípios.</w:t>
            </w:r>
          </w:p>
        </w:tc>
      </w:tr>
      <w:tr>
        <w:trPr>
          <w:cantSplit/>
        </w:trPr>
        <w:tc>
          <w:tcPr>
            <w:tcW w:type="dxa" w:w="2016"/>
            <w:vAlign w:val="top"/>
          </w:tcPr>
          <w:p>
            <w:r>
              <w:t>Rate limit</w:t>
            </w:r>
          </w:p>
        </w:tc>
        <w:tc>
          <w:tcPr>
            <w:tcW w:type="dxa" w:w="7776"/>
            <w:vAlign w:val="top"/>
          </w:tcPr>
          <w:p>
            <w:r>
              <w:t>Requisições/minuto, jobs simultâneos, exports/dia.</w:t>
            </w:r>
          </w:p>
        </w:tc>
      </w:tr>
      <w:tr>
        <w:trPr>
          <w:cantSplit/>
        </w:trPr>
        <w:tc>
          <w:tcPr>
            <w:tcW w:type="dxa" w:w="2016"/>
            <w:vAlign w:val="top"/>
          </w:tcPr>
          <w:p>
            <w:r>
              <w:t>Tier</w:t>
            </w:r>
          </w:p>
        </w:tc>
        <w:tc>
          <w:tcPr>
            <w:tcW w:type="dxa" w:w="7776"/>
            <w:vAlign w:val="top"/>
          </w:tcPr>
          <w:p>
            <w:r>
              <w:t>Modelos IA básicos/premium, qualidade de render, prioridade de fila.</w:t>
            </w:r>
          </w:p>
        </w:tc>
      </w:tr>
      <w:tr>
        <w:trPr>
          <w:cantSplit/>
        </w:trPr>
        <w:tc>
          <w:tcPr>
            <w:tcW w:type="dxa" w:w="2016"/>
            <w:vAlign w:val="top"/>
          </w:tcPr>
          <w:p>
            <w:r>
              <w:t>Override</w:t>
            </w:r>
          </w:p>
        </w:tc>
        <w:tc>
          <w:tcPr>
            <w:tcW w:type="dxa" w:w="7776"/>
            <w:vAlign w:val="top"/>
          </w:tcPr>
          <w:p>
            <w:r>
              <w:t>Contrato enterprise específico sem criar um novo plano global.</w:t>
            </w:r>
          </w:p>
        </w:tc>
      </w:tr>
    </w:tbl>
    <w:p/>
    <w:p>
      <w:pPr>
        <w:pStyle w:val="Heading2"/>
      </w:pPr>
      <w:r>
        <w:t>31.8 Mercado Pago como provedor de cobrança</w:t>
      </w:r>
    </w:p>
    <w:p>
      <w:r>
        <w:t>Mercado Pago será o provedor inicial de pagamento recorrente para os planos compatíveis. A integração de Assinaturas permite criar planos e assinaturas recorrentes e gerenciar estados como pausa/cancelamento/reativação [R95][R96][R97]. O domínio financeiro do SaaS, porém, pertence ao nosso sistema.</w:t>
      </w:r>
    </w:p>
    <w:p>
      <w:r>
        <w:drawing>
          <wp:inline xmlns:a="http://schemas.openxmlformats.org/drawingml/2006/main" xmlns:pic="http://schemas.openxmlformats.org/drawingml/2006/picture">
            <wp:extent cx="6172200" cy="3631131"/>
            <wp:docPr id="13" name="Picture 13" descr="Figura — Mercado Pago processa cobrança; nosso ledger e entitlements controlam o SaaS." title="Figura — Mercado Pago processa cobrança; nosso ledger e entitlements controlam o SaaS."/>
            <wp:cNvGraphicFramePr>
              <a:graphicFrameLocks noChangeAspect="1"/>
            </wp:cNvGraphicFramePr>
            <a:graphic>
              <a:graphicData uri="http://schemas.openxmlformats.org/drawingml/2006/picture">
                <pic:pic>
                  <pic:nvPicPr>
                    <pic:cNvPr id="0" name="admin_billing_flow.png"/>
                    <pic:cNvPicPr/>
                  </pic:nvPicPr>
                  <pic:blipFill>
                    <a:blip r:embed="rId23"/>
                    <a:stretch>
                      <a:fillRect/>
                    </a:stretch>
                  </pic:blipFill>
                  <pic:spPr>
                    <a:xfrm>
                      <a:off x="0" y="0"/>
                      <a:ext cx="6172200" cy="3631131"/>
                    </a:xfrm>
                    <a:prstGeom prst="rect"/>
                  </pic:spPr>
                </pic:pic>
              </a:graphicData>
            </a:graphic>
          </wp:inline>
        </w:drawing>
      </w:r>
    </w:p>
    <w:p>
      <w:pPr>
        <w:pStyle w:val="CaptionLD"/>
      </w:pPr>
      <w:r>
        <w:t>Figura — Mercado Pago processa cobrança; nosso ledger e entitlements controlam o SaaS.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880"/>
            <w:vAlign w:val="center"/>
          </w:tcPr>
          <w:p>
            <w:r>
              <w:rPr>
                <w:b/>
              </w:rPr>
              <w:t>Objeto interno</w:t>
            </w:r>
          </w:p>
        </w:tc>
        <w:tc>
          <w:tcPr>
            <w:tcW w:type="dxa" w:w="6912"/>
            <w:vAlign w:val="center"/>
          </w:tcPr>
          <w:p>
            <w:r>
              <w:rPr>
                <w:b/>
              </w:rPr>
              <w:t>Responsabilidade</w:t>
            </w:r>
          </w:p>
        </w:tc>
      </w:tr>
      <w:tr>
        <w:trPr>
          <w:cantSplit/>
        </w:trPr>
        <w:tc>
          <w:tcPr>
            <w:tcW w:type="dxa" w:w="2880"/>
            <w:vAlign w:val="top"/>
          </w:tcPr>
          <w:p>
            <w:r>
              <w:t>billing.customer</w:t>
            </w:r>
          </w:p>
        </w:tc>
        <w:tc>
          <w:tcPr>
            <w:tcW w:type="dxa" w:w="6912"/>
            <w:vAlign w:val="top"/>
          </w:tcPr>
          <w:p>
            <w:r>
              <w:t>Vínculo tenant ↔ identidade de cobrança/provider.</w:t>
            </w:r>
          </w:p>
        </w:tc>
      </w:tr>
      <w:tr>
        <w:trPr>
          <w:cantSplit/>
        </w:trPr>
        <w:tc>
          <w:tcPr>
            <w:tcW w:type="dxa" w:w="2880"/>
            <w:vAlign w:val="top"/>
          </w:tcPr>
          <w:p>
            <w:r>
              <w:t>billing.plan_version</w:t>
            </w:r>
          </w:p>
        </w:tc>
        <w:tc>
          <w:tcPr>
            <w:tcW w:type="dxa" w:w="6912"/>
            <w:vAlign w:val="top"/>
          </w:tcPr>
          <w:p>
            <w:r>
              <w:t>Oferta comercial imutável por versão.</w:t>
            </w:r>
          </w:p>
        </w:tc>
      </w:tr>
      <w:tr>
        <w:trPr>
          <w:cantSplit/>
        </w:trPr>
        <w:tc>
          <w:tcPr>
            <w:tcW w:type="dxa" w:w="2880"/>
            <w:vAlign w:val="top"/>
          </w:tcPr>
          <w:p>
            <w:r>
              <w:t>billing.price</w:t>
            </w:r>
          </w:p>
        </w:tc>
        <w:tc>
          <w:tcPr>
            <w:tcW w:type="dxa" w:w="6912"/>
            <w:vAlign w:val="top"/>
          </w:tcPr>
          <w:p>
            <w:r>
              <w:t>Valor, moeda, intervalo, validade e provider mapping.</w:t>
            </w:r>
          </w:p>
        </w:tc>
      </w:tr>
      <w:tr>
        <w:trPr>
          <w:cantSplit/>
        </w:trPr>
        <w:tc>
          <w:tcPr>
            <w:tcW w:type="dxa" w:w="2880"/>
            <w:vAlign w:val="top"/>
          </w:tcPr>
          <w:p>
            <w:r>
              <w:t>billing.subscription</w:t>
            </w:r>
          </w:p>
        </w:tc>
        <w:tc>
          <w:tcPr>
            <w:tcW w:type="dxa" w:w="6912"/>
            <w:vAlign w:val="top"/>
          </w:tcPr>
          <w:p>
            <w:r>
              <w:t>Lifecycle interno e provider_subscription_id.</w:t>
            </w:r>
          </w:p>
        </w:tc>
      </w:tr>
      <w:tr>
        <w:trPr>
          <w:cantSplit/>
        </w:trPr>
        <w:tc>
          <w:tcPr>
            <w:tcW w:type="dxa" w:w="2880"/>
            <w:vAlign w:val="top"/>
          </w:tcPr>
          <w:p>
            <w:r>
              <w:t>billing.invoice_cycle</w:t>
            </w:r>
          </w:p>
        </w:tc>
        <w:tc>
          <w:tcPr>
            <w:tcW w:type="dxa" w:w="6912"/>
            <w:vAlign w:val="top"/>
          </w:tcPr>
          <w:p>
            <w:r>
              <w:t>Competência e valor esperado, mesmo se o provider não expuser invoice equivalente.</w:t>
            </w:r>
          </w:p>
        </w:tc>
      </w:tr>
      <w:tr>
        <w:trPr>
          <w:cantSplit/>
        </w:trPr>
        <w:tc>
          <w:tcPr>
            <w:tcW w:type="dxa" w:w="2880"/>
            <w:vAlign w:val="top"/>
          </w:tcPr>
          <w:p>
            <w:r>
              <w:t>billing.payment</w:t>
            </w:r>
          </w:p>
        </w:tc>
        <w:tc>
          <w:tcPr>
            <w:tcW w:type="dxa" w:w="6912"/>
            <w:vAlign w:val="top"/>
          </w:tcPr>
          <w:p>
            <w:r>
              <w:t>Cobrança, status, bruto, líquido, taxas e IDs do provider.</w:t>
            </w:r>
          </w:p>
        </w:tc>
      </w:tr>
      <w:tr>
        <w:trPr>
          <w:cantSplit/>
        </w:trPr>
        <w:tc>
          <w:tcPr>
            <w:tcW w:type="dxa" w:w="2880"/>
            <w:vAlign w:val="top"/>
          </w:tcPr>
          <w:p>
            <w:r>
              <w:t>billing.refund</w:t>
            </w:r>
          </w:p>
        </w:tc>
        <w:tc>
          <w:tcPr>
            <w:tcW w:type="dxa" w:w="6912"/>
            <w:vAlign w:val="top"/>
          </w:tcPr>
          <w:p>
            <w:r>
              <w:t>Estorno total/parcial e motivo.</w:t>
            </w:r>
          </w:p>
        </w:tc>
      </w:tr>
      <w:tr>
        <w:trPr>
          <w:cantSplit/>
        </w:trPr>
        <w:tc>
          <w:tcPr>
            <w:tcW w:type="dxa" w:w="2880"/>
            <w:vAlign w:val="top"/>
          </w:tcPr>
          <w:p>
            <w:r>
              <w:t>billing.dispute</w:t>
            </w:r>
          </w:p>
        </w:tc>
        <w:tc>
          <w:tcPr>
            <w:tcW w:type="dxa" w:w="6912"/>
            <w:vAlign w:val="top"/>
          </w:tcPr>
          <w:p>
            <w:r>
              <w:t>Contestação/chargeback e acompanhamento.</w:t>
            </w:r>
          </w:p>
        </w:tc>
      </w:tr>
      <w:tr>
        <w:trPr>
          <w:cantSplit/>
        </w:trPr>
        <w:tc>
          <w:tcPr>
            <w:tcW w:type="dxa" w:w="2880"/>
            <w:vAlign w:val="top"/>
          </w:tcPr>
          <w:p>
            <w:r>
              <w:t>billing.credit</w:t>
            </w:r>
          </w:p>
        </w:tc>
        <w:tc>
          <w:tcPr>
            <w:tcW w:type="dxa" w:w="6912"/>
            <w:vAlign w:val="top"/>
          </w:tcPr>
          <w:p>
            <w:r>
              <w:t>Crédito interno e ajustes aprovados.</w:t>
            </w:r>
          </w:p>
        </w:tc>
      </w:tr>
      <w:tr>
        <w:trPr>
          <w:cantSplit/>
        </w:trPr>
        <w:tc>
          <w:tcPr>
            <w:tcW w:type="dxa" w:w="2880"/>
            <w:vAlign w:val="top"/>
          </w:tcPr>
          <w:p>
            <w:r>
              <w:t>billing.webhook_event</w:t>
            </w:r>
          </w:p>
        </w:tc>
        <w:tc>
          <w:tcPr>
            <w:tcW w:type="dxa" w:w="6912"/>
            <w:vAlign w:val="top"/>
          </w:tcPr>
          <w:p>
            <w:r>
              <w:t>Inbox imutável, deduplicação, validação e processamento.</w:t>
            </w:r>
          </w:p>
        </w:tc>
      </w:tr>
      <w:tr>
        <w:trPr>
          <w:cantSplit/>
        </w:trPr>
        <w:tc>
          <w:tcPr>
            <w:tcW w:type="dxa" w:w="2880"/>
            <w:vAlign w:val="top"/>
          </w:tcPr>
          <w:p>
            <w:r>
              <w:t>billing.ledger_entry</w:t>
            </w:r>
          </w:p>
        </w:tc>
        <w:tc>
          <w:tcPr>
            <w:tcW w:type="dxa" w:w="6912"/>
            <w:vAlign w:val="top"/>
          </w:tcPr>
          <w:p>
            <w:r>
              <w:t>Lançamentos internos para reconciliação e métricas.</w:t>
            </w:r>
          </w:p>
        </w:tc>
      </w:tr>
      <w:tr>
        <w:trPr>
          <w:cantSplit/>
        </w:trPr>
        <w:tc>
          <w:tcPr>
            <w:tcW w:type="dxa" w:w="2880"/>
            <w:vAlign w:val="top"/>
          </w:tcPr>
          <w:p>
            <w:r>
              <w:t>billing.reconciliation</w:t>
            </w:r>
          </w:p>
        </w:tc>
        <w:tc>
          <w:tcPr>
            <w:tcW w:type="dxa" w:w="6912"/>
            <w:vAlign w:val="top"/>
          </w:tcPr>
          <w:p>
            <w:r>
              <w:t>Comparação entre ledger, Mercado Pago e extrato/relatórios.</w:t>
            </w:r>
          </w:p>
        </w:tc>
      </w:tr>
    </w:tbl>
    <w:p/>
    <w:p>
      <w:pPr>
        <w:pStyle w:val="Heading2"/>
      </w:pPr>
      <w:r>
        <w:t>31.9 Webhooks e idempotência</w:t>
      </w:r>
    </w:p>
    <w:p>
      <w:r>
        <w:t>Webhooks são a entrada assíncrona para mudanças de pagamento. A documentação do Mercado Pago recomenda notificações Webhook e oferece mecanismos de validação de origem; a integração deve validar assinatura quando disponível e nunca confiar somente no payload recebido [R98].</w:t>
      </w:r>
    </w:p>
    <w:p>
      <w:r>
        <w:t>1. Receber HTTPS POST em endpoint dedicado.</w:t>
      </w:r>
    </w:p>
    <w:p>
      <w:r>
        <w:t>2. Validar origem/assinatura conforme documentação do produto integrado.</w:t>
      </w:r>
    </w:p>
    <w:p>
      <w:r>
        <w:t>3. Persistir o evento bruto antes de qualquer efeito.</w:t>
      </w:r>
    </w:p>
    <w:p>
      <w:r>
        <w:t>4. Deduplicar por provider + event/notification ID + object ID quando necessário.</w:t>
      </w:r>
    </w:p>
    <w:p>
      <w:r>
        <w:t>5. Responder rapidamente e processar em fila.</w:t>
      </w:r>
    </w:p>
    <w:p>
      <w:r>
        <w:t>6. Buscar o objeto atualizado na API do provider quando o evento não for suficiente.</w:t>
      </w:r>
    </w:p>
    <w:p>
      <w:r>
        <w:t>7. Aplicar transição idempotente no ledger/assinatura.</w:t>
      </w:r>
    </w:p>
    <w:p>
      <w:r>
        <w:t>8. Recalcular entitlement somente após estado financeiro válido.</w:t>
      </w:r>
    </w:p>
    <w:p>
      <w:r>
        <w:t>9. Registrar trace e tentativa; usar dead-letter queue para falhas persistentes.</w:t>
      </w:r>
    </w:p>
    <w:p>
      <w:r>
        <w:t>Um webhook repetido ou fora de ordem nunca pode liberar acesso duas vezes, emitir crédito duplicado ou executar reembolso duplicado.</w:t>
      </w:r>
    </w:p>
    <w:p>
      <w:pPr>
        <w:pStyle w:val="Heading2"/>
      </w:pPr>
      <w:r>
        <w:t>31.10 State machine de assinatura e dunning</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880"/>
            <w:vAlign w:val="center"/>
          </w:tcPr>
          <w:p>
            <w:r>
              <w:rPr>
                <w:b/>
              </w:rPr>
              <w:t>Estado</w:t>
            </w:r>
          </w:p>
        </w:tc>
        <w:tc>
          <w:tcPr>
            <w:tcW w:type="dxa" w:w="6912"/>
            <w:vAlign w:val="center"/>
          </w:tcPr>
          <w:p>
            <w:r>
              <w:rPr>
                <w:b/>
              </w:rPr>
              <w:t>Ação</w:t>
            </w:r>
          </w:p>
        </w:tc>
      </w:tr>
      <w:tr>
        <w:trPr>
          <w:cantSplit/>
        </w:trPr>
        <w:tc>
          <w:tcPr>
            <w:tcW w:type="dxa" w:w="2880"/>
            <w:vAlign w:val="top"/>
          </w:tcPr>
          <w:p>
            <w:r>
              <w:t>PENDING</w:t>
            </w:r>
          </w:p>
        </w:tc>
        <w:tc>
          <w:tcPr>
            <w:tcW w:type="dxa" w:w="6912"/>
            <w:vAlign w:val="top"/>
          </w:tcPr>
          <w:p>
            <w:r>
              <w:t>Checkout criado/assinatura ainda não confirmada.</w:t>
            </w:r>
          </w:p>
        </w:tc>
      </w:tr>
      <w:tr>
        <w:trPr>
          <w:cantSplit/>
        </w:trPr>
        <w:tc>
          <w:tcPr>
            <w:tcW w:type="dxa" w:w="2880"/>
            <w:vAlign w:val="top"/>
          </w:tcPr>
          <w:p>
            <w:r>
              <w:t>ACTIVE</w:t>
            </w:r>
          </w:p>
        </w:tc>
        <w:tc>
          <w:tcPr>
            <w:tcW w:type="dxa" w:w="6912"/>
            <w:vAlign w:val="top"/>
          </w:tcPr>
          <w:p>
            <w:r>
              <w:t>Cobrança válida e serviço disponível.</w:t>
            </w:r>
          </w:p>
        </w:tc>
      </w:tr>
      <w:tr>
        <w:trPr>
          <w:cantSplit/>
        </w:trPr>
        <w:tc>
          <w:tcPr>
            <w:tcW w:type="dxa" w:w="2880"/>
            <w:vAlign w:val="top"/>
          </w:tcPr>
          <w:p>
            <w:r>
              <w:t>PAST_DUE</w:t>
            </w:r>
          </w:p>
        </w:tc>
        <w:tc>
          <w:tcPr>
            <w:tcW w:type="dxa" w:w="6912"/>
            <w:vAlign w:val="top"/>
          </w:tcPr>
          <w:p>
            <w:r>
              <w:t>Cobrança falhou; aguardar tentativas automáticas/ações de recuperação.</w:t>
            </w:r>
          </w:p>
        </w:tc>
      </w:tr>
      <w:tr>
        <w:trPr>
          <w:cantSplit/>
        </w:trPr>
        <w:tc>
          <w:tcPr>
            <w:tcW w:type="dxa" w:w="2880"/>
            <w:vAlign w:val="top"/>
          </w:tcPr>
          <w:p>
            <w:r>
              <w:t>GRACE</w:t>
            </w:r>
          </w:p>
        </w:tc>
        <w:tc>
          <w:tcPr>
            <w:tcW w:type="dxa" w:w="6912"/>
            <w:vAlign w:val="top"/>
          </w:tcPr>
          <w:p>
            <w:r>
              <w:t>Janela configurável de acesso com avisos.</w:t>
            </w:r>
          </w:p>
        </w:tc>
      </w:tr>
      <w:tr>
        <w:trPr>
          <w:cantSplit/>
        </w:trPr>
        <w:tc>
          <w:tcPr>
            <w:tcW w:type="dxa" w:w="2880"/>
            <w:vAlign w:val="top"/>
          </w:tcPr>
          <w:p>
            <w:r>
              <w:t>PAUSED</w:t>
            </w:r>
          </w:p>
        </w:tc>
        <w:tc>
          <w:tcPr>
            <w:tcW w:type="dxa" w:w="6912"/>
            <w:vAlign w:val="top"/>
          </w:tcPr>
          <w:p>
            <w:r>
              <w:t>Pausa solicitada/administrativa, conforme regra do produto.</w:t>
            </w:r>
          </w:p>
        </w:tc>
      </w:tr>
      <w:tr>
        <w:trPr>
          <w:cantSplit/>
        </w:trPr>
        <w:tc>
          <w:tcPr>
            <w:tcW w:type="dxa" w:w="2880"/>
            <w:vAlign w:val="top"/>
          </w:tcPr>
          <w:p>
            <w:r>
              <w:t>CANCEL_AT_PERIOD_END</w:t>
            </w:r>
          </w:p>
        </w:tc>
        <w:tc>
          <w:tcPr>
            <w:tcW w:type="dxa" w:w="6912"/>
            <w:vAlign w:val="top"/>
          </w:tcPr>
          <w:p>
            <w:r>
              <w:t>Continua até o fim do período e não renova.</w:t>
            </w:r>
          </w:p>
        </w:tc>
      </w:tr>
      <w:tr>
        <w:trPr>
          <w:cantSplit/>
        </w:trPr>
        <w:tc>
          <w:tcPr>
            <w:tcW w:type="dxa" w:w="2880"/>
            <w:vAlign w:val="top"/>
          </w:tcPr>
          <w:p>
            <w:r>
              <w:t>CANCELLED</w:t>
            </w:r>
          </w:p>
        </w:tc>
        <w:tc>
          <w:tcPr>
            <w:tcW w:type="dxa" w:w="6912"/>
            <w:vAlign w:val="top"/>
          </w:tcPr>
          <w:p>
            <w:r>
              <w:t>Encerrada.</w:t>
            </w:r>
          </w:p>
        </w:tc>
      </w:tr>
    </w:tbl>
    <w:p/>
    <w:p>
      <w:pPr>
        <w:pStyle w:val="ListBullet"/>
      </w:pPr>
      <w:r>
        <w:t>E-mail/notificação de falha com call-to-action seguro.</w:t>
      </w:r>
    </w:p>
    <w:p>
      <w:pPr>
        <w:pStyle w:val="ListBullet"/>
      </w:pPr>
      <w:r>
        <w:t>Retry segue o provider quando aplicável; nosso sistema acompanha, não simula uma aprovação.</w:t>
      </w:r>
    </w:p>
    <w:p>
      <w:pPr>
        <w:pStyle w:val="ListBullet"/>
      </w:pPr>
      <w:r>
        <w:t>Grace period configurável por plano/segmento.</w:t>
      </w:r>
    </w:p>
    <w:p>
      <w:pPr>
        <w:pStyle w:val="ListBullet"/>
      </w:pPr>
      <w:r>
        <w:t>Downgrade controlado antes de bloqueio total quando fizer sentido.</w:t>
      </w:r>
    </w:p>
    <w:p>
      <w:pPr>
        <w:pStyle w:val="ListBullet"/>
      </w:pPr>
      <w:r>
        <w:t>Recuperação de assinatura restaura entitlement de forma automática e auditada.</w:t>
      </w:r>
    </w:p>
    <w:p>
      <w:pPr>
        <w:pStyle w:val="Heading2"/>
      </w:pPr>
      <w:r>
        <w:t>31.11 Conciliação financeira</w:t>
      </w:r>
    </w:p>
    <w:p>
      <w:r>
        <w:t>Webhooks informam eventos; conciliação prova que o dinheiro e as taxas batem. O Mercado Pago disponibiliza relatórios de Liberações e Dinheiro em Conta, inclusive geração via API em alguns fluxos, para conciliar movimentos, saldo e liquidação [R99][R100].</w:t>
      </w:r>
    </w:p>
    <w:p>
      <w:pPr>
        <w:pStyle w:val="ListBullet"/>
      </w:pPr>
      <w:r>
        <w:t>Importação/agendamento dos relatórios disponíveis.</w:t>
      </w:r>
    </w:p>
    <w:p>
      <w:pPr>
        <w:pStyle w:val="ListBullet"/>
      </w:pPr>
      <w:r>
        <w:t>Match por payment/provider IDs e valores.</w:t>
      </w:r>
    </w:p>
    <w:p>
      <w:pPr>
        <w:pStyle w:val="ListBullet"/>
      </w:pPr>
      <w:r>
        <w:t>Gross amount, provider fee, net amount, release date e status.</w:t>
      </w:r>
    </w:p>
    <w:p>
      <w:pPr>
        <w:pStyle w:val="ListBullet"/>
      </w:pPr>
      <w:r>
        <w:t>Detectar pagamento órfão, evento ausente, divergência de taxa e dupla contabilização.</w:t>
      </w:r>
    </w:p>
    <w:p>
      <w:pPr>
        <w:pStyle w:val="ListBullet"/>
      </w:pPr>
      <w:r>
        <w:t>Fechamento diário e mensal com status de conciliação.</w:t>
      </w:r>
    </w:p>
    <w:p>
      <w:pPr>
        <w:pStyle w:val="ListBullet"/>
      </w:pPr>
      <w:r>
        <w:t>Exportação para contabilidade/ERP.</w:t>
      </w:r>
    </w:p>
    <w:p>
      <w:pPr>
        <w:pStyle w:val="ListBullet"/>
      </w:pPr>
      <w:r>
        <w:t>Dashboard de saldo em trânsito, liberado, bloqueado, refunds e disputes.</w:t>
      </w:r>
    </w:p>
    <w:p>
      <w:pPr>
        <w:pStyle w:val="Heading2"/>
      </w:pPr>
      <w:r>
        <w:t>31.12 Reembolsos, chargebacks e ajustes</w:t>
      </w:r>
    </w:p>
    <w:p>
      <w:pPr>
        <w:pStyle w:val="ListBullet"/>
      </w:pPr>
      <w:r>
        <w:t>Refund total/parcial somente para perfis autorizados e com reason code.</w:t>
      </w:r>
    </w:p>
    <w:p>
      <w:pPr>
        <w:pStyle w:val="ListBullet"/>
      </w:pPr>
      <w:r>
        <w:t>Valores elevados exigem dupla aprovação.</w:t>
      </w:r>
    </w:p>
    <w:p>
      <w:pPr>
        <w:pStyle w:val="ListBullet"/>
      </w:pPr>
      <w:r>
        <w:t>Nunca apagar pagamento original; lançar evento inverso/ajuste.</w:t>
      </w:r>
    </w:p>
    <w:p>
      <w:pPr>
        <w:pStyle w:val="ListBullet"/>
      </w:pPr>
      <w:r>
        <w:t>Chargeback/dispute possui workflow separado, documentos, prazos e status.</w:t>
      </w:r>
    </w:p>
    <w:p>
      <w:pPr>
        <w:pStyle w:val="ListBullet"/>
      </w:pPr>
      <w:r>
        <w:t>Entitlement não é necessariamente revogado imediatamente por disputa; aplicar política do negócio.</w:t>
      </w:r>
    </w:p>
    <w:p>
      <w:pPr>
        <w:pStyle w:val="ListBullet"/>
      </w:pPr>
      <w:r>
        <w:t>Toda ação financeira crítica é auditada com before/after e provider response.</w:t>
      </w:r>
    </w:p>
    <w:p>
      <w:pPr>
        <w:pStyle w:val="Heading2"/>
      </w:pPr>
      <w:r>
        <w:t>31.13 Fiscal e NFS-e</w:t>
      </w:r>
    </w:p>
    <w:p>
      <w:r>
        <w:t>O SaaS brasileiro precisa de uma camada fiscal separada do payment provider. O sistema deve emitir/gerenciar NFS-e através de conector fiscal apropriado à sede da empresa e versão tributária aplicável. Em 2026 a Reforma Tributária do Consumo já exige adaptações dos documentos fiscais eletrônicos para CBS/IBS, portanto regras e layouts fiscais não podem ficar hard-coded [R101][R102].</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880"/>
            <w:vAlign w:val="center"/>
          </w:tcPr>
          <w:p>
            <w:r>
              <w:rPr>
                <w:b/>
              </w:rPr>
              <w:t>Entidade</w:t>
            </w:r>
          </w:p>
        </w:tc>
        <w:tc>
          <w:tcPr>
            <w:tcW w:type="dxa" w:w="6912"/>
            <w:vAlign w:val="center"/>
          </w:tcPr>
          <w:p>
            <w:r>
              <w:rPr>
                <w:b/>
              </w:rPr>
              <w:t>Conteúdo</w:t>
            </w:r>
          </w:p>
        </w:tc>
      </w:tr>
      <w:tr>
        <w:trPr>
          <w:cantSplit/>
        </w:trPr>
        <w:tc>
          <w:tcPr>
            <w:tcW w:type="dxa" w:w="2880"/>
            <w:vAlign w:val="top"/>
          </w:tcPr>
          <w:p>
            <w:r>
              <w:t>fiscal.customer_profile</w:t>
            </w:r>
          </w:p>
        </w:tc>
        <w:tc>
          <w:tcPr>
            <w:tcW w:type="dxa" w:w="6912"/>
            <w:vAlign w:val="top"/>
          </w:tcPr>
          <w:p>
            <w:r>
              <w:t>CPF/CNPJ, razão social, endereço, município, e-mail e dados fiscais necessários.</w:t>
            </w:r>
          </w:p>
        </w:tc>
      </w:tr>
      <w:tr>
        <w:trPr>
          <w:cantSplit/>
        </w:trPr>
        <w:tc>
          <w:tcPr>
            <w:tcW w:type="dxa" w:w="2880"/>
            <w:vAlign w:val="top"/>
          </w:tcPr>
          <w:p>
            <w:r>
              <w:t>fiscal.service_code</w:t>
            </w:r>
          </w:p>
        </w:tc>
        <w:tc>
          <w:tcPr>
            <w:tcW w:type="dxa" w:w="6912"/>
            <w:vAlign w:val="top"/>
          </w:tcPr>
          <w:p>
            <w:r>
              <w:t>Código de serviço, descrição e configuração vigente.</w:t>
            </w:r>
          </w:p>
        </w:tc>
      </w:tr>
      <w:tr>
        <w:trPr>
          <w:cantSplit/>
        </w:trPr>
        <w:tc>
          <w:tcPr>
            <w:tcW w:type="dxa" w:w="2880"/>
            <w:vAlign w:val="top"/>
          </w:tcPr>
          <w:p>
            <w:r>
              <w:t>fiscal.tax_profile</w:t>
            </w:r>
          </w:p>
        </w:tc>
        <w:tc>
          <w:tcPr>
            <w:tcW w:type="dxa" w:w="6912"/>
            <w:vAlign w:val="top"/>
          </w:tcPr>
          <w:p>
            <w:r>
              <w:t>ISS e transição CBS/IBS conforme regime e vigência.</w:t>
            </w:r>
          </w:p>
        </w:tc>
      </w:tr>
      <w:tr>
        <w:trPr>
          <w:cantSplit/>
        </w:trPr>
        <w:tc>
          <w:tcPr>
            <w:tcW w:type="dxa" w:w="2880"/>
            <w:vAlign w:val="top"/>
          </w:tcPr>
          <w:p>
            <w:r>
              <w:t>fiscal.invoice</w:t>
            </w:r>
          </w:p>
        </w:tc>
        <w:tc>
          <w:tcPr>
            <w:tcW w:type="dxa" w:w="6912"/>
            <w:vAlign w:val="top"/>
          </w:tcPr>
          <w:p>
            <w:r>
              <w:t>Competência, valor, status, número, PDF/XML/link e provider fiscal.</w:t>
            </w:r>
          </w:p>
        </w:tc>
      </w:tr>
      <w:tr>
        <w:trPr>
          <w:cantSplit/>
        </w:trPr>
        <w:tc>
          <w:tcPr>
            <w:tcW w:type="dxa" w:w="2880"/>
            <w:vAlign w:val="top"/>
          </w:tcPr>
          <w:p>
            <w:r>
              <w:t>fiscal.event</w:t>
            </w:r>
          </w:p>
        </w:tc>
        <w:tc>
          <w:tcPr>
            <w:tcW w:type="dxa" w:w="6912"/>
            <w:vAlign w:val="top"/>
          </w:tcPr>
          <w:p>
            <w:r>
              <w:t>Emissão, cancelamento, substituição, erro e retry.</w:t>
            </w:r>
          </w:p>
        </w:tc>
      </w:tr>
    </w:tbl>
    <w:p/>
    <w:p>
      <w:r>
        <w:t>Pagamento aprovado não deve bloquear se a emissão fiscal estiver temporariamente indisponível; são workflows correlacionados, porém desacoplados.</w:t>
      </w:r>
    </w:p>
    <w:p>
      <w:pPr>
        <w:pStyle w:val="Heading2"/>
      </w:pPr>
      <w:r>
        <w:t>31.14 Contratos enterprise e Prefeitura</w:t>
      </w:r>
    </w:p>
    <w:p>
      <w:r>
        <w:t>Nem todo cliente institucional deve ser forçado a usar recorrência por cartão. O billing domain precisa suportar contrato enterprise/público com ciclo, empenho/faturamento/manualidade quando exigido, sem alterar o modelo de entitlements.</w:t>
      </w:r>
    </w:p>
    <w:p>
      <w:pPr>
        <w:pStyle w:val="ListBullet"/>
      </w:pPr>
      <w:r>
        <w:t>Contrato com datas, valor, reajuste e anexos.</w:t>
      </w:r>
    </w:p>
    <w:p>
      <w:pPr>
        <w:pStyle w:val="ListBullet"/>
      </w:pPr>
      <w:r>
        <w:t>Plano/entitlements customizados por contrato.</w:t>
      </w:r>
    </w:p>
    <w:p>
      <w:pPr>
        <w:pStyle w:val="ListBullet"/>
      </w:pPr>
      <w:r>
        <w:t>Cobrança Mercado Pago opcional conforme modelo comercial.</w:t>
      </w:r>
    </w:p>
    <w:p>
      <w:pPr>
        <w:pStyle w:val="ListBullet"/>
      </w:pPr>
      <w:r>
        <w:t>Faturas/notas, pedidos internos e datas de vencimento.</w:t>
      </w:r>
    </w:p>
    <w:p>
      <w:pPr>
        <w:pStyle w:val="ListBullet"/>
      </w:pPr>
      <w:r>
        <w:t>Renovação e alertas de expiração.</w:t>
      </w:r>
    </w:p>
    <w:p>
      <w:pPr>
        <w:pStyle w:val="ListBullet"/>
      </w:pPr>
      <w:r>
        <w:t>Aprovação comercial/financeira para overrides.</w:t>
      </w:r>
    </w:p>
    <w:p>
      <w:pPr>
        <w:pStyle w:val="Heading2"/>
      </w:pPr>
      <w:r>
        <w:t>31.15 CMS completo do site institucional</w:t>
      </w:r>
    </w:p>
    <w:p>
      <w:r>
        <w:t>O site público deve ser editável sem deploy de código, mas usando componentes seguros e pré-definidos. O CMS controla conteúdo; não permite JavaScript arbitrário ou código executável.</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160"/>
            <w:vAlign w:val="center"/>
          </w:tcPr>
          <w:p>
            <w:r>
              <w:rPr>
                <w:b/>
              </w:rPr>
              <w:t>Área CMS</w:t>
            </w:r>
          </w:p>
        </w:tc>
        <w:tc>
          <w:tcPr>
            <w:tcW w:type="dxa" w:w="7632"/>
            <w:vAlign w:val="center"/>
          </w:tcPr>
          <w:p>
            <w:r>
              <w:rPr>
                <w:b/>
              </w:rPr>
              <w:t>Recursos</w:t>
            </w:r>
          </w:p>
        </w:tc>
      </w:tr>
      <w:tr>
        <w:trPr>
          <w:cantSplit/>
        </w:trPr>
        <w:tc>
          <w:tcPr>
            <w:tcW w:type="dxa" w:w="2160"/>
            <w:vAlign w:val="top"/>
          </w:tcPr>
          <w:p>
            <w:r>
              <w:t>Páginas</w:t>
            </w:r>
          </w:p>
        </w:tc>
        <w:tc>
          <w:tcPr>
            <w:tcW w:type="dxa" w:w="7632"/>
            <w:vAlign w:val="top"/>
          </w:tcPr>
          <w:p>
            <w:r>
              <w:t>Criar, duplicar, ordenar, slug, layout, blocos e templates.</w:t>
            </w:r>
          </w:p>
        </w:tc>
      </w:tr>
      <w:tr>
        <w:trPr>
          <w:cantSplit/>
        </w:trPr>
        <w:tc>
          <w:tcPr>
            <w:tcW w:type="dxa" w:w="2160"/>
            <w:vAlign w:val="top"/>
          </w:tcPr>
          <w:p>
            <w:r>
              <w:t>Page Builder</w:t>
            </w:r>
          </w:p>
        </w:tc>
        <w:tc>
          <w:tcPr>
            <w:tcW w:type="dxa" w:w="7632"/>
            <w:vAlign w:val="top"/>
          </w:tcPr>
          <w:p>
            <w:r>
              <w:t>Hero, texto, imagem, vídeo, cards, pricing, FAQ, CTA, formulário, logo wall, depoimentos e mapas seguros.</w:t>
            </w:r>
          </w:p>
        </w:tc>
      </w:tr>
      <w:tr>
        <w:trPr>
          <w:cantSplit/>
        </w:trPr>
        <w:tc>
          <w:tcPr>
            <w:tcW w:type="dxa" w:w="2160"/>
            <w:vAlign w:val="top"/>
          </w:tcPr>
          <w:p>
            <w:r>
              <w:t>Mídia</w:t>
            </w:r>
          </w:p>
        </w:tc>
        <w:tc>
          <w:tcPr>
            <w:tcW w:type="dxa" w:w="7632"/>
            <w:vAlign w:val="top"/>
          </w:tcPr>
          <w:p>
            <w:r>
              <w:t>Upload, crop, alt text, compressão, WebP/AVIF, pastas, tags, uso e substituição.</w:t>
            </w:r>
          </w:p>
        </w:tc>
      </w:tr>
      <w:tr>
        <w:trPr>
          <w:cantSplit/>
        </w:trPr>
        <w:tc>
          <w:tcPr>
            <w:tcW w:type="dxa" w:w="2160"/>
            <w:vAlign w:val="top"/>
          </w:tcPr>
          <w:p>
            <w:r>
              <w:t>Menus</w:t>
            </w:r>
          </w:p>
        </w:tc>
        <w:tc>
          <w:tcPr>
            <w:tcW w:type="dxa" w:w="7632"/>
            <w:vAlign w:val="top"/>
          </w:tcPr>
          <w:p>
            <w:r>
              <w:t>Header, footer, dropdowns, ordem, links e visibilidade.</w:t>
            </w:r>
          </w:p>
        </w:tc>
      </w:tr>
      <w:tr>
        <w:trPr>
          <w:cantSplit/>
        </w:trPr>
        <w:tc>
          <w:tcPr>
            <w:tcW w:type="dxa" w:w="2160"/>
            <w:vAlign w:val="top"/>
          </w:tcPr>
          <w:p>
            <w:r>
              <w:t>SEO</w:t>
            </w:r>
          </w:p>
        </w:tc>
        <w:tc>
          <w:tcPr>
            <w:tcW w:type="dxa" w:w="7632"/>
            <w:vAlign w:val="top"/>
          </w:tcPr>
          <w:p>
            <w:r>
              <w:t>Title, description, canonical, robots, OpenGraph, schema, sitemap e redirects.</w:t>
            </w:r>
          </w:p>
        </w:tc>
      </w:tr>
      <w:tr>
        <w:trPr>
          <w:cantSplit/>
        </w:trPr>
        <w:tc>
          <w:tcPr>
            <w:tcW w:type="dxa" w:w="2160"/>
            <w:vAlign w:val="top"/>
          </w:tcPr>
          <w:p>
            <w:r>
              <w:t>Blog / Notícias</w:t>
            </w:r>
          </w:p>
        </w:tc>
        <w:tc>
          <w:tcPr>
            <w:tcW w:type="dxa" w:w="7632"/>
            <w:vAlign w:val="top"/>
          </w:tcPr>
          <w:p>
            <w:r>
              <w:t>Autor, categoria, tags, capa, conteúdo, data e relacionados.</w:t>
            </w:r>
          </w:p>
        </w:tc>
      </w:tr>
      <w:tr>
        <w:trPr>
          <w:cantSplit/>
        </w:trPr>
        <w:tc>
          <w:tcPr>
            <w:tcW w:type="dxa" w:w="2160"/>
            <w:vAlign w:val="top"/>
          </w:tcPr>
          <w:p>
            <w:r>
              <w:t>Campanhas</w:t>
            </w:r>
          </w:p>
        </w:tc>
        <w:tc>
          <w:tcPr>
            <w:tcW w:type="dxa" w:w="7632"/>
            <w:vAlign w:val="top"/>
          </w:tcPr>
          <w:p>
            <w:r>
              <w:t>Landing pages, UTMs, banners, popups com regras e validade.</w:t>
            </w:r>
          </w:p>
        </w:tc>
      </w:tr>
      <w:tr>
        <w:trPr>
          <w:cantSplit/>
        </w:trPr>
        <w:tc>
          <w:tcPr>
            <w:tcW w:type="dxa" w:w="2160"/>
            <w:vAlign w:val="top"/>
          </w:tcPr>
          <w:p>
            <w:r>
              <w:t>Formulários</w:t>
            </w:r>
          </w:p>
        </w:tc>
        <w:tc>
          <w:tcPr>
            <w:tcW w:type="dxa" w:w="7632"/>
            <w:vAlign w:val="top"/>
          </w:tcPr>
          <w:p>
            <w:r>
              <w:t>Lead, contato, demo, newsletter; consentimento, spam protection e destino.</w:t>
            </w:r>
          </w:p>
        </w:tc>
      </w:tr>
      <w:tr>
        <w:trPr>
          <w:cantSplit/>
        </w:trPr>
        <w:tc>
          <w:tcPr>
            <w:tcW w:type="dxa" w:w="2160"/>
            <w:vAlign w:val="top"/>
          </w:tcPr>
          <w:p>
            <w:r>
              <w:t>Versionamento</w:t>
            </w:r>
          </w:p>
        </w:tc>
        <w:tc>
          <w:tcPr>
            <w:tcW w:type="dxa" w:w="7632"/>
            <w:vAlign w:val="top"/>
          </w:tcPr>
          <w:p>
            <w:r>
              <w:t>Draft, revisão, publicação, agendamento, diff e rollback.</w:t>
            </w:r>
          </w:p>
        </w:tc>
      </w:tr>
      <w:tr>
        <w:trPr>
          <w:cantSplit/>
        </w:trPr>
        <w:tc>
          <w:tcPr>
            <w:tcW w:type="dxa" w:w="2160"/>
            <w:vAlign w:val="top"/>
          </w:tcPr>
          <w:p>
            <w:r>
              <w:t>Preview</w:t>
            </w:r>
          </w:p>
        </w:tc>
        <w:tc>
          <w:tcPr>
            <w:tcW w:type="dxa" w:w="7632"/>
            <w:vAlign w:val="top"/>
          </w:tcPr>
          <w:p>
            <w:r>
              <w:t>URL privada de pré-visualização antes de publicar.</w:t>
            </w:r>
          </w:p>
        </w:tc>
      </w:tr>
      <w:tr>
        <w:trPr>
          <w:cantSplit/>
        </w:trPr>
        <w:tc>
          <w:tcPr>
            <w:tcW w:type="dxa" w:w="2160"/>
            <w:vAlign w:val="top"/>
          </w:tcPr>
          <w:p>
            <w:r>
              <w:t>Localização</w:t>
            </w:r>
          </w:p>
        </w:tc>
        <w:tc>
          <w:tcPr>
            <w:tcW w:type="dxa" w:w="7632"/>
            <w:vAlign w:val="top"/>
          </w:tcPr>
          <w:p>
            <w:r>
              <w:t>Preparação para pt-BR e futuros idiomas sem duplicar arquitetura.</w:t>
            </w:r>
          </w:p>
        </w:tc>
      </w:tr>
    </w:tbl>
    <w:p/>
    <w:p>
      <w:pPr>
        <w:pStyle w:val="Heading2"/>
      </w:pPr>
      <w:r>
        <w:t>31.16 Criação de telas e dashboards sem escrever código no Admin</w:t>
      </w:r>
    </w:p>
    <w:p>
      <w:r>
        <w:t>Para áreas internas/configuráveis, o Admin pode oferecer um Screen/Widget Builder restrito a componentes registrados. Isso permite criar dashboards ou páginas operacionais sem permitir execução arbitrária.</w:t>
      </w:r>
    </w:p>
    <w:p>
      <w:pPr>
        <w:pStyle w:val="ListBullet"/>
      </w:pPr>
      <w:r>
        <w:t>Biblioteca de widgets: KPI, tabela, gráfico, mapa, timeline, funil, cohort, log e status.</w:t>
      </w:r>
    </w:p>
    <w:p>
      <w:pPr>
        <w:pStyle w:val="ListBullet"/>
      </w:pPr>
      <w:r>
        <w:t>Data sources previamente registrados com queries parametrizadas e autorizadas.</w:t>
      </w:r>
    </w:p>
    <w:p>
      <w:pPr>
        <w:pStyle w:val="ListBullet"/>
      </w:pPr>
      <w:r>
        <w:t>Filtros, agrupamentos, data range e drill-down.</w:t>
      </w:r>
    </w:p>
    <w:p>
      <w:pPr>
        <w:pStyle w:val="ListBullet"/>
      </w:pPr>
      <w:r>
        <w:t>Permissões por dashboard.</w:t>
      </w:r>
    </w:p>
    <w:p>
      <w:pPr>
        <w:pStyle w:val="ListBullet"/>
      </w:pPr>
      <w:r>
        <w:t>Versão/draft/publicação.</w:t>
      </w:r>
    </w:p>
    <w:p>
      <w:pPr>
        <w:pStyle w:val="ListBullet"/>
      </w:pPr>
      <w:r>
        <w:t>Sem SQL livre salvo por editor comum; consultas novas passam por revisão técnica.</w:t>
      </w:r>
    </w:p>
    <w:p>
      <w:pPr>
        <w:pStyle w:val="ListBullet"/>
      </w:pPr>
      <w:r>
        <w:t>Sem HTML/JS arbitrário; apenas propriedades do componente.</w:t>
      </w:r>
    </w:p>
    <w:p>
      <w:pPr>
        <w:pStyle w:val="Heading2"/>
      </w:pPr>
      <w:r>
        <w:t>31.17 Analytics de produto</w:t>
      </w:r>
    </w:p>
    <w:p>
      <w:pPr>
        <w:pStyle w:val="ListBullet"/>
      </w:pPr>
      <w:r>
        <w:t>Event taxonomy versionada: signup, activation, first_value, module_open, report_generated, project_created etc.</w:t>
      </w:r>
    </w:p>
    <w:p>
      <w:pPr>
        <w:pStyle w:val="ListBullet"/>
      </w:pPr>
      <w:r>
        <w:t>Funis por plano e persona.</w:t>
      </w:r>
    </w:p>
    <w:p>
      <w:pPr>
        <w:pStyle w:val="ListBullet"/>
      </w:pPr>
      <w:r>
        <w:t>Cohorts de retenção.</w:t>
      </w:r>
    </w:p>
    <w:p>
      <w:pPr>
        <w:pStyle w:val="ListBullet"/>
      </w:pPr>
      <w:r>
        <w:t>Adoção por módulo e feature.</w:t>
      </w:r>
    </w:p>
    <w:p>
      <w:pPr>
        <w:pStyle w:val="ListBullet"/>
      </w:pPr>
      <w:r>
        <w:t>Tempo até o primeiro valor.</w:t>
      </w:r>
    </w:p>
    <w:p>
      <w:pPr>
        <w:pStyle w:val="ListBullet"/>
      </w:pPr>
      <w:r>
        <w:t>Paths e abandono de fluxos críticos.</w:t>
      </w:r>
    </w:p>
    <w:p>
      <w:pPr>
        <w:pStyle w:val="ListBullet"/>
      </w:pPr>
      <w:r>
        <w:t>Uso por cliente para detectar expansão ou risco de churn.</w:t>
      </w:r>
    </w:p>
    <w:p>
      <w:pPr>
        <w:pStyle w:val="ListBullet"/>
      </w:pPr>
      <w:r>
        <w:t>Métricas nunca devem depender exclusivamente de logs técnicos; eventos de produto têm schema próprio.</w:t>
      </w:r>
    </w:p>
    <w:p>
      <w:pPr>
        <w:pStyle w:val="Heading2"/>
      </w:pPr>
      <w:r>
        <w:t>31.18 Gestão de leads e funil comercial</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016"/>
            <w:vAlign w:val="center"/>
          </w:tcPr>
          <w:p>
            <w:r>
              <w:rPr>
                <w:b/>
              </w:rPr>
              <w:t>Etapa</w:t>
            </w:r>
          </w:p>
        </w:tc>
        <w:tc>
          <w:tcPr>
            <w:tcW w:type="dxa" w:w="7776"/>
            <w:vAlign w:val="center"/>
          </w:tcPr>
          <w:p>
            <w:r>
              <w:rPr>
                <w:b/>
              </w:rPr>
              <w:t>Recursos</w:t>
            </w:r>
          </w:p>
        </w:tc>
      </w:tr>
      <w:tr>
        <w:trPr>
          <w:cantSplit/>
        </w:trPr>
        <w:tc>
          <w:tcPr>
            <w:tcW w:type="dxa" w:w="2016"/>
            <w:vAlign w:val="top"/>
          </w:tcPr>
          <w:p>
            <w:r>
              <w:t>Lead</w:t>
            </w:r>
          </w:p>
        </w:tc>
        <w:tc>
          <w:tcPr>
            <w:tcW w:type="dxa" w:w="7776"/>
            <w:vAlign w:val="top"/>
          </w:tcPr>
          <w:p>
            <w:r>
              <w:t>Origem, campanha, página, contato, empresa e interesse.</w:t>
            </w:r>
          </w:p>
        </w:tc>
      </w:tr>
      <w:tr>
        <w:trPr>
          <w:cantSplit/>
        </w:trPr>
        <w:tc>
          <w:tcPr>
            <w:tcW w:type="dxa" w:w="2016"/>
            <w:vAlign w:val="top"/>
          </w:tcPr>
          <w:p>
            <w:r>
              <w:t>Qualified</w:t>
            </w:r>
          </w:p>
        </w:tc>
        <w:tc>
          <w:tcPr>
            <w:tcW w:type="dxa" w:w="7776"/>
            <w:vAlign w:val="top"/>
          </w:tcPr>
          <w:p>
            <w:r>
              <w:t>ICP, porte, módulo, potencial e responsável.</w:t>
            </w:r>
          </w:p>
        </w:tc>
      </w:tr>
      <w:tr>
        <w:trPr>
          <w:cantSplit/>
        </w:trPr>
        <w:tc>
          <w:tcPr>
            <w:tcW w:type="dxa" w:w="2016"/>
            <w:vAlign w:val="top"/>
          </w:tcPr>
          <w:p>
            <w:r>
              <w:t>Demo / proposta</w:t>
            </w:r>
          </w:p>
        </w:tc>
        <w:tc>
          <w:tcPr>
            <w:tcW w:type="dxa" w:w="7776"/>
            <w:vAlign w:val="top"/>
          </w:tcPr>
          <w:p>
            <w:r>
              <w:t>Agenda, notas, proposta e plano sugerido.</w:t>
            </w:r>
          </w:p>
        </w:tc>
      </w:tr>
      <w:tr>
        <w:trPr>
          <w:cantSplit/>
        </w:trPr>
        <w:tc>
          <w:tcPr>
            <w:tcW w:type="dxa" w:w="2016"/>
            <w:vAlign w:val="top"/>
          </w:tcPr>
          <w:p>
            <w:r>
              <w:t>Negotiation</w:t>
            </w:r>
          </w:p>
        </w:tc>
        <w:tc>
          <w:tcPr>
            <w:tcW w:type="dxa" w:w="7776"/>
            <w:vAlign w:val="top"/>
          </w:tcPr>
          <w:p>
            <w:r>
              <w:t>Desconto, aprovação, contrato, data prevista.</w:t>
            </w:r>
          </w:p>
        </w:tc>
      </w:tr>
      <w:tr>
        <w:trPr>
          <w:cantSplit/>
        </w:trPr>
        <w:tc>
          <w:tcPr>
            <w:tcW w:type="dxa" w:w="2016"/>
            <w:vAlign w:val="top"/>
          </w:tcPr>
          <w:p>
            <w:r>
              <w:t>Won</w:t>
            </w:r>
          </w:p>
        </w:tc>
        <w:tc>
          <w:tcPr>
            <w:tcW w:type="dxa" w:w="7776"/>
            <w:vAlign w:val="top"/>
          </w:tcPr>
          <w:p>
            <w:r>
              <w:t>Tenant criado e onboarding iniciado.</w:t>
            </w:r>
          </w:p>
        </w:tc>
      </w:tr>
      <w:tr>
        <w:trPr>
          <w:cantSplit/>
        </w:trPr>
        <w:tc>
          <w:tcPr>
            <w:tcW w:type="dxa" w:w="2016"/>
            <w:vAlign w:val="top"/>
          </w:tcPr>
          <w:p>
            <w:r>
              <w:t>Lost</w:t>
            </w:r>
          </w:p>
        </w:tc>
        <w:tc>
          <w:tcPr>
            <w:tcW w:type="dxa" w:w="7776"/>
            <w:vAlign w:val="top"/>
          </w:tcPr>
          <w:p>
            <w:r>
              <w:t>Motivo estruturado para análise.</w:t>
            </w:r>
          </w:p>
        </w:tc>
      </w:tr>
    </w:tbl>
    <w:p/>
    <w:p>
      <w:r>
        <w:t>Para uma primeira versão, essa área pode integrar um CRM externo; o modelo de dados deve suportar sincronização e source-of-truth definido.</w:t>
      </w:r>
    </w:p>
    <w:p>
      <w:pPr>
        <w:pStyle w:val="Heading2"/>
      </w:pPr>
      <w:r>
        <w:t>31.19 Suporte e Customer Success</w:t>
      </w:r>
    </w:p>
    <w:p>
      <w:pPr>
        <w:pStyle w:val="ListBullet"/>
      </w:pPr>
      <w:r>
        <w:t>Tickets por cliente, severidade, categoria, SLA, responsável e timeline.</w:t>
      </w:r>
    </w:p>
    <w:p>
      <w:pPr>
        <w:pStyle w:val="ListBullet"/>
      </w:pPr>
      <w:r>
        <w:t>Vínculo automático com incidentes, pagamentos, jobs e traces de IA quando autorizado.</w:t>
      </w:r>
    </w:p>
    <w:p>
      <w:pPr>
        <w:pStyle w:val="ListBullet"/>
      </w:pPr>
      <w:r>
        <w:t>Health score por uso, falhas, cobrança, tickets e NPS/CSAT.</w:t>
      </w:r>
    </w:p>
    <w:p>
      <w:pPr>
        <w:pStyle w:val="ListBullet"/>
      </w:pPr>
      <w:r>
        <w:t>Playbooks de onboarding, expansão, risco e churn.</w:t>
      </w:r>
    </w:p>
    <w:p>
      <w:pPr>
        <w:pStyle w:val="ListBullet"/>
      </w:pPr>
      <w:r>
        <w:t>Base de conhecimento pública e interna.</w:t>
      </w:r>
    </w:p>
    <w:p>
      <w:pPr>
        <w:pStyle w:val="ListBullet"/>
      </w:pPr>
      <w:r>
        <w:t>Macros de resposta e templates, mas envio final humano para casos sensíveis.</w:t>
      </w:r>
    </w:p>
    <w:p>
      <w:pPr>
        <w:pStyle w:val="Heading2"/>
      </w:pPr>
      <w:r>
        <w:t>31.20 Impersonação / sessão de suporte</w:t>
      </w:r>
    </w:p>
    <w:p>
      <w:r>
        <w:t>Evitar “login como cliente” irrestrito. Quando suporte realmente precisar reproduzir um problema, usar sessão temporária de suporte com reason, aprovação quando necessária, escopo mínimo, banner visível, expiração curta e auditoria completa.</w:t>
      </w:r>
    </w:p>
    <w:p>
      <w:pPr>
        <w:pStyle w:val="ListBullet"/>
      </w:pPr>
      <w:r>
        <w:t>Nunca revelar senha, token, cartão ou segredo do cliente.</w:t>
      </w:r>
    </w:p>
    <w:p>
      <w:pPr>
        <w:pStyle w:val="ListBullet"/>
      </w:pPr>
      <w:r>
        <w:t>Modo somente leitura como default.</w:t>
      </w:r>
    </w:p>
    <w:p>
      <w:pPr>
        <w:pStyle w:val="ListBullet"/>
      </w:pPr>
      <w:r>
        <w:t>Ações de escrita exigem autorização explícita adicional.</w:t>
      </w:r>
    </w:p>
    <w:p>
      <w:pPr>
        <w:pStyle w:val="ListBullet"/>
      </w:pPr>
      <w:r>
        <w:t>Cliente/tenant pode receber registro de acesso conforme política.</w:t>
      </w:r>
    </w:p>
    <w:p>
      <w:pPr>
        <w:pStyle w:val="Heading2"/>
      </w:pPr>
      <w:r>
        <w:t>31.21 Módulos, feature flags e kill switches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160"/>
            <w:vAlign w:val="center"/>
          </w:tcPr>
          <w:p>
            <w:r>
              <w:rPr>
                <w:b/>
              </w:rPr>
              <w:t>Mecanismo</w:t>
            </w:r>
          </w:p>
        </w:tc>
        <w:tc>
          <w:tcPr>
            <w:tcW w:type="dxa" w:w="7632"/>
            <w:vAlign w:val="center"/>
          </w:tcPr>
          <w:p>
            <w:r>
              <w:rPr>
                <w:b/>
              </w:rPr>
              <w:t>Uso</w:t>
            </w:r>
          </w:p>
        </w:tc>
      </w:tr>
      <w:tr>
        <w:trPr>
          <w:cantSplit/>
        </w:trPr>
        <w:tc>
          <w:tcPr>
            <w:tcW w:type="dxa" w:w="2160"/>
            <w:vAlign w:val="top"/>
          </w:tcPr>
          <w:p>
            <w:r>
              <w:t>Entitlement</w:t>
            </w:r>
          </w:p>
        </w:tc>
        <w:tc>
          <w:tcPr>
            <w:tcW w:type="dxa" w:w="7632"/>
            <w:vAlign w:val="top"/>
          </w:tcPr>
          <w:p>
            <w:r>
              <w:t>Direito comercial persistente: módulo contratado e quota.</w:t>
            </w:r>
          </w:p>
        </w:tc>
      </w:tr>
      <w:tr>
        <w:trPr>
          <w:cantSplit/>
        </w:trPr>
        <w:tc>
          <w:tcPr>
            <w:tcW w:type="dxa" w:w="2160"/>
            <w:vAlign w:val="top"/>
          </w:tcPr>
          <w:p>
            <w:r>
              <w:t>Feature flag</w:t>
            </w:r>
          </w:p>
        </w:tc>
        <w:tc>
          <w:tcPr>
            <w:tcW w:type="dxa" w:w="7632"/>
            <w:vAlign w:val="top"/>
          </w:tcPr>
          <w:p>
            <w:r>
              <w:t>Rollout técnico temporário: beta, cohort, canary, teste.</w:t>
            </w:r>
          </w:p>
        </w:tc>
      </w:tr>
      <w:tr>
        <w:trPr>
          <w:cantSplit/>
        </w:trPr>
        <w:tc>
          <w:tcPr>
            <w:tcW w:type="dxa" w:w="2160"/>
            <w:vAlign w:val="top"/>
          </w:tcPr>
          <w:p>
            <w:r>
              <w:t>Kill switch</w:t>
            </w:r>
          </w:p>
        </w:tc>
        <w:tc>
          <w:tcPr>
            <w:tcW w:type="dxa" w:w="7632"/>
            <w:vAlign w:val="top"/>
          </w:tcPr>
          <w:p>
            <w:r>
              <w:t>Desativar rapidamente feature problemática sem novo deploy.</w:t>
            </w:r>
          </w:p>
        </w:tc>
      </w:tr>
      <w:tr>
        <w:trPr>
          <w:cantSplit/>
        </w:trPr>
        <w:tc>
          <w:tcPr>
            <w:tcW w:type="dxa" w:w="2160"/>
            <w:vAlign w:val="top"/>
          </w:tcPr>
          <w:p>
            <w:r>
              <w:t>Experiment</w:t>
            </w:r>
          </w:p>
        </w:tc>
        <w:tc>
          <w:tcPr>
            <w:tcW w:type="dxa" w:w="7632"/>
            <w:vAlign w:val="top"/>
          </w:tcPr>
          <w:p>
            <w:r>
              <w:t>A/B test com hipótese, população e métrica.</w:t>
            </w:r>
          </w:p>
        </w:tc>
      </w:tr>
      <w:tr>
        <w:trPr>
          <w:cantSplit/>
        </w:trPr>
        <w:tc>
          <w:tcPr>
            <w:tcW w:type="dxa" w:w="2160"/>
            <w:vAlign w:val="top"/>
          </w:tcPr>
          <w:p>
            <w:r>
              <w:t>Config</w:t>
            </w:r>
          </w:p>
        </w:tc>
        <w:tc>
          <w:tcPr>
            <w:tcW w:type="dxa" w:w="7632"/>
            <w:vAlign w:val="top"/>
          </w:tcPr>
          <w:p>
            <w:r>
              <w:t>Parâmetro operacional não secreto.</w:t>
            </w:r>
          </w:p>
        </w:tc>
      </w:tr>
    </w:tbl>
    <w:p/>
    <w:p>
      <w:r>
        <w:t>Feature flag não deve virar substituto permanente do catálogo de planos; entitlement e rollout têm finalidades distintas.</w:t>
      </w:r>
    </w:p>
    <w:p>
      <w:pPr>
        <w:pStyle w:val="Heading2"/>
      </w:pPr>
      <w:r>
        <w:t>31.22 AI Ops no painel</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088"/>
            <w:vAlign w:val="center"/>
          </w:tcPr>
          <w:p>
            <w:r>
              <w:rPr>
                <w:b/>
              </w:rPr>
              <w:t>Área</w:t>
            </w:r>
          </w:p>
        </w:tc>
        <w:tc>
          <w:tcPr>
            <w:tcW w:type="dxa" w:w="7704"/>
            <w:vAlign w:val="center"/>
          </w:tcPr>
          <w:p>
            <w:r>
              <w:rPr>
                <w:b/>
              </w:rPr>
              <w:t>O que administrar</w:t>
            </w:r>
          </w:p>
        </w:tc>
      </w:tr>
      <w:tr>
        <w:trPr>
          <w:cantSplit/>
        </w:trPr>
        <w:tc>
          <w:tcPr>
            <w:tcW w:type="dxa" w:w="2088"/>
            <w:vAlign w:val="top"/>
          </w:tcPr>
          <w:p>
            <w:r>
              <w:t>Model Registry</w:t>
            </w:r>
          </w:p>
        </w:tc>
        <w:tc>
          <w:tcPr>
            <w:tcW w:type="dxa" w:w="7704"/>
            <w:vAlign w:val="top"/>
          </w:tcPr>
          <w:p>
            <w:r>
              <w:t>Providers, modelos permitidos, versão, região, custo e status.</w:t>
            </w:r>
          </w:p>
        </w:tc>
      </w:tr>
      <w:tr>
        <w:trPr>
          <w:cantSplit/>
        </w:trPr>
        <w:tc>
          <w:tcPr>
            <w:tcW w:type="dxa" w:w="2088"/>
            <w:vAlign w:val="top"/>
          </w:tcPr>
          <w:p>
            <w:r>
              <w:t>Prompt Registry</w:t>
            </w:r>
          </w:p>
        </w:tc>
        <w:tc>
          <w:tcPr>
            <w:tcW w:type="dxa" w:w="7704"/>
            <w:vAlign w:val="top"/>
          </w:tcPr>
          <w:p>
            <w:r>
              <w:t>Prompts versionados, draft, teste, aprovação e rollback.</w:t>
            </w:r>
          </w:p>
        </w:tc>
      </w:tr>
      <w:tr>
        <w:trPr>
          <w:cantSplit/>
        </w:trPr>
        <w:tc>
          <w:tcPr>
            <w:tcW w:type="dxa" w:w="2088"/>
            <w:vAlign w:val="top"/>
          </w:tcPr>
          <w:p>
            <w:r>
              <w:t>Evals</w:t>
            </w:r>
          </w:p>
        </w:tc>
        <w:tc>
          <w:tcPr>
            <w:tcW w:type="dxa" w:w="7704"/>
            <w:vAlign w:val="top"/>
          </w:tcPr>
          <w:p>
            <w:r>
              <w:t>Golden datasets, regressões, safety, resultado por versão.</w:t>
            </w:r>
          </w:p>
        </w:tc>
      </w:tr>
      <w:tr>
        <w:trPr>
          <w:cantSplit/>
        </w:trPr>
        <w:tc>
          <w:tcPr>
            <w:tcW w:type="dxa" w:w="2088"/>
            <w:vAlign w:val="top"/>
          </w:tcPr>
          <w:p>
            <w:r>
              <w:t>Usage</w:t>
            </w:r>
          </w:p>
        </w:tc>
        <w:tc>
          <w:tcPr>
            <w:tcW w:type="dxa" w:w="7704"/>
            <w:vAlign w:val="top"/>
          </w:tcPr>
          <w:p>
            <w:r>
              <w:t>Tokens, custo, latência, cache, custo por tenant/módulo.</w:t>
            </w:r>
          </w:p>
        </w:tc>
      </w:tr>
      <w:tr>
        <w:trPr>
          <w:cantSplit/>
        </w:trPr>
        <w:tc>
          <w:tcPr>
            <w:tcW w:type="dxa" w:w="2088"/>
            <w:vAlign w:val="top"/>
          </w:tcPr>
          <w:p>
            <w:r>
              <w:t>Traces</w:t>
            </w:r>
          </w:p>
        </w:tc>
        <w:tc>
          <w:tcPr>
            <w:tcW w:type="dxa" w:w="7704"/>
            <w:vAlign w:val="top"/>
          </w:tcPr>
          <w:p>
            <w:r>
              <w:t>Amostras auditáveis com redaction de PII e permissões.</w:t>
            </w:r>
          </w:p>
        </w:tc>
      </w:tr>
      <w:tr>
        <w:trPr>
          <w:cantSplit/>
        </w:trPr>
        <w:tc>
          <w:tcPr>
            <w:tcW w:type="dxa" w:w="2088"/>
            <w:vAlign w:val="top"/>
          </w:tcPr>
          <w:p>
            <w:r>
              <w:t>Knowledge</w:t>
            </w:r>
          </w:p>
        </w:tc>
        <w:tc>
          <w:tcPr>
            <w:tcW w:type="dxa" w:w="7704"/>
            <w:vAlign w:val="top"/>
          </w:tcPr>
          <w:p>
            <w:r>
              <w:t>Ingestão, embeddings, índices, filas e falhas.</w:t>
            </w:r>
          </w:p>
        </w:tc>
      </w:tr>
      <w:tr>
        <w:trPr>
          <w:cantSplit/>
        </w:trPr>
        <w:tc>
          <w:tcPr>
            <w:tcW w:type="dxa" w:w="2088"/>
            <w:vAlign w:val="top"/>
          </w:tcPr>
          <w:p>
            <w:r>
              <w:t>Safety</w:t>
            </w:r>
          </w:p>
        </w:tc>
        <w:tc>
          <w:tcPr>
            <w:tcW w:type="dxa" w:w="7704"/>
            <w:vAlign w:val="top"/>
          </w:tcPr>
          <w:p>
            <w:r>
              <w:t>Prompt injection, bloqueios, abuso e cross-tenant checks.</w:t>
            </w:r>
          </w:p>
        </w:tc>
      </w:tr>
      <w:tr>
        <w:trPr>
          <w:cantSplit/>
        </w:trPr>
        <w:tc>
          <w:tcPr>
            <w:tcW w:type="dxa" w:w="2088"/>
            <w:vAlign w:val="top"/>
          </w:tcPr>
          <w:p>
            <w:r>
              <w:t>Budgets</w:t>
            </w:r>
          </w:p>
        </w:tc>
        <w:tc>
          <w:tcPr>
            <w:tcW w:type="dxa" w:w="7704"/>
            <w:vAlign w:val="top"/>
          </w:tcPr>
          <w:p>
            <w:r>
              <w:t>Limite diário/mensal por tenant, plano, modelo e feature.</w:t>
            </w:r>
          </w:p>
        </w:tc>
      </w:tr>
    </w:tbl>
    <w:p/>
    <w:p>
      <w:pPr>
        <w:pStyle w:val="Heading2"/>
      </w:pPr>
      <w:r>
        <w:t>31.23 Data Ops e fontes nacionais/municipais</w:t>
      </w:r>
    </w:p>
    <w:p>
      <w:pPr>
        <w:pStyle w:val="ListBullet"/>
      </w:pPr>
      <w:r>
        <w:t>Catálogo de fontes e conectores.</w:t>
      </w:r>
    </w:p>
    <w:p>
      <w:pPr>
        <w:pStyle w:val="ListBullet"/>
      </w:pPr>
      <w:r>
        <w:t>Última atualização, SLA/freshness e próxima execução.</w:t>
      </w:r>
    </w:p>
    <w:p>
      <w:pPr>
        <w:pStyle w:val="ListBullet"/>
      </w:pPr>
      <w:r>
        <w:t>Rows/features/documents processados.</w:t>
      </w:r>
    </w:p>
    <w:p>
      <w:pPr>
        <w:pStyle w:val="ListBullet"/>
      </w:pPr>
      <w:r>
        <w:t>Falhas por etapa e dead-letter queue.</w:t>
      </w:r>
    </w:p>
    <w:p>
      <w:pPr>
        <w:pStyle w:val="ListBullet"/>
      </w:pPr>
      <w:r>
        <w:t>Mapa de cobertura por município/estado/camada.</w:t>
      </w:r>
    </w:p>
    <w:p>
      <w:pPr>
        <w:pStyle w:val="ListBullet"/>
      </w:pPr>
      <w:r>
        <w:t>Qualidade: CRS, topologia, duplicidade, campos faltantes e validações.</w:t>
      </w:r>
    </w:p>
    <w:p>
      <w:pPr>
        <w:pStyle w:val="ListBullet"/>
      </w:pPr>
      <w:r>
        <w:t>Licença/termos de uso e data de revisão.</w:t>
      </w:r>
    </w:p>
    <w:p>
      <w:pPr>
        <w:pStyle w:val="ListBullet"/>
      </w:pPr>
      <w:r>
        <w:t>Botão de reprocessar com escopo controlado e dry-run.</w:t>
      </w:r>
    </w:p>
    <w:p>
      <w:pPr>
        <w:pStyle w:val="ListBullet"/>
      </w:pPr>
      <w:r>
        <w:t>Comparação de versão antes/depois e impacto estimado em relatórios.</w:t>
      </w:r>
    </w:p>
    <w:p>
      <w:pPr>
        <w:pStyle w:val="Heading2"/>
      </w:pPr>
      <w:r>
        <w:t>31.24 Operações e observabilidade</w:t>
      </w:r>
    </w:p>
    <w:p>
      <w:r>
        <w:t>O Admin deve consumir métricas, traces e logs de uma plataforma de observabilidade. OpenTelemetry padroniza a instrumentação de traces, métricas e logs sem acoplar a aplicação a um backend específico [R105].</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160"/>
            <w:vAlign w:val="center"/>
          </w:tcPr>
          <w:p>
            <w:r>
              <w:rPr>
                <w:b/>
              </w:rPr>
              <w:t>Painel</w:t>
            </w:r>
          </w:p>
        </w:tc>
        <w:tc>
          <w:tcPr>
            <w:tcW w:type="dxa" w:w="7632"/>
            <w:vAlign w:val="center"/>
          </w:tcPr>
          <w:p>
            <w:r>
              <w:rPr>
                <w:b/>
              </w:rPr>
              <w:t>Indicadores</w:t>
            </w:r>
          </w:p>
        </w:tc>
      </w:tr>
      <w:tr>
        <w:trPr>
          <w:cantSplit/>
        </w:trPr>
        <w:tc>
          <w:tcPr>
            <w:tcW w:type="dxa" w:w="2160"/>
            <w:vAlign w:val="top"/>
          </w:tcPr>
          <w:p>
            <w:r>
              <w:t>APIs</w:t>
            </w:r>
          </w:p>
        </w:tc>
        <w:tc>
          <w:tcPr>
            <w:tcW w:type="dxa" w:w="7632"/>
            <w:vAlign w:val="top"/>
          </w:tcPr>
          <w:p>
            <w:r>
              <w:t>RPS, P50/P95/P99, 4xx/5xx, timeouts e top endpoints.</w:t>
            </w:r>
          </w:p>
        </w:tc>
      </w:tr>
      <w:tr>
        <w:trPr>
          <w:cantSplit/>
        </w:trPr>
        <w:tc>
          <w:tcPr>
            <w:tcW w:type="dxa" w:w="2160"/>
            <w:vAlign w:val="top"/>
          </w:tcPr>
          <w:p>
            <w:r>
              <w:t>Bancos</w:t>
            </w:r>
          </w:p>
        </w:tc>
        <w:tc>
          <w:tcPr>
            <w:tcW w:type="dxa" w:w="7632"/>
            <w:vAlign w:val="top"/>
          </w:tcPr>
          <w:p>
            <w:r>
              <w:t>Conexões, locks, slow queries, storage, replication/backup.</w:t>
            </w:r>
          </w:p>
        </w:tc>
      </w:tr>
      <w:tr>
        <w:trPr>
          <w:cantSplit/>
        </w:trPr>
        <w:tc>
          <w:tcPr>
            <w:tcW w:type="dxa" w:w="2160"/>
            <w:vAlign w:val="top"/>
          </w:tcPr>
          <w:p>
            <w:r>
              <w:t>Filas</w:t>
            </w:r>
          </w:p>
        </w:tc>
        <w:tc>
          <w:tcPr>
            <w:tcW w:type="dxa" w:w="7632"/>
            <w:vAlign w:val="top"/>
          </w:tcPr>
          <w:p>
            <w:r>
              <w:t>Backlog, age, retries, DLQ e throughput.</w:t>
            </w:r>
          </w:p>
        </w:tc>
      </w:tr>
      <w:tr>
        <w:trPr>
          <w:cantSplit/>
        </w:trPr>
        <w:tc>
          <w:tcPr>
            <w:tcW w:type="dxa" w:w="2160"/>
            <w:vAlign w:val="top"/>
          </w:tcPr>
          <w:p>
            <w:r>
              <w:t>Workers</w:t>
            </w:r>
          </w:p>
        </w:tc>
        <w:tc>
          <w:tcPr>
            <w:tcW w:type="dxa" w:w="7632"/>
            <w:vAlign w:val="top"/>
          </w:tcPr>
          <w:p>
            <w:r>
              <w:t>CPU/GPU, jobs ativos, falhas e duração.</w:t>
            </w:r>
          </w:p>
        </w:tc>
      </w:tr>
      <w:tr>
        <w:trPr>
          <w:cantSplit/>
        </w:trPr>
        <w:tc>
          <w:tcPr>
            <w:tcW w:type="dxa" w:w="2160"/>
            <w:vAlign w:val="top"/>
          </w:tcPr>
          <w:p>
            <w:r>
              <w:t>Storage</w:t>
            </w:r>
          </w:p>
        </w:tc>
        <w:tc>
          <w:tcPr>
            <w:tcW w:type="dxa" w:w="7632"/>
            <w:vAlign w:val="top"/>
          </w:tcPr>
          <w:p>
            <w:r>
              <w:t>Uso, crescimento, arquivos órfãos e lifecycle.</w:t>
            </w:r>
          </w:p>
        </w:tc>
      </w:tr>
      <w:tr>
        <w:trPr>
          <w:cantSplit/>
        </w:trPr>
        <w:tc>
          <w:tcPr>
            <w:tcW w:type="dxa" w:w="2160"/>
            <w:vAlign w:val="top"/>
          </w:tcPr>
          <w:p>
            <w:r>
              <w:t>External providers</w:t>
            </w:r>
          </w:p>
        </w:tc>
        <w:tc>
          <w:tcPr>
            <w:tcW w:type="dxa" w:w="7632"/>
            <w:vAlign w:val="top"/>
          </w:tcPr>
          <w:p>
            <w:r>
              <w:t>Mercado Pago, IA, mapas, e-mail/SMS, fiscal, disponibilidade e erro.</w:t>
            </w:r>
          </w:p>
        </w:tc>
      </w:tr>
      <w:tr>
        <w:trPr>
          <w:cantSplit/>
        </w:trPr>
        <w:tc>
          <w:tcPr>
            <w:tcW w:type="dxa" w:w="2160"/>
            <w:vAlign w:val="top"/>
          </w:tcPr>
          <w:p>
            <w:r>
              <w:t>Security</w:t>
            </w:r>
          </w:p>
        </w:tc>
        <w:tc>
          <w:tcPr>
            <w:tcW w:type="dxa" w:w="7632"/>
            <w:vAlign w:val="top"/>
          </w:tcPr>
          <w:p>
            <w:r>
              <w:t>Auth failures, suspicious activity, rate-limit e WAF.</w:t>
            </w:r>
          </w:p>
        </w:tc>
      </w:tr>
    </w:tbl>
    <w:p/>
    <w:p>
      <w:pPr>
        <w:pStyle w:val="Heading2"/>
      </w:pPr>
      <w:r>
        <w:t>31.25 Incidentes e Status Page</w:t>
      </w:r>
    </w:p>
    <w:p>
      <w:pPr>
        <w:pStyle w:val="ListBullet"/>
      </w:pPr>
      <w:r>
        <w:t>Abrir incidente, severidade, comandante, timeline e serviços afetados.</w:t>
      </w:r>
    </w:p>
    <w:p>
      <w:pPr>
        <w:pStyle w:val="ListBullet"/>
      </w:pPr>
      <w:r>
        <w:t>Vincular métricas/logs/deploys recentes.</w:t>
      </w:r>
    </w:p>
    <w:p>
      <w:pPr>
        <w:pStyle w:val="ListBullet"/>
      </w:pPr>
      <w:r>
        <w:t>Status page pública com componentes e histórico quando apropriado.</w:t>
      </w:r>
    </w:p>
    <w:p>
      <w:pPr>
        <w:pStyle w:val="ListBullet"/>
      </w:pPr>
      <w:r>
        <w:t>Templates de comunicação.</w:t>
      </w:r>
    </w:p>
    <w:p>
      <w:pPr>
        <w:pStyle w:val="ListBullet"/>
      </w:pPr>
      <w:r>
        <w:t>Postmortem com causa, impacto, detecção, resposta e ações preventivas.</w:t>
      </w:r>
    </w:p>
    <w:p>
      <w:pPr>
        <w:pStyle w:val="ListBullet"/>
      </w:pPr>
      <w:r>
        <w:t>SLO/SLA por serviço/segmento.</w:t>
      </w:r>
    </w:p>
    <w:p>
      <w:pPr>
        <w:pStyle w:val="Heading2"/>
      </w:pPr>
      <w:r>
        <w:t>31.26 Atualização contínua do sistema</w:t>
      </w:r>
    </w:p>
    <w:p>
      <w:r>
        <w:t>A evolução do produto deve ser operável pelo painel sem transformar o Admin em um editor de código. O Admin enxerga versões produzidas pela esteira CI/CD e decide quando/para quem promover, dentro de políticas.</w:t>
      </w:r>
    </w:p>
    <w:p>
      <w:r>
        <w:drawing>
          <wp:inline xmlns:a="http://schemas.openxmlformats.org/drawingml/2006/main" xmlns:pic="http://schemas.openxmlformats.org/drawingml/2006/picture">
            <wp:extent cx="6172200" cy="3378467"/>
            <wp:docPr id="14" name="Picture 14" descr="Figura — Código passa por CI/CD e staging; o Admin apenas promove artefatos previamente aprovados." title="Figura — Código passa por CI/CD e staging; o Admin apenas promove artefatos previamente aprovados."/>
            <wp:cNvGraphicFramePr>
              <a:graphicFrameLocks noChangeAspect="1"/>
            </wp:cNvGraphicFramePr>
            <a:graphic>
              <a:graphicData uri="http://schemas.openxmlformats.org/drawingml/2006/picture">
                <pic:pic>
                  <pic:nvPicPr>
                    <pic:cNvPr id="0" name="admin_release_flow.png"/>
                    <pic:cNvPicPr/>
                  </pic:nvPicPr>
                  <pic:blipFill>
                    <a:blip r:embed="rId24"/>
                    <a:stretch>
                      <a:fillRect/>
                    </a:stretch>
                  </pic:blipFill>
                  <pic:spPr>
                    <a:xfrm>
                      <a:off x="0" y="0"/>
                      <a:ext cx="6172200" cy="3378467"/>
                    </a:xfrm>
                    <a:prstGeom prst="rect"/>
                  </pic:spPr>
                </pic:pic>
              </a:graphicData>
            </a:graphic>
          </wp:inline>
        </w:drawing>
      </w:r>
    </w:p>
    <w:p>
      <w:pPr>
        <w:pStyle w:val="CaptionLD"/>
      </w:pPr>
      <w:r>
        <w:t>Figura — Código passa por CI/CD e staging; o Admin apenas promove artefatos previamente aprovados.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160"/>
            <w:vAlign w:val="center"/>
          </w:tcPr>
          <w:p>
            <w:r>
              <w:rPr>
                <w:b/>
              </w:rPr>
              <w:t>Etapa</w:t>
            </w:r>
          </w:p>
        </w:tc>
        <w:tc>
          <w:tcPr>
            <w:tcW w:type="dxa" w:w="7632"/>
            <w:vAlign w:val="center"/>
          </w:tcPr>
          <w:p>
            <w:r>
              <w:rPr>
                <w:b/>
              </w:rPr>
              <w:t>Controle</w:t>
            </w:r>
          </w:p>
        </w:tc>
      </w:tr>
      <w:tr>
        <w:trPr>
          <w:cantSplit/>
        </w:trPr>
        <w:tc>
          <w:tcPr>
            <w:tcW w:type="dxa" w:w="2160"/>
            <w:vAlign w:val="top"/>
          </w:tcPr>
          <w:p>
            <w:r>
              <w:t>Build</w:t>
            </w:r>
          </w:p>
        </w:tc>
        <w:tc>
          <w:tcPr>
            <w:tcW w:type="dxa" w:w="7632"/>
            <w:vAlign w:val="top"/>
          </w:tcPr>
          <w:p>
            <w:r>
              <w:t>Imagem/container imutável; versão semântica/commit.</w:t>
            </w:r>
          </w:p>
        </w:tc>
      </w:tr>
      <w:tr>
        <w:trPr>
          <w:cantSplit/>
        </w:trPr>
        <w:tc>
          <w:tcPr>
            <w:tcW w:type="dxa" w:w="2160"/>
            <w:vAlign w:val="top"/>
          </w:tcPr>
          <w:p>
            <w:r>
              <w:t>Testes</w:t>
            </w:r>
          </w:p>
        </w:tc>
        <w:tc>
          <w:tcPr>
            <w:tcW w:type="dxa" w:w="7632"/>
            <w:vAlign w:val="top"/>
          </w:tcPr>
          <w:p>
            <w:r>
              <w:t>Unit, integration, e2e, segurança, migrations e evals IA.</w:t>
            </w:r>
          </w:p>
        </w:tc>
      </w:tr>
      <w:tr>
        <w:trPr>
          <w:cantSplit/>
        </w:trPr>
        <w:tc>
          <w:tcPr>
            <w:tcW w:type="dxa" w:w="2160"/>
            <w:vAlign w:val="top"/>
          </w:tcPr>
          <w:p>
            <w:r>
              <w:t>Artefato</w:t>
            </w:r>
          </w:p>
        </w:tc>
        <w:tc>
          <w:tcPr>
            <w:tcW w:type="dxa" w:w="7632"/>
            <w:vAlign w:val="top"/>
          </w:tcPr>
          <w:p>
            <w:r>
              <w:t>Registry privado, digest, assinatura e SBOM.</w:t>
            </w:r>
          </w:p>
        </w:tc>
      </w:tr>
      <w:tr>
        <w:trPr>
          <w:cantSplit/>
        </w:trPr>
        <w:tc>
          <w:tcPr>
            <w:tcW w:type="dxa" w:w="2160"/>
            <w:vAlign w:val="top"/>
          </w:tcPr>
          <w:p>
            <w:r>
              <w:t>Staging</w:t>
            </w:r>
          </w:p>
        </w:tc>
        <w:tc>
          <w:tcPr>
            <w:tcW w:type="dxa" w:w="7632"/>
            <w:vAlign w:val="top"/>
          </w:tcPr>
          <w:p>
            <w:r>
              <w:t>Dados de teste/sanitizados, smoke tests e aprovação.</w:t>
            </w:r>
          </w:p>
        </w:tc>
      </w:tr>
      <w:tr>
        <w:trPr>
          <w:cantSplit/>
        </w:trPr>
        <w:tc>
          <w:tcPr>
            <w:tcW w:type="dxa" w:w="2160"/>
            <w:vAlign w:val="top"/>
          </w:tcPr>
          <w:p>
            <w:r>
              <w:t>Canary</w:t>
            </w:r>
          </w:p>
        </w:tc>
        <w:tc>
          <w:tcPr>
            <w:tcW w:type="dxa" w:w="7632"/>
            <w:vAlign w:val="top"/>
          </w:tcPr>
          <w:p>
            <w:r>
              <w:t>Pequena porcentagem/tenants internos antes do rollout.</w:t>
            </w:r>
          </w:p>
        </w:tc>
      </w:tr>
      <w:tr>
        <w:trPr>
          <w:cantSplit/>
        </w:trPr>
        <w:tc>
          <w:tcPr>
            <w:tcW w:type="dxa" w:w="2160"/>
            <w:vAlign w:val="top"/>
          </w:tcPr>
          <w:p>
            <w:r>
              <w:t>Rollout</w:t>
            </w:r>
          </w:p>
        </w:tc>
        <w:tc>
          <w:tcPr>
            <w:tcW w:type="dxa" w:w="7632"/>
            <w:vAlign w:val="top"/>
          </w:tcPr>
          <w:p>
            <w:r>
              <w:t>Progressivo com health gates automáticos.</w:t>
            </w:r>
          </w:p>
        </w:tc>
      </w:tr>
      <w:tr>
        <w:trPr>
          <w:cantSplit/>
        </w:trPr>
        <w:tc>
          <w:tcPr>
            <w:tcW w:type="dxa" w:w="2160"/>
            <w:vAlign w:val="top"/>
          </w:tcPr>
          <w:p>
            <w:r>
              <w:t>Migration</w:t>
            </w:r>
          </w:p>
        </w:tc>
        <w:tc>
          <w:tcPr>
            <w:tcW w:type="dxa" w:w="7632"/>
            <w:vAlign w:val="top"/>
          </w:tcPr>
          <w:p>
            <w:r>
              <w:t>Compatibilidade backward/forward, dry-run quando possível e plano de rollback.</w:t>
            </w:r>
          </w:p>
        </w:tc>
      </w:tr>
      <w:tr>
        <w:trPr>
          <w:cantSplit/>
        </w:trPr>
        <w:tc>
          <w:tcPr>
            <w:tcW w:type="dxa" w:w="2160"/>
            <w:vAlign w:val="top"/>
          </w:tcPr>
          <w:p>
            <w:r>
              <w:t>Rollback</w:t>
            </w:r>
          </w:p>
        </w:tc>
        <w:tc>
          <w:tcPr>
            <w:tcW w:type="dxa" w:w="7632"/>
            <w:vAlign w:val="top"/>
          </w:tcPr>
          <w:p>
            <w:r>
              <w:t>Um comando/workflow para voltar à versão anterior ou desligar feature.</w:t>
            </w:r>
          </w:p>
        </w:tc>
      </w:tr>
    </w:tbl>
    <w:p/>
    <w:p>
      <w:pPr>
        <w:pStyle w:val="Heading2"/>
      </w:pPr>
      <w:r>
        <w:t>31.27 Tela de releases</w:t>
      </w:r>
    </w:p>
    <w:p>
      <w:pPr>
        <w:pStyle w:val="ListBullet"/>
      </w:pPr>
      <w:r>
        <w:t>Versão atual por ambiente.</w:t>
      </w:r>
    </w:p>
    <w:p>
      <w:pPr>
        <w:pStyle w:val="ListBullet"/>
      </w:pPr>
      <w:r>
        <w:t>Versões candidatas e commit/build ID.</w:t>
      </w:r>
    </w:p>
    <w:p>
      <w:pPr>
        <w:pStyle w:val="ListBullet"/>
      </w:pPr>
      <w:r>
        <w:t>Changelog técnico e para usuários.</w:t>
      </w:r>
    </w:p>
    <w:p>
      <w:pPr>
        <w:pStyle w:val="ListBullet"/>
      </w:pPr>
      <w:r>
        <w:t>Testes/evals/safety gates: PASS/FAIL.</w:t>
      </w:r>
    </w:p>
    <w:p>
      <w:pPr>
        <w:pStyle w:val="ListBullet"/>
      </w:pPr>
      <w:r>
        <w:t>Migrations envolvidas e risco estimado.</w:t>
      </w:r>
    </w:p>
    <w:p>
      <w:pPr>
        <w:pStyle w:val="ListBullet"/>
      </w:pPr>
      <w:r>
        <w:t>Feature flags incluídas.</w:t>
      </w:r>
    </w:p>
    <w:p>
      <w:pPr>
        <w:pStyle w:val="ListBullet"/>
      </w:pPr>
      <w:r>
        <w:t>Janela de manutenção.</w:t>
      </w:r>
    </w:p>
    <w:p>
      <w:pPr>
        <w:pStyle w:val="ListBullet"/>
      </w:pPr>
      <w:r>
        <w:t>Aprovações necessárias.</w:t>
      </w:r>
    </w:p>
    <w:p>
      <w:pPr>
        <w:pStyle w:val="ListBullet"/>
      </w:pPr>
      <w:r>
        <w:t>Canary progress e health indicators.</w:t>
      </w:r>
    </w:p>
    <w:p>
      <w:pPr>
        <w:pStyle w:val="ListBullet"/>
      </w:pPr>
      <w:r>
        <w:t>Rollback target.</w:t>
      </w:r>
    </w:p>
    <w:p>
      <w:pPr>
        <w:pStyle w:val="ListBullet"/>
      </w:pPr>
      <w:r>
        <w:t>Histórico de quem promoveu, quando e por quê.</w:t>
      </w:r>
    </w:p>
    <w:p>
      <w:pPr>
        <w:pStyle w:val="Heading2"/>
      </w:pPr>
      <w:r>
        <w:t>31.28 Gestão de banco e migrations</w:t>
      </w:r>
    </w:p>
    <w:p>
      <w:pPr>
        <w:pStyle w:val="ListBullet"/>
      </w:pPr>
      <w:r>
        <w:t>Nunca editar schema de produção manualmente pelo painel.</w:t>
      </w:r>
    </w:p>
    <w:p>
      <w:pPr>
        <w:pStyle w:val="ListBullet"/>
      </w:pPr>
      <w:r>
        <w:t>Migrations são código versionado e entram no release.</w:t>
      </w:r>
    </w:p>
    <w:p>
      <w:pPr>
        <w:pStyle w:val="ListBullet"/>
      </w:pPr>
      <w:r>
        <w:t>Preferir expand/contract para mudanças sem downtime.</w:t>
      </w:r>
    </w:p>
    <w:p>
      <w:pPr>
        <w:pStyle w:val="ListBullet"/>
      </w:pPr>
      <w:r>
        <w:t>Backup/PITR validado antes de migrações críticas.</w:t>
      </w:r>
    </w:p>
    <w:p>
      <w:pPr>
        <w:pStyle w:val="ListBullet"/>
      </w:pPr>
      <w:r>
        <w:t>Migrations longas executadas como jobs observáveis.</w:t>
      </w:r>
    </w:p>
    <w:p>
      <w:pPr>
        <w:pStyle w:val="ListBullet"/>
      </w:pPr>
      <w:r>
        <w:t>Admin pode pausar rollout se health checks falharem, não alterar SQL da migration.</w:t>
      </w:r>
    </w:p>
    <w:p>
      <w:pPr>
        <w:pStyle w:val="Heading2"/>
      </w:pPr>
      <w:r>
        <w:t>31.29 Backups, Disaster Recovery e continuidade</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592"/>
            <w:vAlign w:val="center"/>
          </w:tcPr>
          <w:p>
            <w:r>
              <w:rPr>
                <w:b/>
              </w:rPr>
              <w:t>Recurso</w:t>
            </w:r>
          </w:p>
        </w:tc>
        <w:tc>
          <w:tcPr>
            <w:tcW w:type="dxa" w:w="7200"/>
            <w:vAlign w:val="center"/>
          </w:tcPr>
          <w:p>
            <w:r>
              <w:rPr>
                <w:b/>
              </w:rPr>
              <w:t>Admin deve mostrar</w:t>
            </w:r>
          </w:p>
        </w:tc>
      </w:tr>
      <w:tr>
        <w:trPr>
          <w:cantSplit/>
        </w:trPr>
        <w:tc>
          <w:tcPr>
            <w:tcW w:type="dxa" w:w="2592"/>
            <w:vAlign w:val="top"/>
          </w:tcPr>
          <w:p>
            <w:r>
              <w:t>PostgreSQL/PostGIS</w:t>
            </w:r>
          </w:p>
        </w:tc>
        <w:tc>
          <w:tcPr>
            <w:tcW w:type="dxa" w:w="7200"/>
            <w:vAlign w:val="top"/>
          </w:tcPr>
          <w:p>
            <w:r>
              <w:t>Último backup, PITR, retenção, teste de restore e replica.</w:t>
            </w:r>
          </w:p>
        </w:tc>
      </w:tr>
      <w:tr>
        <w:trPr>
          <w:cantSplit/>
        </w:trPr>
        <w:tc>
          <w:tcPr>
            <w:tcW w:type="dxa" w:w="2592"/>
            <w:vAlign w:val="top"/>
          </w:tcPr>
          <w:p>
            <w:r>
              <w:t>Object Storage</w:t>
            </w:r>
          </w:p>
        </w:tc>
        <w:tc>
          <w:tcPr>
            <w:tcW w:type="dxa" w:w="7200"/>
            <w:vAlign w:val="top"/>
          </w:tcPr>
          <w:p>
            <w:r>
              <w:t>Versioning, lifecycle, replication e integridade.</w:t>
            </w:r>
          </w:p>
        </w:tc>
      </w:tr>
      <w:tr>
        <w:trPr>
          <w:cantSplit/>
        </w:trPr>
        <w:tc>
          <w:tcPr>
            <w:tcW w:type="dxa" w:w="2592"/>
            <w:vAlign w:val="top"/>
          </w:tcPr>
          <w:p>
            <w:r>
              <w:t>Secrets</w:t>
            </w:r>
          </w:p>
        </w:tc>
        <w:tc>
          <w:tcPr>
            <w:tcW w:type="dxa" w:w="7200"/>
            <w:vAlign w:val="top"/>
          </w:tcPr>
          <w:p>
            <w:r>
              <w:t>Rotação/status; nunca exibir valor bruto.</w:t>
            </w:r>
          </w:p>
        </w:tc>
      </w:tr>
      <w:tr>
        <w:trPr>
          <w:cantSplit/>
        </w:trPr>
        <w:tc>
          <w:tcPr>
            <w:tcW w:type="dxa" w:w="2592"/>
            <w:vAlign w:val="top"/>
          </w:tcPr>
          <w:p>
            <w:r>
              <w:t>Config</w:t>
            </w:r>
          </w:p>
        </w:tc>
        <w:tc>
          <w:tcPr>
            <w:tcW w:type="dxa" w:w="7200"/>
            <w:vAlign w:val="top"/>
          </w:tcPr>
          <w:p>
            <w:r>
              <w:t>Versionamento e exportação.</w:t>
            </w:r>
          </w:p>
        </w:tc>
      </w:tr>
      <w:tr>
        <w:trPr>
          <w:cantSplit/>
        </w:trPr>
        <w:tc>
          <w:tcPr>
            <w:tcW w:type="dxa" w:w="2592"/>
            <w:vAlign w:val="top"/>
          </w:tcPr>
          <w:p>
            <w:r>
              <w:t>RPO/RTO</w:t>
            </w:r>
          </w:p>
        </w:tc>
        <w:tc>
          <w:tcPr>
            <w:tcW w:type="dxa" w:w="7200"/>
            <w:vAlign w:val="top"/>
          </w:tcPr>
          <w:p>
            <w:r>
              <w:t>Meta por componente e último teste de DR.</w:t>
            </w:r>
          </w:p>
        </w:tc>
      </w:tr>
      <w:tr>
        <w:trPr>
          <w:cantSplit/>
        </w:trPr>
        <w:tc>
          <w:tcPr>
            <w:tcW w:type="dxa" w:w="2592"/>
            <w:vAlign w:val="top"/>
          </w:tcPr>
          <w:p>
            <w:r>
              <w:t>Runbooks</w:t>
            </w:r>
          </w:p>
        </w:tc>
        <w:tc>
          <w:tcPr>
            <w:tcW w:type="dxa" w:w="7200"/>
            <w:vAlign w:val="top"/>
          </w:tcPr>
          <w:p>
            <w:r>
              <w:t>Procedimentos de restore/failover revisados.</w:t>
            </w:r>
          </w:p>
        </w:tc>
      </w:tr>
    </w:tbl>
    <w:p/>
    <w:p>
      <w:pPr>
        <w:pStyle w:val="Heading2"/>
      </w:pPr>
      <w:r>
        <w:t>31.30 Segurança administrativa</w:t>
      </w:r>
    </w:p>
    <w:p>
      <w:r>
        <w:t>OWASP recomenda MFA para contas privilegiadas e logging explícito de ações administrativas; mudanças de privilégios, uso de contas de emergência, import/export e alterações de configuração devem fazer parte da trilha de auditoria [R103][R104].</w:t>
      </w:r>
    </w:p>
    <w:p>
      <w:pPr>
        <w:pStyle w:val="ListBullet"/>
      </w:pPr>
      <w:r>
        <w:t>MFA/passkeys obrigatório; recovery forte e auditado.</w:t>
      </w:r>
    </w:p>
    <w:p>
      <w:pPr>
        <w:pStyle w:val="ListBullet"/>
      </w:pPr>
      <w:r>
        <w:t>IP allowlist opcional para funções de alto privilégio.</w:t>
      </w:r>
    </w:p>
    <w:p>
      <w:pPr>
        <w:pStyle w:val="ListBullet"/>
      </w:pPr>
      <w:r>
        <w:t>Step-up para billing, refund, release, secret rotation e impersonation.</w:t>
      </w:r>
    </w:p>
    <w:p>
      <w:pPr>
        <w:pStyle w:val="ListBullet"/>
      </w:pPr>
      <w:r>
        <w:t>CSRF, CSP, rate limits e sessão separada do app de clientes.</w:t>
      </w:r>
    </w:p>
    <w:p>
      <w:pPr>
        <w:pStyle w:val="ListBullet"/>
      </w:pPr>
      <w:r>
        <w:t>Admin em hostname/origin distinto, por exemplo admin.dominio.</w:t>
      </w:r>
    </w:p>
    <w:p>
      <w:pPr>
        <w:pStyle w:val="ListBullet"/>
      </w:pPr>
      <w:r>
        <w:t>Secrets somente em secret manager; UI mostra referência/status, não valor.</w:t>
      </w:r>
    </w:p>
    <w:p>
      <w:pPr>
        <w:pStyle w:val="ListBullet"/>
      </w:pPr>
      <w:r>
        <w:t>WAF e detecção de comportamento anômalo.</w:t>
      </w:r>
    </w:p>
    <w:p>
      <w:pPr>
        <w:pStyle w:val="ListBullet"/>
      </w:pPr>
      <w:r>
        <w:t>Exportações sensíveis com watermark, justificativa e expiração.</w:t>
      </w:r>
    </w:p>
    <w:p>
      <w:pPr>
        <w:pStyle w:val="ListBullet"/>
      </w:pPr>
      <w:r>
        <w:t>Break-glass account mantida offline/segura e testada periodicamente.</w:t>
      </w:r>
    </w:p>
    <w:p>
      <w:pPr>
        <w:pStyle w:val="Heading2"/>
      </w:pPr>
      <w:r>
        <w:t>31.31 Auditoria imutável</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160"/>
            <w:vAlign w:val="center"/>
          </w:tcPr>
          <w:p>
            <w:r>
              <w:rPr>
                <w:b/>
              </w:rPr>
              <w:t>Campo</w:t>
            </w:r>
          </w:p>
        </w:tc>
        <w:tc>
          <w:tcPr>
            <w:tcW w:type="dxa" w:w="7632"/>
            <w:vAlign w:val="center"/>
          </w:tcPr>
          <w:p>
            <w:r>
              <w:rPr>
                <w:b/>
              </w:rPr>
              <w:t>Exemplo</w:t>
            </w:r>
          </w:p>
        </w:tc>
      </w:tr>
      <w:tr>
        <w:trPr>
          <w:cantSplit/>
        </w:trPr>
        <w:tc>
          <w:tcPr>
            <w:tcW w:type="dxa" w:w="2160"/>
            <w:vAlign w:val="top"/>
          </w:tcPr>
          <w:p>
            <w:r>
              <w:t>actor</w:t>
            </w:r>
          </w:p>
        </w:tc>
        <w:tc>
          <w:tcPr>
            <w:tcW w:type="dxa" w:w="7632"/>
            <w:vAlign w:val="top"/>
          </w:tcPr>
          <w:p>
            <w:r>
              <w:t>admin_user_id / service identity</w:t>
            </w:r>
          </w:p>
        </w:tc>
      </w:tr>
      <w:tr>
        <w:trPr>
          <w:cantSplit/>
        </w:trPr>
        <w:tc>
          <w:tcPr>
            <w:tcW w:type="dxa" w:w="2160"/>
            <w:vAlign w:val="top"/>
          </w:tcPr>
          <w:p>
            <w:r>
              <w:t>action</w:t>
            </w:r>
          </w:p>
        </w:tc>
        <w:tc>
          <w:tcPr>
            <w:tcW w:type="dxa" w:w="7632"/>
            <w:vAlign w:val="top"/>
          </w:tcPr>
          <w:p>
            <w:r>
              <w:t>subscription.refund / plan.publish / release.promote</w:t>
            </w:r>
          </w:p>
        </w:tc>
      </w:tr>
      <w:tr>
        <w:trPr>
          <w:cantSplit/>
        </w:trPr>
        <w:tc>
          <w:tcPr>
            <w:tcW w:type="dxa" w:w="2160"/>
            <w:vAlign w:val="top"/>
          </w:tcPr>
          <w:p>
            <w:r>
              <w:t>object</w:t>
            </w:r>
          </w:p>
        </w:tc>
        <w:tc>
          <w:tcPr>
            <w:tcW w:type="dxa" w:w="7632"/>
            <w:vAlign w:val="top"/>
          </w:tcPr>
          <w:p>
            <w:r>
              <w:t>tenant, payment, page, release, feature flag</w:t>
            </w:r>
          </w:p>
        </w:tc>
      </w:tr>
      <w:tr>
        <w:trPr>
          <w:cantSplit/>
        </w:trPr>
        <w:tc>
          <w:tcPr>
            <w:tcW w:type="dxa" w:w="2160"/>
            <w:vAlign w:val="top"/>
          </w:tcPr>
          <w:p>
            <w:r>
              <w:t>before / after</w:t>
            </w:r>
          </w:p>
        </w:tc>
        <w:tc>
          <w:tcPr>
            <w:tcW w:type="dxa" w:w="7632"/>
            <w:vAlign w:val="top"/>
          </w:tcPr>
          <w:p>
            <w:r>
              <w:t>Diff estruturado sem segredos.</w:t>
            </w:r>
          </w:p>
        </w:tc>
      </w:tr>
      <w:tr>
        <w:trPr>
          <w:cantSplit/>
        </w:trPr>
        <w:tc>
          <w:tcPr>
            <w:tcW w:type="dxa" w:w="2160"/>
            <w:vAlign w:val="top"/>
          </w:tcPr>
          <w:p>
            <w:r>
              <w:t>reason</w:t>
            </w:r>
          </w:p>
        </w:tc>
        <w:tc>
          <w:tcPr>
            <w:tcW w:type="dxa" w:w="7632"/>
            <w:vAlign w:val="top"/>
          </w:tcPr>
          <w:p>
            <w:r>
              <w:t>Obrigatório para ações críticas.</w:t>
            </w:r>
          </w:p>
        </w:tc>
      </w:tr>
      <w:tr>
        <w:trPr>
          <w:cantSplit/>
        </w:trPr>
        <w:tc>
          <w:tcPr>
            <w:tcW w:type="dxa" w:w="2160"/>
            <w:vAlign w:val="top"/>
          </w:tcPr>
          <w:p>
            <w:r>
              <w:t>approval</w:t>
            </w:r>
          </w:p>
        </w:tc>
        <w:tc>
          <w:tcPr>
            <w:tcW w:type="dxa" w:w="7632"/>
            <w:vAlign w:val="top"/>
          </w:tcPr>
          <w:p>
            <w:r>
              <w:t>Segundo aprovador quando necessário.</w:t>
            </w:r>
          </w:p>
        </w:tc>
      </w:tr>
      <w:tr>
        <w:trPr>
          <w:cantSplit/>
        </w:trPr>
        <w:tc>
          <w:tcPr>
            <w:tcW w:type="dxa" w:w="2160"/>
            <w:vAlign w:val="top"/>
          </w:tcPr>
          <w:p>
            <w:r>
              <w:t>context</w:t>
            </w:r>
          </w:p>
        </w:tc>
        <w:tc>
          <w:tcPr>
            <w:tcW w:type="dxa" w:w="7632"/>
            <w:vAlign w:val="top"/>
          </w:tcPr>
          <w:p>
            <w:r>
              <w:t>IP, device, session, trace_id.</w:t>
            </w:r>
          </w:p>
        </w:tc>
      </w:tr>
      <w:tr>
        <w:trPr>
          <w:cantSplit/>
        </w:trPr>
        <w:tc>
          <w:tcPr>
            <w:tcW w:type="dxa" w:w="2160"/>
            <w:vAlign w:val="top"/>
          </w:tcPr>
          <w:p>
            <w:r>
              <w:t>timestamp</w:t>
            </w:r>
          </w:p>
        </w:tc>
        <w:tc>
          <w:tcPr>
            <w:tcW w:type="dxa" w:w="7632"/>
            <w:vAlign w:val="top"/>
          </w:tcPr>
          <w:p>
            <w:r>
              <w:t>UTC + exibição local.</w:t>
            </w:r>
          </w:p>
        </w:tc>
      </w:tr>
      <w:tr>
        <w:trPr>
          <w:cantSplit/>
        </w:trPr>
        <w:tc>
          <w:tcPr>
            <w:tcW w:type="dxa" w:w="2160"/>
            <w:vAlign w:val="top"/>
          </w:tcPr>
          <w:p>
            <w:r>
              <w:t>integrity</w:t>
            </w:r>
          </w:p>
        </w:tc>
        <w:tc>
          <w:tcPr>
            <w:tcW w:type="dxa" w:w="7632"/>
            <w:vAlign w:val="top"/>
          </w:tcPr>
          <w:p>
            <w:r>
              <w:t>Armazenamento protegido contra alteração/remoção comum.</w:t>
            </w:r>
          </w:p>
        </w:tc>
      </w:tr>
    </w:tbl>
    <w:p/>
    <w:p>
      <w:pPr>
        <w:pStyle w:val="Heading2"/>
      </w:pPr>
      <w:r>
        <w:t>31.32 LGPD e operações de privacidade</w:t>
      </w:r>
    </w:p>
    <w:p>
      <w:pPr>
        <w:pStyle w:val="ListBullet"/>
      </w:pPr>
      <w:r>
        <w:t>Inventário de dados e finalidade por módulo.</w:t>
      </w:r>
    </w:p>
    <w:p>
      <w:pPr>
        <w:pStyle w:val="ListBullet"/>
      </w:pPr>
      <w:r>
        <w:t>Solicitações de acesso, correção, portabilidade e eliminação conforme aplicável.</w:t>
      </w:r>
    </w:p>
    <w:p>
      <w:pPr>
        <w:pStyle w:val="ListBullet"/>
      </w:pPr>
      <w:r>
        <w:t>Retention policies por categoria.</w:t>
      </w:r>
    </w:p>
    <w:p>
      <w:pPr>
        <w:pStyle w:val="ListBullet"/>
      </w:pPr>
      <w:r>
        <w:t>Legal hold quando necessário.</w:t>
      </w:r>
    </w:p>
    <w:p>
      <w:pPr>
        <w:pStyle w:val="ListBullet"/>
      </w:pPr>
      <w:r>
        <w:t>Consentimentos e preferências de marketing separados do contrato do serviço.</w:t>
      </w:r>
    </w:p>
    <w:p>
      <w:pPr>
        <w:pStyle w:val="ListBullet"/>
      </w:pPr>
      <w:r>
        <w:t>Exportação por tenant/usuário em formato apropriado.</w:t>
      </w:r>
    </w:p>
    <w:p>
      <w:pPr>
        <w:pStyle w:val="ListBullet"/>
      </w:pPr>
      <w:r>
        <w:t>Anonimização/pseudonimização para analytics e AI evals quando possível.</w:t>
      </w:r>
    </w:p>
    <w:p>
      <w:pPr>
        <w:pStyle w:val="ListBullet"/>
      </w:pPr>
      <w:r>
        <w:t>Subprocessadores registrados e revisados.</w:t>
      </w:r>
    </w:p>
    <w:p>
      <w:pPr>
        <w:pStyle w:val="Heading2"/>
      </w:pPr>
      <w:r>
        <w:t>31.33 E-mail, notificações e templates</w:t>
      </w:r>
    </w:p>
    <w:p>
      <w:pPr>
        <w:pStyle w:val="ListBullet"/>
      </w:pPr>
      <w:r>
        <w:t>Templates transacionais versionados: signup, convite, cobrança, falha, cancelamento, relatório, segurança.</w:t>
      </w:r>
    </w:p>
    <w:p>
      <w:pPr>
        <w:pStyle w:val="ListBullet"/>
      </w:pPr>
      <w:r>
        <w:t>Editor seguro com preview desktop/mobile.</w:t>
      </w:r>
    </w:p>
    <w:p>
      <w:pPr>
        <w:pStyle w:val="ListBullet"/>
      </w:pPr>
      <w:r>
        <w:t>Variáveis tipadas; bloquear template se variável obrigatória estiver faltando.</w:t>
      </w:r>
    </w:p>
    <w:p>
      <w:pPr>
        <w:pStyle w:val="ListBullet"/>
      </w:pPr>
      <w:r>
        <w:t>Preferências e opt-out para marketing; transacional tratado separadamente.</w:t>
      </w:r>
    </w:p>
    <w:p>
      <w:pPr>
        <w:pStyle w:val="ListBullet"/>
      </w:pPr>
      <w:r>
        <w:t>Fila, retry, bounce/complaint e reputação.</w:t>
      </w:r>
    </w:p>
    <w:p>
      <w:pPr>
        <w:pStyle w:val="ListBullet"/>
      </w:pPr>
      <w:r>
        <w:t>Histórico de envio por evento sem armazenar conteúdo sensível desnecessariamente.</w:t>
      </w:r>
    </w:p>
    <w:p>
      <w:pPr>
        <w:pStyle w:val="Heading2"/>
      </w:pPr>
      <w:r>
        <w:t>31.34 Jobs e automações</w:t>
      </w:r>
    </w:p>
    <w:p>
      <w:r>
        <w:t>O Admin precisa de um Scheduler/Jobs Console para tarefas operacionais previamente registradas.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448"/>
            <w:vAlign w:val="center"/>
          </w:tcPr>
          <w:p>
            <w:r>
              <w:rPr>
                <w:b/>
              </w:rPr>
              <w:t>Job</w:t>
            </w:r>
          </w:p>
        </w:tc>
        <w:tc>
          <w:tcPr>
            <w:tcW w:type="dxa" w:w="7344"/>
            <w:vAlign w:val="center"/>
          </w:tcPr>
          <w:p>
            <w:r>
              <w:rPr>
                <w:b/>
              </w:rPr>
              <w:t>Controles</w:t>
            </w:r>
          </w:p>
        </w:tc>
      </w:tr>
      <w:tr>
        <w:trPr>
          <w:cantSplit/>
        </w:trPr>
        <w:tc>
          <w:tcPr>
            <w:tcW w:type="dxa" w:w="2448"/>
            <w:vAlign w:val="top"/>
          </w:tcPr>
          <w:p>
            <w:r>
              <w:t>ETL</w:t>
            </w:r>
          </w:p>
        </w:tc>
        <w:tc>
          <w:tcPr>
            <w:tcW w:type="dxa" w:w="7344"/>
            <w:vAlign w:val="top"/>
          </w:tcPr>
          <w:p>
            <w:r>
              <w:t>schedule, source, cursor, dry-run, retry, DLQ e impacto.</w:t>
            </w:r>
          </w:p>
        </w:tc>
      </w:tr>
      <w:tr>
        <w:trPr>
          <w:cantSplit/>
        </w:trPr>
        <w:tc>
          <w:tcPr>
            <w:tcW w:type="dxa" w:w="2448"/>
            <w:vAlign w:val="top"/>
          </w:tcPr>
          <w:p>
            <w:r>
              <w:t>Reindex AI</w:t>
            </w:r>
          </w:p>
        </w:tc>
        <w:tc>
          <w:tcPr>
            <w:tcW w:type="dxa" w:w="7344"/>
            <w:vAlign w:val="top"/>
          </w:tcPr>
          <w:p>
            <w:r>
              <w:t>coleção, modelo de embedding, batch, custo estimado e rollback de índice.</w:t>
            </w:r>
          </w:p>
        </w:tc>
      </w:tr>
      <w:tr>
        <w:trPr>
          <w:cantSplit/>
        </w:trPr>
        <w:tc>
          <w:tcPr>
            <w:tcW w:type="dxa" w:w="2448"/>
            <w:vAlign w:val="top"/>
          </w:tcPr>
          <w:p>
            <w:r>
              <w:t>Recalcular relatórios</w:t>
            </w:r>
          </w:p>
        </w:tc>
        <w:tc>
          <w:tcPr>
            <w:tcW w:type="dxa" w:w="7344"/>
            <w:vAlign w:val="top"/>
          </w:tcPr>
          <w:p>
            <w:r>
              <w:t>escopo geográfico/tenant, reason e throttling.</w:t>
            </w:r>
          </w:p>
        </w:tc>
      </w:tr>
      <w:tr>
        <w:trPr>
          <w:cantSplit/>
        </w:trPr>
        <w:tc>
          <w:tcPr>
            <w:tcW w:type="dxa" w:w="2448"/>
            <w:vAlign w:val="top"/>
          </w:tcPr>
          <w:p>
            <w:r>
              <w:t>Billing reconciliation</w:t>
            </w:r>
          </w:p>
        </w:tc>
        <w:tc>
          <w:tcPr>
            <w:tcW w:type="dxa" w:w="7344"/>
            <w:vAlign w:val="top"/>
          </w:tcPr>
          <w:p>
            <w:r>
              <w:t>período, provider, arquivo/report e resultado.</w:t>
            </w:r>
          </w:p>
        </w:tc>
      </w:tr>
      <w:tr>
        <w:trPr>
          <w:cantSplit/>
        </w:trPr>
        <w:tc>
          <w:tcPr>
            <w:tcW w:type="dxa" w:w="2448"/>
            <w:vAlign w:val="top"/>
          </w:tcPr>
          <w:p>
            <w:r>
              <w:t>Fiscal retry</w:t>
            </w:r>
          </w:p>
        </w:tc>
        <w:tc>
          <w:tcPr>
            <w:tcW w:type="dxa" w:w="7344"/>
            <w:vAlign w:val="top"/>
          </w:tcPr>
          <w:p>
            <w:r>
              <w:t>NFS-e pendentes/falhas.</w:t>
            </w:r>
          </w:p>
        </w:tc>
      </w:tr>
      <w:tr>
        <w:trPr>
          <w:cantSplit/>
        </w:trPr>
        <w:tc>
          <w:tcPr>
            <w:tcW w:type="dxa" w:w="2448"/>
            <w:vAlign w:val="top"/>
          </w:tcPr>
          <w:p>
            <w:r>
              <w:t>Cleanup</w:t>
            </w:r>
          </w:p>
        </w:tc>
        <w:tc>
          <w:tcPr>
            <w:tcW w:type="dxa" w:w="7344"/>
            <w:vAlign w:val="top"/>
          </w:tcPr>
          <w:p>
            <w:r>
              <w:t>retenção, arquivos temporários e segurança.</w:t>
            </w:r>
          </w:p>
        </w:tc>
      </w:tr>
    </w:tbl>
    <w:p/>
    <w:p>
      <w:r>
        <w:t>A interface nunca oferece “execute qualquer comando”; jobs são implementações previamente aprovadas e parametrizadas.</w:t>
      </w:r>
    </w:p>
    <w:p>
      <w:pPr>
        <w:pStyle w:val="Heading2"/>
      </w:pPr>
      <w:r>
        <w:t>31.35 Gestão de configurações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160"/>
            <w:vAlign w:val="center"/>
          </w:tcPr>
          <w:p>
            <w:r>
              <w:rPr>
                <w:b/>
              </w:rPr>
              <w:t>Tipo</w:t>
            </w:r>
          </w:p>
        </w:tc>
        <w:tc>
          <w:tcPr>
            <w:tcW w:type="dxa" w:w="7632"/>
            <w:vAlign w:val="center"/>
          </w:tcPr>
          <w:p>
            <w:r>
              <w:rPr>
                <w:b/>
              </w:rPr>
              <w:t>Política</w:t>
            </w:r>
          </w:p>
        </w:tc>
      </w:tr>
      <w:tr>
        <w:trPr>
          <w:cantSplit/>
        </w:trPr>
        <w:tc>
          <w:tcPr>
            <w:tcW w:type="dxa" w:w="2160"/>
            <w:vAlign w:val="top"/>
          </w:tcPr>
          <w:p>
            <w:r>
              <w:t>Public config</w:t>
            </w:r>
          </w:p>
        </w:tc>
        <w:tc>
          <w:tcPr>
            <w:tcW w:type="dxa" w:w="7632"/>
            <w:vAlign w:val="top"/>
          </w:tcPr>
          <w:p>
            <w:r>
              <w:t>Pode ser editada com schema, validação, histórico e rollback.</w:t>
            </w:r>
          </w:p>
        </w:tc>
      </w:tr>
      <w:tr>
        <w:trPr>
          <w:cantSplit/>
        </w:trPr>
        <w:tc>
          <w:tcPr>
            <w:tcW w:type="dxa" w:w="2160"/>
            <w:vAlign w:val="top"/>
          </w:tcPr>
          <w:p>
            <w:r>
              <w:t>Runtime config</w:t>
            </w:r>
          </w:p>
        </w:tc>
        <w:tc>
          <w:tcPr>
            <w:tcW w:type="dxa" w:w="7632"/>
            <w:vAlign w:val="top"/>
          </w:tcPr>
          <w:p>
            <w:r>
              <w:t>Mudanças sensíveis exigem aprovação e rollout.</w:t>
            </w:r>
          </w:p>
        </w:tc>
      </w:tr>
      <w:tr>
        <w:trPr>
          <w:cantSplit/>
        </w:trPr>
        <w:tc>
          <w:tcPr>
            <w:tcW w:type="dxa" w:w="2160"/>
            <w:vAlign w:val="top"/>
          </w:tcPr>
          <w:p>
            <w:r>
              <w:t>Secret</w:t>
            </w:r>
          </w:p>
        </w:tc>
        <w:tc>
          <w:tcPr>
            <w:tcW w:type="dxa" w:w="7632"/>
            <w:vAlign w:val="top"/>
          </w:tcPr>
          <w:p>
            <w:r>
              <w:t>Somente secret manager; UI nunca lê o valor após gravação.</w:t>
            </w:r>
          </w:p>
        </w:tc>
      </w:tr>
      <w:tr>
        <w:trPr>
          <w:cantSplit/>
        </w:trPr>
        <w:tc>
          <w:tcPr>
            <w:tcW w:type="dxa" w:w="2160"/>
            <w:vAlign w:val="top"/>
          </w:tcPr>
          <w:p>
            <w:r>
              <w:t>Tenant override</w:t>
            </w:r>
          </w:p>
        </w:tc>
        <w:tc>
          <w:tcPr>
            <w:tcW w:type="dxa" w:w="7632"/>
            <w:vAlign w:val="top"/>
          </w:tcPr>
          <w:p>
            <w:r>
              <w:t>Escopo explícito, validade e justificativa.</w:t>
            </w:r>
          </w:p>
        </w:tc>
      </w:tr>
      <w:tr>
        <w:trPr>
          <w:cantSplit/>
        </w:trPr>
        <w:tc>
          <w:tcPr>
            <w:tcW w:type="dxa" w:w="2160"/>
            <w:vAlign w:val="top"/>
          </w:tcPr>
          <w:p>
            <w:r>
              <w:t>Environment</w:t>
            </w:r>
          </w:p>
        </w:tc>
        <w:tc>
          <w:tcPr>
            <w:tcW w:type="dxa" w:w="7632"/>
            <w:vAlign w:val="top"/>
          </w:tcPr>
          <w:p>
            <w:r>
              <w:t>Dev/staging/prod isolados; configuração não é copiada cegamente.</w:t>
            </w:r>
          </w:p>
        </w:tc>
      </w:tr>
    </w:tbl>
    <w:p/>
    <w:p>
      <w:pPr>
        <w:pStyle w:val="Heading2"/>
      </w:pPr>
      <w:r>
        <w:t>31.36 App/API keys e integrações</w:t>
      </w:r>
    </w:p>
    <w:p>
      <w:pPr>
        <w:pStyle w:val="ListBullet"/>
      </w:pPr>
      <w:r>
        <w:t>Criar/revogar API keys com escopo e expiração.</w:t>
      </w:r>
    </w:p>
    <w:p>
      <w:pPr>
        <w:pStyle w:val="ListBullet"/>
      </w:pPr>
      <w:r>
        <w:t>Mostrar segredo uma única vez quando tecnicamente necessário.</w:t>
      </w:r>
    </w:p>
    <w:p>
      <w:pPr>
        <w:pStyle w:val="ListBullet"/>
      </w:pPr>
      <w:r>
        <w:t>Rotação e última utilização.</w:t>
      </w:r>
    </w:p>
    <w:p>
      <w:pPr>
        <w:pStyle w:val="ListBullet"/>
      </w:pPr>
      <w:r>
        <w:t>Webhook endpoints por cliente/integrador com assinatura.</w:t>
      </w:r>
    </w:p>
    <w:p>
      <w:pPr>
        <w:pStyle w:val="ListBullet"/>
      </w:pPr>
      <w:r>
        <w:t>OAuth clients/integrations quando houver ecossistema externo.</w:t>
      </w:r>
    </w:p>
    <w:p>
      <w:pPr>
        <w:pStyle w:val="ListBullet"/>
      </w:pPr>
      <w:r>
        <w:t>Rate limits e quotas por key.</w:t>
      </w:r>
    </w:p>
    <w:p>
      <w:pPr>
        <w:pStyle w:val="ListBullet"/>
      </w:pPr>
      <w:r>
        <w:t>Audit e anomaly detection.</w:t>
      </w:r>
    </w:p>
    <w:p>
      <w:pPr>
        <w:pStyle w:val="Heading2"/>
      </w:pPr>
      <w:r>
        <w:t>31.37 Mercado Pago: ambientes e credenciais</w:t>
      </w:r>
    </w:p>
    <w:p>
      <w:pPr>
        <w:pStyle w:val="ListBullet"/>
      </w:pPr>
      <w:r>
        <w:t>Credenciais de teste e produção completamente separadas.</w:t>
      </w:r>
    </w:p>
    <w:p>
      <w:pPr>
        <w:pStyle w:val="ListBullet"/>
      </w:pPr>
      <w:r>
        <w:t>Tokens em secret manager, nunca banco em texto nem CMS.</w:t>
      </w:r>
    </w:p>
    <w:p>
      <w:pPr>
        <w:pStyle w:val="ListBullet"/>
      </w:pPr>
      <w:r>
        <w:t>Webhook endpoint e secrets por ambiente.</w:t>
      </w:r>
    </w:p>
    <w:p>
      <w:pPr>
        <w:pStyle w:val="ListBullet"/>
      </w:pPr>
      <w:r>
        <w:t>Dashboard com health da integração e último evento processado.</w:t>
      </w:r>
    </w:p>
    <w:p>
      <w:pPr>
        <w:pStyle w:val="ListBullet"/>
      </w:pPr>
      <w:r>
        <w:t>Teste sintético recorrente no ambiente apropriado.</w:t>
      </w:r>
    </w:p>
    <w:p>
      <w:pPr>
        <w:pStyle w:val="ListBullet"/>
      </w:pPr>
      <w:r>
        <w:t>Runbook de rotação de credencial.</w:t>
      </w:r>
    </w:p>
    <w:p>
      <w:pPr>
        <w:pStyle w:val="Heading2"/>
      </w:pPr>
      <w:r>
        <w:t>31.38 Permissões para ações críticas</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880"/>
            <w:vAlign w:val="center"/>
          </w:tcPr>
          <w:p>
            <w:r>
              <w:rPr>
                <w:b/>
              </w:rPr>
              <w:t>Ação</w:t>
            </w:r>
          </w:p>
        </w:tc>
        <w:tc>
          <w:tcPr>
            <w:tcW w:type="dxa" w:w="6912"/>
            <w:vAlign w:val="center"/>
          </w:tcPr>
          <w:p>
            <w:r>
              <w:rPr>
                <w:b/>
              </w:rPr>
              <w:t>Controle mínimo</w:t>
            </w:r>
          </w:p>
        </w:tc>
      </w:tr>
      <w:tr>
        <w:trPr>
          <w:cantSplit/>
        </w:trPr>
        <w:tc>
          <w:tcPr>
            <w:tcW w:type="dxa" w:w="2880"/>
            <w:vAlign w:val="top"/>
          </w:tcPr>
          <w:p>
            <w:r>
              <w:t>Refund alto valor</w:t>
            </w:r>
          </w:p>
        </w:tc>
        <w:tc>
          <w:tcPr>
            <w:tcW w:type="dxa" w:w="6912"/>
            <w:vAlign w:val="top"/>
          </w:tcPr>
          <w:p>
            <w:r>
              <w:t>Financeiro + step-up + segunda aprovação.</w:t>
            </w:r>
          </w:p>
        </w:tc>
      </w:tr>
      <w:tr>
        <w:trPr>
          <w:cantSplit/>
        </w:trPr>
        <w:tc>
          <w:tcPr>
            <w:tcW w:type="dxa" w:w="2880"/>
            <w:vAlign w:val="top"/>
          </w:tcPr>
          <w:p>
            <w:r>
              <w:t>Alterar preço publicado</w:t>
            </w:r>
          </w:p>
        </w:tc>
        <w:tc>
          <w:tcPr>
            <w:tcW w:type="dxa" w:w="6912"/>
            <w:vAlign w:val="top"/>
          </w:tcPr>
          <w:p>
            <w:r>
              <w:t>Product/Finance + preview de impacto + scheduled change.</w:t>
            </w:r>
          </w:p>
        </w:tc>
      </w:tr>
      <w:tr>
        <w:trPr>
          <w:cantSplit/>
        </w:trPr>
        <w:tc>
          <w:tcPr>
            <w:tcW w:type="dxa" w:w="2880"/>
            <w:vAlign w:val="top"/>
          </w:tcPr>
          <w:p>
            <w:r>
              <w:t>Suspender tenant</w:t>
            </w:r>
          </w:p>
        </w:tc>
        <w:tc>
          <w:tcPr>
            <w:tcW w:type="dxa" w:w="6912"/>
            <w:vAlign w:val="top"/>
          </w:tcPr>
          <w:p>
            <w:r>
              <w:t>Reason obrigatório; notificação e audit.</w:t>
            </w:r>
          </w:p>
        </w:tc>
      </w:tr>
      <w:tr>
        <w:trPr>
          <w:cantSplit/>
        </w:trPr>
        <w:tc>
          <w:tcPr>
            <w:tcW w:type="dxa" w:w="2880"/>
            <w:vAlign w:val="top"/>
          </w:tcPr>
          <w:p>
            <w:r>
              <w:t>Promover release</w:t>
            </w:r>
          </w:p>
        </w:tc>
        <w:tc>
          <w:tcPr>
            <w:tcW w:type="dxa" w:w="6912"/>
            <w:vAlign w:val="top"/>
          </w:tcPr>
          <w:p>
            <w:r>
              <w:t>Release Manager + gates verdes; dupla aprovação em produção crítica.</w:t>
            </w:r>
          </w:p>
        </w:tc>
      </w:tr>
      <w:tr>
        <w:trPr>
          <w:cantSplit/>
        </w:trPr>
        <w:tc>
          <w:tcPr>
            <w:tcW w:type="dxa" w:w="2880"/>
            <w:vAlign w:val="top"/>
          </w:tcPr>
          <w:p>
            <w:r>
              <w:t>Rollback</w:t>
            </w:r>
          </w:p>
        </w:tc>
        <w:tc>
          <w:tcPr>
            <w:tcW w:type="dxa" w:w="6912"/>
            <w:vAlign w:val="top"/>
          </w:tcPr>
          <w:p>
            <w:r>
              <w:t>Release/SRE; permitir resposta rápida com audit posterior conforme incidente.</w:t>
            </w:r>
          </w:p>
        </w:tc>
      </w:tr>
      <w:tr>
        <w:trPr>
          <w:cantSplit/>
        </w:trPr>
        <w:tc>
          <w:tcPr>
            <w:tcW w:type="dxa" w:w="2880"/>
            <w:vAlign w:val="top"/>
          </w:tcPr>
          <w:p>
            <w:r>
              <w:t>Rotacionar secret</w:t>
            </w:r>
          </w:p>
        </w:tc>
        <w:tc>
          <w:tcPr>
            <w:tcW w:type="dxa" w:w="6912"/>
            <w:vAlign w:val="top"/>
          </w:tcPr>
          <w:p>
            <w:r>
              <w:t>Security/SRE + step-up.</w:t>
            </w:r>
          </w:p>
        </w:tc>
      </w:tr>
      <w:tr>
        <w:trPr>
          <w:cantSplit/>
        </w:trPr>
        <w:tc>
          <w:tcPr>
            <w:tcW w:type="dxa" w:w="2880"/>
            <w:vAlign w:val="top"/>
          </w:tcPr>
          <w:p>
            <w:r>
              <w:t>Exportar dados sensíveis</w:t>
            </w:r>
          </w:p>
        </w:tc>
        <w:tc>
          <w:tcPr>
            <w:tcW w:type="dxa" w:w="6912"/>
            <w:vAlign w:val="top"/>
          </w:tcPr>
          <w:p>
            <w:r>
              <w:t>Permissão específica + reason + arquivo expirável.</w:t>
            </w:r>
          </w:p>
        </w:tc>
      </w:tr>
      <w:tr>
        <w:trPr>
          <w:cantSplit/>
        </w:trPr>
        <w:tc>
          <w:tcPr>
            <w:tcW w:type="dxa" w:w="2880"/>
            <w:vAlign w:val="top"/>
          </w:tcPr>
          <w:p>
            <w:r>
              <w:t>Impersonation write</w:t>
            </w:r>
          </w:p>
        </w:tc>
        <w:tc>
          <w:tcPr>
            <w:tcW w:type="dxa" w:w="6912"/>
            <w:vAlign w:val="top"/>
          </w:tcPr>
          <w:p>
            <w:r>
              <w:t>Suporte elevado + aprovação/consentimento conforme política.</w:t>
            </w:r>
          </w:p>
        </w:tc>
      </w:tr>
    </w:tbl>
    <w:p/>
    <w:p>
      <w:pPr>
        <w:pStyle w:val="Heading2"/>
      </w:pPr>
      <w:r>
        <w:t>31.39 Busca global do Admin</w:t>
      </w:r>
    </w:p>
    <w:p>
      <w:r>
        <w:t>Uma busca global acelera operação, mas precisa respeitar permissões. Deve localizar tenant, usuário, payment ID, invoice, ticket, trace, project, municipality, condominium, source/job e release sem expor conteúdo ao perfil errado.</w:t>
      </w:r>
    </w:p>
    <w:p>
      <w:pPr>
        <w:pStyle w:val="Heading2"/>
      </w:pPr>
      <w:r>
        <w:t>31.40 Alertas e regras operacionais</w:t>
      </w:r>
    </w:p>
    <w:p>
      <w:pPr>
        <w:pStyle w:val="ListBullet"/>
      </w:pPr>
      <w:r>
        <w:t>MRR/churn fora de faixa.</w:t>
      </w:r>
    </w:p>
    <w:p>
      <w:pPr>
        <w:pStyle w:val="ListBullet"/>
      </w:pPr>
      <w:r>
        <w:t>Taxa de pagamento recusado acima do baseline.</w:t>
      </w:r>
    </w:p>
    <w:p>
      <w:pPr>
        <w:pStyle w:val="ListBullet"/>
      </w:pPr>
      <w:r>
        <w:t>Webhook Mercado Pago sem eventos/erro elevado.</w:t>
      </w:r>
    </w:p>
    <w:p>
      <w:pPr>
        <w:pStyle w:val="ListBullet"/>
      </w:pPr>
      <w:r>
        <w:t>Conciliação com divergência.</w:t>
      </w:r>
    </w:p>
    <w:p>
      <w:pPr>
        <w:pStyle w:val="ListBullet"/>
      </w:pPr>
      <w:r>
        <w:t>Custo de IA excedendo orçamento de tenant/plano.</w:t>
      </w:r>
    </w:p>
    <w:p>
      <w:pPr>
        <w:pStyle w:val="ListBullet"/>
      </w:pPr>
      <w:r>
        <w:t>ETL crítico atrasado.</w:t>
      </w:r>
    </w:p>
    <w:p>
      <w:pPr>
        <w:pStyle w:val="ListBullet"/>
      </w:pPr>
      <w:r>
        <w:t>Fila crescendo acima do SLO.</w:t>
      </w:r>
    </w:p>
    <w:p>
      <w:pPr>
        <w:pStyle w:val="ListBullet"/>
      </w:pPr>
      <w:r>
        <w:t>Backup atrasado ou restore test vencido.</w:t>
      </w:r>
    </w:p>
    <w:p>
      <w:pPr>
        <w:pStyle w:val="ListBullet"/>
      </w:pPr>
      <w:r>
        <w:t>Erro após release/canary.</w:t>
      </w:r>
    </w:p>
    <w:p>
      <w:pPr>
        <w:pStyle w:val="ListBullet"/>
      </w:pPr>
      <w:r>
        <w:t>Cross-tenant/security anomaly.</w:t>
      </w:r>
    </w:p>
    <w:p>
      <w:pPr>
        <w:pStyle w:val="Heading2"/>
      </w:pPr>
      <w:r>
        <w:t>31.41 Banco de dados do Control Plane</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2160"/>
            <w:vAlign w:val="center"/>
          </w:tcPr>
          <w:p>
            <w:r>
              <w:rPr>
                <w:b/>
              </w:rPr>
              <w:t>Domínio</w:t>
            </w:r>
          </w:p>
        </w:tc>
        <w:tc>
          <w:tcPr>
            <w:tcW w:type="dxa" w:w="7632"/>
            <w:vAlign w:val="center"/>
          </w:tcPr>
          <w:p>
            <w:r>
              <w:rPr>
                <w:b/>
              </w:rPr>
              <w:t>Entidades principais</w:t>
            </w:r>
          </w:p>
        </w:tc>
      </w:tr>
      <w:tr>
        <w:trPr>
          <w:cantSplit/>
        </w:trPr>
        <w:tc>
          <w:tcPr>
            <w:tcW w:type="dxa" w:w="2160"/>
            <w:vAlign w:val="top"/>
          </w:tcPr>
          <w:p>
            <w:r>
              <w:t>admin</w:t>
            </w:r>
          </w:p>
        </w:tc>
        <w:tc>
          <w:tcPr>
            <w:tcW w:type="dxa" w:w="7632"/>
            <w:vAlign w:val="top"/>
          </w:tcPr>
          <w:p>
            <w:r>
              <w:t>admin_user, role, permission, approval, audit_event, support_session.</w:t>
            </w:r>
          </w:p>
        </w:tc>
      </w:tr>
      <w:tr>
        <w:trPr>
          <w:cantSplit/>
        </w:trPr>
        <w:tc>
          <w:tcPr>
            <w:tcW w:type="dxa" w:w="2160"/>
            <w:vAlign w:val="top"/>
          </w:tcPr>
          <w:p>
            <w:r>
              <w:t>tenant</w:t>
            </w:r>
          </w:p>
        </w:tc>
        <w:tc>
          <w:tcPr>
            <w:tcW w:type="dxa" w:w="7632"/>
            <w:vAlign w:val="top"/>
          </w:tcPr>
          <w:p>
            <w:r>
              <w:t>tenant, contract, lifecycle_event, health_score, entitlement_override.</w:t>
            </w:r>
          </w:p>
        </w:tc>
      </w:tr>
      <w:tr>
        <w:trPr>
          <w:cantSplit/>
        </w:trPr>
        <w:tc>
          <w:tcPr>
            <w:tcW w:type="dxa" w:w="2160"/>
            <w:vAlign w:val="top"/>
          </w:tcPr>
          <w:p>
            <w:r>
              <w:t>catalog</w:t>
            </w:r>
          </w:p>
        </w:tc>
        <w:tc>
          <w:tcPr>
            <w:tcW w:type="dxa" w:w="7632"/>
            <w:vAlign w:val="top"/>
          </w:tcPr>
          <w:p>
            <w:r>
              <w:t>product, plan, plan_version, price, addon, coupon, entitlement_definition.</w:t>
            </w:r>
          </w:p>
        </w:tc>
      </w:tr>
      <w:tr>
        <w:trPr>
          <w:cantSplit/>
        </w:trPr>
        <w:tc>
          <w:tcPr>
            <w:tcW w:type="dxa" w:w="2160"/>
            <w:vAlign w:val="top"/>
          </w:tcPr>
          <w:p>
            <w:r>
              <w:t>billing</w:t>
            </w:r>
          </w:p>
        </w:tc>
        <w:tc>
          <w:tcPr>
            <w:tcW w:type="dxa" w:w="7632"/>
            <w:vAlign w:val="top"/>
          </w:tcPr>
          <w:p>
            <w:r>
              <w:t>customer, subscription, invoice_cycle, payment, refund, dispute, webhook_event, ledger_entry, reconciliation.</w:t>
            </w:r>
          </w:p>
        </w:tc>
      </w:tr>
      <w:tr>
        <w:trPr>
          <w:cantSplit/>
        </w:trPr>
        <w:tc>
          <w:tcPr>
            <w:tcW w:type="dxa" w:w="2160"/>
            <w:vAlign w:val="top"/>
          </w:tcPr>
          <w:p>
            <w:r>
              <w:t>fiscal</w:t>
            </w:r>
          </w:p>
        </w:tc>
        <w:tc>
          <w:tcPr>
            <w:tcW w:type="dxa" w:w="7632"/>
            <w:vAlign w:val="top"/>
          </w:tcPr>
          <w:p>
            <w:r>
              <w:t>customer_profile, tax_profile, service_code, invoice, fiscal_event.</w:t>
            </w:r>
          </w:p>
        </w:tc>
      </w:tr>
      <w:tr>
        <w:trPr>
          <w:cantSplit/>
        </w:trPr>
        <w:tc>
          <w:tcPr>
            <w:tcW w:type="dxa" w:w="2160"/>
            <w:vAlign w:val="top"/>
          </w:tcPr>
          <w:p>
            <w:r>
              <w:t>cms</w:t>
            </w:r>
          </w:p>
        </w:tc>
        <w:tc>
          <w:tcPr>
            <w:tcW w:type="dxa" w:w="7632"/>
            <w:vAlign w:val="top"/>
          </w:tcPr>
          <w:p>
            <w:r>
              <w:t>page, page_version, block, media, menu, redirect, campaign, form.</w:t>
            </w:r>
          </w:p>
        </w:tc>
      </w:tr>
      <w:tr>
        <w:trPr>
          <w:cantSplit/>
        </w:trPr>
        <w:tc>
          <w:tcPr>
            <w:tcW w:type="dxa" w:w="2160"/>
            <w:vAlign w:val="top"/>
          </w:tcPr>
          <w:p>
            <w:r>
              <w:t>product</w:t>
            </w:r>
          </w:p>
        </w:tc>
        <w:tc>
          <w:tcPr>
            <w:tcW w:type="dxa" w:w="7632"/>
            <w:vAlign w:val="top"/>
          </w:tcPr>
          <w:p>
            <w:r>
              <w:t>feature_flag, experiment, config_entry, dashboard_definition.</w:t>
            </w:r>
          </w:p>
        </w:tc>
      </w:tr>
      <w:tr>
        <w:trPr>
          <w:cantSplit/>
        </w:trPr>
        <w:tc>
          <w:tcPr>
            <w:tcW w:type="dxa" w:w="2160"/>
            <w:vAlign w:val="top"/>
          </w:tcPr>
          <w:p>
            <w:r>
              <w:t>support</w:t>
            </w:r>
          </w:p>
        </w:tc>
        <w:tc>
          <w:tcPr>
            <w:tcW w:type="dxa" w:w="7632"/>
            <w:vAlign w:val="top"/>
          </w:tcPr>
          <w:p>
            <w:r>
              <w:t>ticket, comment, SLA, customer_note, notification.</w:t>
            </w:r>
          </w:p>
        </w:tc>
      </w:tr>
      <w:tr>
        <w:trPr>
          <w:cantSplit/>
        </w:trPr>
        <w:tc>
          <w:tcPr>
            <w:tcW w:type="dxa" w:w="2160"/>
            <w:vAlign w:val="top"/>
          </w:tcPr>
          <w:p>
            <w:r>
              <w:t>ops</w:t>
            </w:r>
          </w:p>
        </w:tc>
        <w:tc>
          <w:tcPr>
            <w:tcW w:type="dxa" w:w="7632"/>
            <w:vAlign w:val="top"/>
          </w:tcPr>
          <w:p>
            <w:r>
              <w:t>service, incident, job, job_run, maintenance, backup_status.</w:t>
            </w:r>
          </w:p>
        </w:tc>
      </w:tr>
      <w:tr>
        <w:trPr>
          <w:cantSplit/>
        </w:trPr>
        <w:tc>
          <w:tcPr>
            <w:tcW w:type="dxa" w:w="2160"/>
            <w:vAlign w:val="top"/>
          </w:tcPr>
          <w:p>
            <w:r>
              <w:t>release</w:t>
            </w:r>
          </w:p>
        </w:tc>
        <w:tc>
          <w:tcPr>
            <w:tcW w:type="dxa" w:w="7632"/>
            <w:vAlign w:val="top"/>
          </w:tcPr>
          <w:p>
            <w:r>
              <w:t>release, artifact, environment, deployment, approval, migration, rollback.</w:t>
            </w:r>
          </w:p>
        </w:tc>
      </w:tr>
      <w:tr>
        <w:trPr>
          <w:cantSplit/>
        </w:trPr>
        <w:tc>
          <w:tcPr>
            <w:tcW w:type="dxa" w:w="2160"/>
            <w:vAlign w:val="top"/>
          </w:tcPr>
          <w:p>
            <w:r>
              <w:t>ai_ops</w:t>
            </w:r>
          </w:p>
        </w:tc>
        <w:tc>
          <w:tcPr>
            <w:tcW w:type="dxa" w:w="7632"/>
            <w:vAlign w:val="top"/>
          </w:tcPr>
          <w:p>
            <w:r>
              <w:t>model_registry, prompt_version, eval_run, budget, trace_index.</w:t>
            </w:r>
          </w:p>
        </w:tc>
      </w:tr>
    </w:tbl>
    <w:p/>
    <w:p>
      <w:pPr>
        <w:pStyle w:val="Heading2"/>
      </w:pPr>
      <w:r>
        <w:t>31.42 APIs internas do Admin</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3744"/>
            <w:vAlign w:val="center"/>
          </w:tcPr>
          <w:p>
            <w:r>
              <w:rPr>
                <w:b/>
              </w:rPr>
              <w:t>Contrato</w:t>
            </w:r>
          </w:p>
        </w:tc>
        <w:tc>
          <w:tcPr>
            <w:tcW w:type="dxa" w:w="6048"/>
            <w:vAlign w:val="center"/>
          </w:tcPr>
          <w:p>
            <w:r>
              <w:rPr>
                <w:b/>
              </w:rPr>
              <w:t>Objetivo</w:t>
            </w:r>
          </w:p>
        </w:tc>
      </w:tr>
      <w:tr>
        <w:trPr>
          <w:cantSplit/>
        </w:trPr>
        <w:tc>
          <w:tcPr>
            <w:tcW w:type="dxa" w:w="3744"/>
            <w:vAlign w:val="top"/>
          </w:tcPr>
          <w:p>
            <w:r>
              <w:t>GET /admin/metrics/executive</w:t>
            </w:r>
          </w:p>
        </w:tc>
        <w:tc>
          <w:tcPr>
            <w:tcW w:type="dxa" w:w="6048"/>
            <w:vAlign w:val="top"/>
          </w:tcPr>
          <w:p>
            <w:r>
              <w:t>KPIs agregados autorizados.</w:t>
            </w:r>
          </w:p>
        </w:tc>
      </w:tr>
      <w:tr>
        <w:trPr>
          <w:cantSplit/>
        </w:trPr>
        <w:tc>
          <w:tcPr>
            <w:tcW w:type="dxa" w:w="3744"/>
            <w:vAlign w:val="top"/>
          </w:tcPr>
          <w:p>
            <w:r>
              <w:t>GET/POST /admin/tenants</w:t>
            </w:r>
          </w:p>
        </w:tc>
        <w:tc>
          <w:tcPr>
            <w:tcW w:type="dxa" w:w="6048"/>
            <w:vAlign w:val="top"/>
          </w:tcPr>
          <w:p>
            <w:r>
              <w:t>Lifecycle e configuração de tenants.</w:t>
            </w:r>
          </w:p>
        </w:tc>
      </w:tr>
      <w:tr>
        <w:trPr>
          <w:cantSplit/>
        </w:trPr>
        <w:tc>
          <w:tcPr>
            <w:tcW w:type="dxa" w:w="3744"/>
            <w:vAlign w:val="top"/>
          </w:tcPr>
          <w:p>
            <w:r>
              <w:t>POST /admin/billing/refunds</w:t>
            </w:r>
          </w:p>
        </w:tc>
        <w:tc>
          <w:tcPr>
            <w:tcW w:type="dxa" w:w="6048"/>
            <w:vAlign w:val="top"/>
          </w:tcPr>
          <w:p>
            <w:r>
              <w:t>Refund workflow autorizado.</w:t>
            </w:r>
          </w:p>
        </w:tc>
      </w:tr>
      <w:tr>
        <w:trPr>
          <w:cantSplit/>
        </w:trPr>
        <w:tc>
          <w:tcPr>
            <w:tcW w:type="dxa" w:w="3744"/>
            <w:vAlign w:val="top"/>
          </w:tcPr>
          <w:p>
            <w:r>
              <w:t>POST /admin/plans/{id}/publish</w:t>
            </w:r>
          </w:p>
        </w:tc>
        <w:tc>
          <w:tcPr>
            <w:tcW w:type="dxa" w:w="6048"/>
            <w:vAlign w:val="top"/>
          </w:tcPr>
          <w:p>
            <w:r>
              <w:t>Publicar versão comercial.</w:t>
            </w:r>
          </w:p>
        </w:tc>
      </w:tr>
      <w:tr>
        <w:trPr>
          <w:cantSplit/>
        </w:trPr>
        <w:tc>
          <w:tcPr>
            <w:tcW w:type="dxa" w:w="3744"/>
            <w:vAlign w:val="top"/>
          </w:tcPr>
          <w:p>
            <w:r>
              <w:t>POST /admin/entitlements/override</w:t>
            </w:r>
          </w:p>
        </w:tc>
        <w:tc>
          <w:tcPr>
            <w:tcW w:type="dxa" w:w="6048"/>
            <w:vAlign w:val="top"/>
          </w:tcPr>
          <w:p>
            <w:r>
              <w:t>Override temporal e auditável.</w:t>
            </w:r>
          </w:p>
        </w:tc>
      </w:tr>
      <w:tr>
        <w:trPr>
          <w:cantSplit/>
        </w:trPr>
        <w:tc>
          <w:tcPr>
            <w:tcW w:type="dxa" w:w="3744"/>
            <w:vAlign w:val="top"/>
          </w:tcPr>
          <w:p>
            <w:r>
              <w:t>GET/POST /admin/cms/pages</w:t>
            </w:r>
          </w:p>
        </w:tc>
        <w:tc>
          <w:tcPr>
            <w:tcW w:type="dxa" w:w="6048"/>
            <w:vAlign w:val="top"/>
          </w:tcPr>
          <w:p>
            <w:r>
              <w:t>CMS versionado.</w:t>
            </w:r>
          </w:p>
        </w:tc>
      </w:tr>
      <w:tr>
        <w:trPr>
          <w:cantSplit/>
        </w:trPr>
        <w:tc>
          <w:tcPr>
            <w:tcW w:type="dxa" w:w="3744"/>
            <w:vAlign w:val="top"/>
          </w:tcPr>
          <w:p>
            <w:r>
              <w:t>POST /admin/releases/{id}/promote</w:t>
            </w:r>
          </w:p>
        </w:tc>
        <w:tc>
          <w:tcPr>
            <w:tcW w:type="dxa" w:w="6048"/>
            <w:vAlign w:val="top"/>
          </w:tcPr>
          <w:p>
            <w:r>
              <w:t>Promover artefato CI/CD aprovado.</w:t>
            </w:r>
          </w:p>
        </w:tc>
      </w:tr>
      <w:tr>
        <w:trPr>
          <w:cantSplit/>
        </w:trPr>
        <w:tc>
          <w:tcPr>
            <w:tcW w:type="dxa" w:w="3744"/>
            <w:vAlign w:val="top"/>
          </w:tcPr>
          <w:p>
            <w:r>
              <w:t>POST /admin/releases/{id}/rollback</w:t>
            </w:r>
          </w:p>
        </w:tc>
        <w:tc>
          <w:tcPr>
            <w:tcW w:type="dxa" w:w="6048"/>
            <w:vAlign w:val="top"/>
          </w:tcPr>
          <w:p>
            <w:r>
              <w:t>Workflow de rollback.</w:t>
            </w:r>
          </w:p>
        </w:tc>
      </w:tr>
      <w:tr>
        <w:trPr>
          <w:cantSplit/>
        </w:trPr>
        <w:tc>
          <w:tcPr>
            <w:tcW w:type="dxa" w:w="3744"/>
            <w:vAlign w:val="top"/>
          </w:tcPr>
          <w:p>
            <w:r>
              <w:t>POST /admin/jobs/{job}/run</w:t>
            </w:r>
          </w:p>
        </w:tc>
        <w:tc>
          <w:tcPr>
            <w:tcW w:type="dxa" w:w="6048"/>
            <w:vAlign w:val="top"/>
          </w:tcPr>
          <w:p>
            <w:r>
              <w:t>Executar job registrado e parametrizado.</w:t>
            </w:r>
          </w:p>
        </w:tc>
      </w:tr>
      <w:tr>
        <w:trPr>
          <w:cantSplit/>
        </w:trPr>
        <w:tc>
          <w:tcPr>
            <w:tcW w:type="dxa" w:w="3744"/>
            <w:vAlign w:val="top"/>
          </w:tcPr>
          <w:p>
            <w:r>
              <w:t>GET /admin/audit</w:t>
            </w:r>
          </w:p>
        </w:tc>
        <w:tc>
          <w:tcPr>
            <w:tcW w:type="dxa" w:w="6048"/>
            <w:vAlign w:val="top"/>
          </w:tcPr>
          <w:p>
            <w:r>
              <w:t>Consulta de auditoria.</w:t>
            </w:r>
          </w:p>
        </w:tc>
      </w:tr>
    </w:tbl>
    <w:p/>
    <w:p>
      <w:r>
        <w:t>Essas APIs são privadas, autenticadas separadamente e não devem compartilhar permissões implícitas com APIs de clientes.</w:t>
      </w:r>
    </w:p>
    <w:p>
      <w:pPr>
        <w:pStyle w:val="Heading2"/>
      </w:pPr>
      <w:r>
        <w:t>31.43 Experiência visual do painel</w:t>
      </w:r>
    </w:p>
    <w:p>
      <w:pPr>
        <w:pStyle w:val="ListBullet"/>
      </w:pPr>
      <w:r>
        <w:t>Sidebar por domínio e comando global/search.</w:t>
      </w:r>
    </w:p>
    <w:p>
      <w:pPr>
        <w:pStyle w:val="ListBullet"/>
      </w:pPr>
      <w:r>
        <w:t>Dashboard inicial orientado a exceções, não apenas números bonitos.</w:t>
      </w:r>
    </w:p>
    <w:p>
      <w:pPr>
        <w:pStyle w:val="ListBullet"/>
      </w:pPr>
      <w:r>
        <w:t>Drill-down em todos os KPIs.</w:t>
      </w:r>
    </w:p>
    <w:p>
      <w:pPr>
        <w:pStyle w:val="ListBullet"/>
      </w:pPr>
      <w:r>
        <w:t>Filtros persistentes e período comparável.</w:t>
      </w:r>
    </w:p>
    <w:p>
      <w:pPr>
        <w:pStyle w:val="ListBullet"/>
      </w:pPr>
      <w:r>
        <w:t>Tabelas com colunas configuráveis, export controlado e saved views.</w:t>
      </w:r>
    </w:p>
    <w:p>
      <w:pPr>
        <w:pStyle w:val="ListBullet"/>
      </w:pPr>
      <w:r>
        <w:t>Todas as ações destrutivas mostram impacto, motivo e confirmação.</w:t>
      </w:r>
    </w:p>
    <w:p>
      <w:pPr>
        <w:pStyle w:val="ListBullet"/>
      </w:pPr>
      <w:r>
        <w:t>Estado assíncrono visível: pending, processing, succeeded, failed.</w:t>
      </w:r>
    </w:p>
    <w:p>
      <w:pPr>
        <w:pStyle w:val="ListBullet"/>
      </w:pPr>
      <w:r>
        <w:t>Links cruzados entre tenant ↔ cobrança ↔ ticket ↔ trace ↔ job ↔ release.</w:t>
      </w:r>
    </w:p>
    <w:p>
      <w:pPr>
        <w:pStyle w:val="Heading2"/>
      </w:pPr>
      <w:r>
        <w:t>31.44 O que o Admin não deve conter</w:t>
      </w:r>
    </w:p>
    <w:p>
      <w:pPr>
        <w:pStyle w:val="ListBullet"/>
      </w:pPr>
      <w:r>
        <w:t>Terminal/shell arbitrário.</w:t>
      </w:r>
    </w:p>
    <w:p>
      <w:pPr>
        <w:pStyle w:val="ListBullet"/>
      </w:pPr>
      <w:r>
        <w:t>Editor SQL de produção para usuários comuns do Admin.</w:t>
      </w:r>
    </w:p>
    <w:p>
      <w:pPr>
        <w:pStyle w:val="ListBullet"/>
      </w:pPr>
      <w:r>
        <w:t>Upload de código/ZIP executável para produção.</w:t>
      </w:r>
    </w:p>
    <w:p>
      <w:pPr>
        <w:pStyle w:val="ListBullet"/>
      </w:pPr>
      <w:r>
        <w:t>Visualização de cartão completo/CVV ou segredo Mercado Pago.</w:t>
      </w:r>
    </w:p>
    <w:p>
      <w:pPr>
        <w:pStyle w:val="ListBullet"/>
      </w:pPr>
      <w:r>
        <w:t>Visualização indiscriminada de documentos privados dos clientes.</w:t>
      </w:r>
    </w:p>
    <w:p>
      <w:pPr>
        <w:pStyle w:val="ListBullet"/>
      </w:pPr>
      <w:r>
        <w:t>Botão de apagar tenant sem workflow de retenção/auditoria.</w:t>
      </w:r>
    </w:p>
    <w:p>
      <w:pPr>
        <w:pStyle w:val="ListBullet"/>
      </w:pPr>
      <w:r>
        <w:t>Alteração retroativa de plano/preço já contratado sem versionamento.</w:t>
      </w:r>
    </w:p>
    <w:p>
      <w:pPr>
        <w:pStyle w:val="ListBullet"/>
      </w:pPr>
      <w:r>
        <w:t>Mudança de produção sem aprovação/gates conforme risco.</w:t>
      </w:r>
    </w:p>
    <w:p>
      <w:pPr>
        <w:pStyle w:val="Heading2"/>
      </w:pPr>
      <w:r>
        <w:t>31.45 MVP do Painel Admin</w:t>
      </w:r>
    </w:p>
    <w:p>
      <w:r>
        <w:t>1. Login Admin separado + MFA + RBAC + auditoria.</w:t>
      </w:r>
    </w:p>
    <w:p>
      <w:r>
        <w:t>2. Dashboard executivo essencial.</w:t>
      </w:r>
    </w:p>
    <w:p>
      <w:r>
        <w:t>3. Clientes/tenants, usuários e lifecycle.</w:t>
      </w:r>
    </w:p>
    <w:p>
      <w:r>
        <w:t>4. Planos, preços, entitlements e quotas.</w:t>
      </w:r>
    </w:p>
    <w:p>
      <w:r>
        <w:t>5. Mercado Pago: subscriptions, webhooks, ledger básico e dunning.</w:t>
      </w:r>
    </w:p>
    <w:p>
      <w:r>
        <w:t>6. Conciliação financeira mínima.</w:t>
      </w:r>
    </w:p>
    <w:p>
      <w:r>
        <w:t>7. CMS do site com páginas, mídia, menus, SEO, versionamento e preview.</w:t>
      </w:r>
    </w:p>
    <w:p>
      <w:r>
        <w:t>8. Feature flags e kill switches.</w:t>
      </w:r>
    </w:p>
    <w:p>
      <w:r>
        <w:t>9. Suporte/tickets básico.</w:t>
      </w:r>
    </w:p>
    <w:p>
      <w:r>
        <w:t>10. Ops: jobs, health, logs/metrics links e incidentes.</w:t>
      </w:r>
    </w:p>
    <w:p>
      <w:r>
        <w:t>11. Releases: visualizar versão, promover staging→prod e rollback.</w:t>
      </w:r>
    </w:p>
    <w:p>
      <w:r>
        <w:t>12. AI Ops: custo/uso por tenant e model registry básico.</w:t>
      </w:r>
    </w:p>
    <w:p>
      <w:pPr>
        <w:pStyle w:val="Heading2"/>
      </w:pPr>
      <w:r>
        <w:t>31.46 Roadmap profissional</w:t>
      </w:r>
    </w:p>
    <w:tbl>
      <w:tblPr>
        <w:tblStyle w:val="TableGrid"/>
        <w:tblW w:type="auto" w:w="0"/>
        <w:jc w:val="center"/>
        <w:tblLook w:firstColumn="1" w:firstRow="1" w:lastColumn="0" w:lastRow="0" w:noHBand="0" w:noVBand="1" w:val="04A0"/>
      </w:tblPr>
      <w:tblGrid>
        <w:gridCol w:w="5083"/>
        <w:gridCol w:w="5083"/>
      </w:tblGrid>
      <w:tr>
        <w:trPr>
          <w:tblHeader w:val="true"/>
          <w:tblHeader w:val="true"/>
          <w:cantSplit/>
        </w:trPr>
        <w:tc>
          <w:tcPr>
            <w:tcW w:type="dxa" w:w="1152"/>
            <w:vAlign w:val="center"/>
          </w:tcPr>
          <w:p>
            <w:r>
              <w:rPr>
                <w:b/>
              </w:rPr>
              <w:t>Fase</w:t>
            </w:r>
          </w:p>
        </w:tc>
        <w:tc>
          <w:tcPr>
            <w:tcW w:type="dxa" w:w="8640"/>
            <w:vAlign w:val="center"/>
          </w:tcPr>
          <w:p>
            <w:r>
              <w:rPr>
                <w:b/>
              </w:rPr>
              <w:t>Entrega</w:t>
            </w:r>
          </w:p>
        </w:tc>
      </w:tr>
      <w:tr>
        <w:trPr>
          <w:cantSplit/>
        </w:trPr>
        <w:tc>
          <w:tcPr>
            <w:tcW w:type="dxa" w:w="1152"/>
            <w:vAlign w:val="top"/>
          </w:tcPr>
          <w:p>
            <w:r>
              <w:t>1</w:t>
            </w:r>
          </w:p>
        </w:tc>
        <w:tc>
          <w:tcPr>
            <w:tcW w:type="dxa" w:w="8640"/>
            <w:vAlign w:val="top"/>
          </w:tcPr>
          <w:p>
            <w:r>
              <w:t>Admin identity/MFA/RBAC/audit + tenant management.</w:t>
            </w:r>
          </w:p>
        </w:tc>
      </w:tr>
      <w:tr>
        <w:trPr>
          <w:cantSplit/>
        </w:trPr>
        <w:tc>
          <w:tcPr>
            <w:tcW w:type="dxa" w:w="1152"/>
            <w:vAlign w:val="top"/>
          </w:tcPr>
          <w:p>
            <w:r>
              <w:t>2</w:t>
            </w:r>
          </w:p>
        </w:tc>
        <w:tc>
          <w:tcPr>
            <w:tcW w:type="dxa" w:w="8640"/>
            <w:vAlign w:val="top"/>
          </w:tcPr>
          <w:p>
            <w:r>
              <w:t>Catalog/plan/entitlements + Mercado Pago subscriptions.</w:t>
            </w:r>
          </w:p>
        </w:tc>
      </w:tr>
      <w:tr>
        <w:trPr>
          <w:cantSplit/>
        </w:trPr>
        <w:tc>
          <w:tcPr>
            <w:tcW w:type="dxa" w:w="1152"/>
            <w:vAlign w:val="top"/>
          </w:tcPr>
          <w:p>
            <w:r>
              <w:t>3</w:t>
            </w:r>
          </w:p>
        </w:tc>
        <w:tc>
          <w:tcPr>
            <w:tcW w:type="dxa" w:w="8640"/>
            <w:vAlign w:val="top"/>
          </w:tcPr>
          <w:p>
            <w:r>
              <w:t>Ledger, webhooks idempotentes, dunning e conciliação.</w:t>
            </w:r>
          </w:p>
        </w:tc>
      </w:tr>
      <w:tr>
        <w:trPr>
          <w:cantSplit/>
        </w:trPr>
        <w:tc>
          <w:tcPr>
            <w:tcW w:type="dxa" w:w="1152"/>
            <w:vAlign w:val="top"/>
          </w:tcPr>
          <w:p>
            <w:r>
              <w:t>4</w:t>
            </w:r>
          </w:p>
        </w:tc>
        <w:tc>
          <w:tcPr>
            <w:tcW w:type="dxa" w:w="8640"/>
            <w:vAlign w:val="top"/>
          </w:tcPr>
          <w:p>
            <w:r>
              <w:t>Fiscal/NFS-e e relatórios financeiros.</w:t>
            </w:r>
          </w:p>
        </w:tc>
      </w:tr>
      <w:tr>
        <w:trPr>
          <w:cantSplit/>
        </w:trPr>
        <w:tc>
          <w:tcPr>
            <w:tcW w:type="dxa" w:w="1152"/>
            <w:vAlign w:val="top"/>
          </w:tcPr>
          <w:p>
            <w:r>
              <w:t>5</w:t>
            </w:r>
          </w:p>
        </w:tc>
        <w:tc>
          <w:tcPr>
            <w:tcW w:type="dxa" w:w="8640"/>
            <w:vAlign w:val="top"/>
          </w:tcPr>
          <w:p>
            <w:r>
              <w:t>CMS/site institutional completo.</w:t>
            </w:r>
          </w:p>
        </w:tc>
      </w:tr>
      <w:tr>
        <w:trPr>
          <w:cantSplit/>
        </w:trPr>
        <w:tc>
          <w:tcPr>
            <w:tcW w:type="dxa" w:w="1152"/>
            <w:vAlign w:val="top"/>
          </w:tcPr>
          <w:p>
            <w:r>
              <w:t>6</w:t>
            </w:r>
          </w:p>
        </w:tc>
        <w:tc>
          <w:tcPr>
            <w:tcW w:type="dxa" w:w="8640"/>
            <w:vAlign w:val="top"/>
          </w:tcPr>
          <w:p>
            <w:r>
              <w:t>Support/CS + product analytics.</w:t>
            </w:r>
          </w:p>
        </w:tc>
      </w:tr>
      <w:tr>
        <w:trPr>
          <w:cantSplit/>
        </w:trPr>
        <w:tc>
          <w:tcPr>
            <w:tcW w:type="dxa" w:w="1152"/>
            <w:vAlign w:val="top"/>
          </w:tcPr>
          <w:p>
            <w:r>
              <w:t>7</w:t>
            </w:r>
          </w:p>
        </w:tc>
        <w:tc>
          <w:tcPr>
            <w:tcW w:type="dxa" w:w="8640"/>
            <w:vAlign w:val="top"/>
          </w:tcPr>
          <w:p>
            <w:r>
              <w:t>Feature flags/config/experiments.</w:t>
            </w:r>
          </w:p>
        </w:tc>
      </w:tr>
      <w:tr>
        <w:trPr>
          <w:cantSplit/>
        </w:trPr>
        <w:tc>
          <w:tcPr>
            <w:tcW w:type="dxa" w:w="1152"/>
            <w:vAlign w:val="top"/>
          </w:tcPr>
          <w:p>
            <w:r>
              <w:t>8</w:t>
            </w:r>
          </w:p>
        </w:tc>
        <w:tc>
          <w:tcPr>
            <w:tcW w:type="dxa" w:w="8640"/>
            <w:vAlign w:val="top"/>
          </w:tcPr>
          <w:p>
            <w:r>
              <w:t>Data Ops + AI Ops.</w:t>
            </w:r>
          </w:p>
        </w:tc>
      </w:tr>
      <w:tr>
        <w:trPr>
          <w:cantSplit/>
        </w:trPr>
        <w:tc>
          <w:tcPr>
            <w:tcW w:type="dxa" w:w="1152"/>
            <w:vAlign w:val="top"/>
          </w:tcPr>
          <w:p>
            <w:r>
              <w:t>9</w:t>
            </w:r>
          </w:p>
        </w:tc>
        <w:tc>
          <w:tcPr>
            <w:tcW w:type="dxa" w:w="8640"/>
            <w:vAlign w:val="top"/>
          </w:tcPr>
          <w:p>
            <w:r>
              <w:t>Observability + incidents + status page.</w:t>
            </w:r>
          </w:p>
        </w:tc>
      </w:tr>
      <w:tr>
        <w:trPr>
          <w:cantSplit/>
        </w:trPr>
        <w:tc>
          <w:tcPr>
            <w:tcW w:type="dxa" w:w="1152"/>
            <w:vAlign w:val="top"/>
          </w:tcPr>
          <w:p>
            <w:r>
              <w:t>10</w:t>
            </w:r>
          </w:p>
        </w:tc>
        <w:tc>
          <w:tcPr>
            <w:tcW w:type="dxa" w:w="8640"/>
            <w:vAlign w:val="top"/>
          </w:tcPr>
          <w:p>
            <w:r>
              <w:t>Release control plane + canary/rollback.</w:t>
            </w:r>
          </w:p>
        </w:tc>
      </w:tr>
      <w:tr>
        <w:trPr>
          <w:cantSplit/>
        </w:trPr>
        <w:tc>
          <w:tcPr>
            <w:tcW w:type="dxa" w:w="1152"/>
            <w:vAlign w:val="top"/>
          </w:tcPr>
          <w:p>
            <w:r>
              <w:t>11</w:t>
            </w:r>
          </w:p>
        </w:tc>
        <w:tc>
          <w:tcPr>
            <w:tcW w:type="dxa" w:w="8640"/>
            <w:vAlign w:val="top"/>
          </w:tcPr>
          <w:p>
            <w:r>
              <w:t>Enterprise contracts/prefeituras + integrações contábeis/CRM.</w:t>
            </w:r>
          </w:p>
        </w:tc>
      </w:tr>
      <w:tr>
        <w:trPr>
          <w:cantSplit/>
        </w:trPr>
        <w:tc>
          <w:tcPr>
            <w:tcW w:type="dxa" w:w="1152"/>
            <w:vAlign w:val="top"/>
          </w:tcPr>
          <w:p>
            <w:r>
              <w:t>12</w:t>
            </w:r>
          </w:p>
        </w:tc>
        <w:tc>
          <w:tcPr>
            <w:tcW w:type="dxa" w:w="8640"/>
            <w:vAlign w:val="top"/>
          </w:tcPr>
          <w:p>
            <w:r>
              <w:t>Automação e otimização avançada do negócio.</w:t>
            </w:r>
          </w:p>
        </w:tc>
      </w:tr>
    </w:tbl>
    <w:p/>
    <w:p>
      <w:pPr>
        <w:pStyle w:val="Heading2"/>
      </w:pPr>
      <w:r>
        <w:t>31.47 Critérios de aceitação</w:t>
      </w:r>
    </w:p>
    <w:p>
      <w:pPr>
        <w:pStyle w:val="ListBullet"/>
      </w:pPr>
      <w:r>
        <w:t>Nenhum cliente perde acesso ou ganha módulo por um webhook duplicado.</w:t>
      </w:r>
    </w:p>
    <w:p>
      <w:pPr>
        <w:pStyle w:val="ListBullet"/>
      </w:pPr>
      <w:r>
        <w:t>Receita recorrente é calculada pelo ledger/contratos e pode ser conciliada com Mercado Pago.</w:t>
      </w:r>
    </w:p>
    <w:p>
      <w:pPr>
        <w:pStyle w:val="ListBullet"/>
      </w:pPr>
      <w:r>
        <w:t>Planos e preços são versionados; contratos antigos continuam reproduzíveis.</w:t>
      </w:r>
    </w:p>
    <w:p>
      <w:pPr>
        <w:pStyle w:val="ListBullet"/>
      </w:pPr>
      <w:r>
        <w:t>Site institucional pode ser alterado/rollback sem deploy.</w:t>
      </w:r>
    </w:p>
    <w:p>
      <w:pPr>
        <w:pStyle w:val="ListBullet"/>
      </w:pPr>
      <w:r>
        <w:t>Nenhum editor CMS consegue injetar código arbitrário.</w:t>
      </w:r>
    </w:p>
    <w:p>
      <w:pPr>
        <w:pStyle w:val="ListBullet"/>
      </w:pPr>
      <w:r>
        <w:t>Admin possui MFA, menor privilégio e audit trail completo.</w:t>
      </w:r>
    </w:p>
    <w:p>
      <w:pPr>
        <w:pStyle w:val="ListBullet"/>
      </w:pPr>
      <w:r>
        <w:t>Refund, release e ações destrutivas têm controles adicionais.</w:t>
      </w:r>
    </w:p>
    <w:p>
      <w:pPr>
        <w:pStyle w:val="ListBullet"/>
      </w:pPr>
      <w:r>
        <w:t>Código de produção só chega por pipeline CI/CD e artefato aprovado.</w:t>
      </w:r>
    </w:p>
    <w:p>
      <w:pPr>
        <w:pStyle w:val="ListBullet"/>
      </w:pPr>
      <w:r>
        <w:t>Rollback de software e kill switch de feature estão disponíveis.</w:t>
      </w:r>
    </w:p>
    <w:p>
      <w:pPr>
        <w:pStyle w:val="ListBullet"/>
      </w:pPr>
      <w:r>
        <w:t>Custos de IA podem ser atribuídos por tenant/módulo/plano.</w:t>
      </w:r>
    </w:p>
    <w:p>
      <w:pPr>
        <w:pStyle w:val="ListBullet"/>
      </w:pPr>
      <w:r>
        <w:t>Backups e restore tests são visíveis e monitorados.</w:t>
      </w:r>
    </w:p>
    <w:p>
      <w:pPr>
        <w:pStyle w:val="ListBullet"/>
      </w:pPr>
      <w:r>
        <w:t>Dado privado do cliente não é aberto ao suporte por padrão.</w:t>
      </w:r>
    </w:p>
    <w:p>
      <w:pPr>
        <w:pStyle w:val="ListBullet"/>
      </w:pPr>
      <w:r>
        <w:t>Ambientes de teste e produção do Mercado Pago são segregados.</w:t>
      </w:r>
    </w:p>
    <w:p>
      <w:pPr>
        <w:pStyle w:val="Heading2"/>
      </w:pPr>
      <w:r>
        <w:t>31.48 Resultado arquitetural</w:t>
      </w:r>
    </w:p>
    <w:p>
      <w:r>
        <w:t>Com esse desenho, o Painel Admin deixa de ser apenas uma tela de usuários e vira o sistema operacional do SaaS. Ele conecta negócio, billing, conteúdo, produto e plataforma sem romper as fronteiras de segurança entre control plane e dados dos clientes.</w:t>
      </w:r>
    </w:p>
    <w:p>
      <w:r>
        <w:t>A consequência prática é que a empresa poderá alterar ofertas, publicar conteúdo, acompanhar receita, resolver clientes, ativar módulos, controlar custos de IA, corrigir dados, promover versões e responder a incidentes sem depender de mudanças manuais no banco ou acesso direto aos servidores.</w:t>
      </w:r>
    </w:p>
    <w:p>
      <w:pPr>
        <w:pStyle w:val="Heading1"/>
      </w:pPr>
      <w:r>
        <w:t>32. Blueprint Final de Implementação — arquitetura definitiva do sistema</w:t>
      </w:r>
    </w:p>
    <w:p>
      <w:r>
        <w:rPr>
          <w:b w:val="0"/>
        </w:rPr>
        <w:t>Esta seção é a referência de implementação. Ela consolida o que deve ser construído, em qual tecnologia, onde cada dado vive, como os módulos conversam e qual experiência visual deve ser preservada. Em caso de conflito com alternativas tecnológicas apresentadas anteriormente, esta seção prevalece.</w:t>
      </w:r>
    </w:p>
    <w:p>
      <w:r>
        <w:drawing>
          <wp:inline xmlns:a="http://schemas.openxmlformats.org/drawingml/2006/main" xmlns:pic="http://schemas.openxmlformats.org/drawingml/2006/picture">
            <wp:extent cx="6172200" cy="3707616"/>
            <wp:docPr id="15" name="Picture 15" descr="Figura — Visão funcional completa: fontes, fundação de dados, motores, módulos, IA e Control Plane." title="Figura — Visão funcional completa: fontes, fundação de dados, motores, módulos, IA e Control Plane."/>
            <wp:cNvGraphicFramePr>
              <a:graphicFrameLocks noChangeAspect="1"/>
            </wp:cNvGraphicFramePr>
            <a:graphic>
              <a:graphicData uri="http://schemas.openxmlformats.org/drawingml/2006/picture">
                <pic:pic>
                  <pic:nvPicPr>
                    <pic:cNvPr id="0" name="system_context_v20.png"/>
                    <pic:cNvPicPr/>
                  </pic:nvPicPr>
                  <pic:blipFill>
                    <a:blip r:embed="rId25"/>
                    <a:stretch>
                      <a:fillRect/>
                    </a:stretch>
                  </pic:blipFill>
                  <pic:spPr>
                    <a:xfrm>
                      <a:off x="0" y="0"/>
                      <a:ext cx="6172200" cy="3707616"/>
                    </a:xfrm>
                    <a:prstGeom prst="rect"/>
                  </pic:spPr>
                </pic:pic>
              </a:graphicData>
            </a:graphic>
          </wp:inline>
        </w:drawing>
      </w:r>
    </w:p>
    <w:p>
      <w:pPr>
        <w:pStyle w:val="CaptionLD"/>
        <w:jc w:val="center"/>
      </w:pPr>
      <w:r>
        <w:t>Figura — Visão funcional completa: fontes, fundação de dados, motores, módulos, IA e Control Plane.</w:t>
      </w:r>
    </w:p>
    <w:p>
      <w:pPr>
        <w:pStyle w:val="Heading2"/>
      </w:pPr>
      <w:r>
        <w:t>32.1 Resultado da auditoria dos arquivos recebidos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2232"/>
            <w:vAlign w:val="center"/>
          </w:tcPr>
          <w:p>
            <w:r>
              <w:rPr>
                <w:b/>
                <w:sz w:val="15"/>
              </w:rPr>
              <w:t>Arquivo / referência</w:t>
            </w:r>
          </w:p>
        </w:tc>
        <w:tc>
          <w:tcPr>
            <w:tcW w:type="dxa" w:w="3744"/>
            <w:vAlign w:val="center"/>
          </w:tcPr>
          <w:p>
            <w:r>
              <w:rPr>
                <w:b/>
                <w:sz w:val="15"/>
              </w:rPr>
              <w:t>O que foi observado</w:t>
            </w:r>
          </w:p>
        </w:tc>
        <w:tc>
          <w:tcPr>
            <w:tcW w:type="dxa" w:w="4392"/>
            <w:vAlign w:val="center"/>
          </w:tcPr>
          <w:p>
            <w:r>
              <w:rPr>
                <w:b/>
                <w:sz w:val="15"/>
              </w:rPr>
              <w:t>Decisão para o produto final</w:t>
            </w:r>
          </w:p>
        </w:tc>
      </w:tr>
      <w:tr>
        <w:trPr>
          <w:cantSplit/>
          <w:cantSplit/>
        </w:trPr>
        <w:tc>
          <w:tcPr>
            <w:tcW w:type="dxa" w:w="2232"/>
            <w:vAlign w:val="top"/>
          </w:tcPr>
          <w:p>
            <w:r>
              <w:rPr>
                <w:sz w:val="15"/>
              </w:rPr>
              <w:t>Site público Urbit</w:t>
            </w:r>
          </w:p>
        </w:tc>
        <w:tc>
          <w:tcPr>
            <w:tcW w:type="dxa" w:w="3744"/>
            <w:vAlign w:val="top"/>
          </w:tcPr>
          <w:p>
            <w:r>
              <w:rPr>
                <w:sz w:val="15"/>
              </w:rPr>
              <w:t>Site institucional com navegação clara, hero de alto impacto, vídeos de fundo, linguagem de produto/segmentos/clientes/blog/contato e CTAs verdes. CSS público usa verdes como #20A475/#28A745 e fundo escuro.</w:t>
            </w:r>
          </w:p>
        </w:tc>
        <w:tc>
          <w:tcPr>
            <w:tcW w:type="dxa" w:w="4392"/>
            <w:vAlign w:val="top"/>
          </w:tcPr>
          <w:p>
            <w:r>
              <w:rPr>
                <w:sz w:val="15"/>
              </w:rPr>
              <w:t>Recriar o site institucional em Next.js seguindo essa hierarquia e atmosfera; usar nossos componentes, conteúdo, dados e assets com direitos de uso.</w:t>
            </w:r>
          </w:p>
        </w:tc>
      </w:tr>
      <w:tr>
        <w:trPr>
          <w:cantSplit/>
          <w:cantSplit/>
        </w:trPr>
        <w:tc>
          <w:tcPr>
            <w:tcW w:type="dxa" w:w="2232"/>
            <w:vAlign w:val="top"/>
          </w:tcPr>
          <w:p>
            <w:r>
              <w:rPr>
                <w:sz w:val="15"/>
              </w:rPr>
              <w:t>Login Urbit</w:t>
            </w:r>
          </w:p>
        </w:tc>
        <w:tc>
          <w:tcPr>
            <w:tcW w:type="dxa" w:w="3744"/>
            <w:vAlign w:val="top"/>
          </w:tcPr>
          <w:p>
            <w:r>
              <w:rPr>
                <w:sz w:val="15"/>
              </w:rPr>
              <w:t>React/Metronic; cartão branco central, logo acima, campos grandes, recuperação/cadastro e CTA único. O frontend antigo armazenava bearer token em localStorage.</w:t>
            </w:r>
          </w:p>
        </w:tc>
        <w:tc>
          <w:tcPr>
            <w:tcW w:type="dxa" w:w="4392"/>
            <w:vAlign w:val="top"/>
          </w:tcPr>
          <w:p>
            <w:r>
              <w:rPr>
                <w:sz w:val="15"/>
              </w:rPr>
              <w:t>Manter o padrão visual do login; substituir a segurança por OIDC, cookies HttpOnly/SameSite e MFA. Não reproduzir armazenamento de token no browser.</w:t>
            </w:r>
          </w:p>
        </w:tc>
      </w:tr>
      <w:tr>
        <w:trPr>
          <w:cantSplit/>
          <w:cantSplit/>
        </w:trPr>
        <w:tc>
          <w:tcPr>
            <w:tcW w:type="dxa" w:w="2232"/>
            <w:vAlign w:val="top"/>
          </w:tcPr>
          <w:p>
            <w:r>
              <w:rPr>
                <w:sz w:val="15"/>
              </w:rPr>
              <w:t>App Urbit / Imóvel 360</w:t>
            </w:r>
          </w:p>
        </w:tc>
        <w:tc>
          <w:tcPr>
            <w:tcW w:type="dxa" w:w="3744"/>
            <w:vAlign w:val="top"/>
          </w:tcPr>
          <w:p>
            <w:r>
              <w:rPr>
                <w:sz w:val="15"/>
              </w:rPr>
              <w:t>React + React Router + Metronic, Apollo/GraphQL, Explorer como centro, múltiplas APIs GIS/MVT/raster/rotas e 80 rotas observadas.</w:t>
            </w:r>
          </w:p>
        </w:tc>
        <w:tc>
          <w:tcPr>
            <w:tcW w:type="dxa" w:w="4392"/>
            <w:vAlign w:val="top"/>
          </w:tcPr>
          <w:p>
            <w:r>
              <w:rPr>
                <w:sz w:val="15"/>
              </w:rPr>
              <w:t>Preservar taxonomia funcional, Explorer, GraphQL e fluxo por serviços; remover dependência de hosts privados e credenciais no browser.</w:t>
            </w:r>
          </w:p>
        </w:tc>
      </w:tr>
      <w:tr>
        <w:trPr>
          <w:cantSplit/>
          <w:cantSplit/>
        </w:trPr>
        <w:tc>
          <w:tcPr>
            <w:tcW w:type="dxa" w:w="2232"/>
            <w:vAlign w:val="top"/>
          </w:tcPr>
          <w:p>
            <w:r>
              <w:rPr>
                <w:sz w:val="15"/>
              </w:rPr>
              <w:t>Registro Rural</w:t>
            </w:r>
          </w:p>
        </w:tc>
        <w:tc>
          <w:tcPr>
            <w:tcW w:type="dxa" w:w="3744"/>
            <w:vAlign w:val="top"/>
          </w:tcPr>
          <w:p>
            <w:r>
              <w:rPr>
                <w:sz w:val="15"/>
              </w:rPr>
              <w:t>SSR Django/Bootstrap/jQuery; painel compacto com rail fixo, tipografia Inter, cards claros, filtros simples e tokens #356854/#1F4035, radius 8/12/pill.</w:t>
            </w:r>
          </w:p>
        </w:tc>
        <w:tc>
          <w:tcPr>
            <w:tcW w:type="dxa" w:w="4392"/>
            <w:vAlign w:val="top"/>
          </w:tcPr>
          <w:p>
            <w:r>
              <w:rPr>
                <w:sz w:val="15"/>
              </w:rPr>
              <w:t>Usar esses padrões como Design System do cliente, mas implementar o frontend unificado em React/Next.js. Django não é requisito da plataforma final.</w:t>
            </w:r>
          </w:p>
        </w:tc>
      </w:tr>
      <w:tr>
        <w:trPr>
          <w:cantSplit/>
          <w:cantSplit/>
        </w:trPr>
        <w:tc>
          <w:tcPr>
            <w:tcW w:type="dxa" w:w="2232"/>
            <w:vAlign w:val="top"/>
          </w:tcPr>
          <w:p>
            <w:r>
              <w:rPr>
                <w:sz w:val="15"/>
              </w:rPr>
              <w:t>LoteDiretor local v0.5.x</w:t>
            </w:r>
          </w:p>
        </w:tc>
        <w:tc>
          <w:tcPr>
            <w:tcW w:type="dxa" w:w="3744"/>
            <w:vAlign w:val="top"/>
          </w:tcPr>
          <w:p>
            <w:r>
              <w:rPr>
                <w:sz w:val="15"/>
              </w:rPr>
              <w:t>PoC comprovou Fastify/Mercurius + PostgreSQL/PostGIS + Martin + Valkey + Caddy e compatibilidade com o frontend legado.</w:t>
            </w:r>
          </w:p>
        </w:tc>
        <w:tc>
          <w:tcPr>
            <w:tcW w:type="dxa" w:w="4392"/>
            <w:vAlign w:val="top"/>
          </w:tcPr>
          <w:p>
            <w:r>
              <w:rPr>
                <w:sz w:val="15"/>
              </w:rPr>
              <w:t>Manter os componentes técnicos validados; encapsular o core em NestJS modular com Fastify Adapter, contratos versionados e segurança moderna.</w:t>
            </w:r>
          </w:p>
        </w:tc>
      </w:tr>
      <w:tr>
        <w:trPr>
          <w:cantSplit/>
          <w:cantSplit/>
        </w:trPr>
        <w:tc>
          <w:tcPr>
            <w:tcW w:type="dxa" w:w="2232"/>
            <w:vAlign w:val="top"/>
          </w:tcPr>
          <w:p>
            <w:r>
              <w:rPr>
                <w:sz w:val="15"/>
              </w:rPr>
              <w:t>Registro Rural local v0.2</w:t>
            </w:r>
          </w:p>
        </w:tc>
        <w:tc>
          <w:tcPr>
            <w:tcW w:type="dxa" w:w="3744"/>
            <w:vAlign w:val="top"/>
          </w:tcPr>
          <w:p>
            <w:r>
              <w:rPr>
                <w:sz w:val="15"/>
              </w:rPr>
              <w:t>PoC comprovou PostGIS, GeoJSON, camadas e identificação espacial; usou Leaflet/OSM por simplicidade.</w:t>
            </w:r>
          </w:p>
        </w:tc>
        <w:tc>
          <w:tcPr>
            <w:tcW w:type="dxa" w:w="4392"/>
            <w:vAlign w:val="top"/>
          </w:tcPr>
          <w:p>
            <w:r>
              <w:rPr>
                <w:sz w:val="15"/>
              </w:rPr>
              <w:t>Na plataforma unificada, padronizar MapLibre GL + deck.gl para mapas vetoriais e Three.js/Cesium para 3D; Leaflet fica fora do baseline.</w:t>
            </w:r>
          </w:p>
        </w:tc>
      </w:tr>
      <w:tr>
        <w:trPr>
          <w:cantSplit/>
          <w:cantSplit/>
        </w:trPr>
        <w:tc>
          <w:tcPr>
            <w:tcW w:type="dxa" w:w="2232"/>
            <w:vAlign w:val="top"/>
          </w:tcPr>
          <w:p>
            <w:r>
              <w:rPr>
                <w:sz w:val="15"/>
              </w:rPr>
              <w:t>Arqgen e referências A.I TEC</w:t>
            </w:r>
          </w:p>
        </w:tc>
        <w:tc>
          <w:tcPr>
            <w:tcW w:type="dxa" w:w="3744"/>
            <w:vAlign w:val="top"/>
          </w:tcPr>
          <w:p>
            <w:r>
              <w:rPr>
                <w:sz w:val="15"/>
              </w:rPr>
              <w:t>Fluxo guiado de terreno → restrições → parâmetros → geração → comparação, com baixa fricção e métricas visíveis.</w:t>
            </w:r>
          </w:p>
        </w:tc>
        <w:tc>
          <w:tcPr>
            <w:tcW w:type="dxa" w:w="4392"/>
            <w:vAlign w:val="top"/>
          </w:tcPr>
          <w:p>
            <w:r>
              <w:rPr>
                <w:sz w:val="15"/>
              </w:rPr>
              <w:t>Adotar ergonomia e estrutura de workflow; geração é nossa, baseada em constraints, solvers e dados do LoteDiretor.</w:t>
            </w:r>
          </w:p>
        </w:tc>
      </w:tr>
    </w:tbl>
    <w:p/>
    <w:p>
      <w:pPr>
        <w:pStyle w:val="Heading2"/>
      </w:pPr>
      <w:r>
        <w:t>32.2 Princípios que não podem ser quebrados</w:t>
      </w:r>
    </w:p>
    <w:p>
      <w:pPr>
        <w:pStyle w:val="ListBullet"/>
      </w:pPr>
      <w:r>
        <w:rPr>
          <w:b w:val="0"/>
        </w:rPr>
        <w:t>Uma única fonte de verdade por domínio; módulos referenciam fatos por ID e não mantêm cópias divergentes.</w:t>
      </w:r>
    </w:p>
    <w:p>
      <w:pPr>
        <w:pStyle w:val="ListBullet"/>
      </w:pPr>
      <w:r>
        <w:rPr>
          <w:b w:val="0"/>
        </w:rPr>
        <w:t>Todo dado técnico possui provenance: source_id, source_snapshot_id, data da fonte, data de ingestão, parser_version e hash.</w:t>
      </w:r>
    </w:p>
    <w:p>
      <w:pPr>
        <w:pStyle w:val="ListBullet"/>
      </w:pPr>
      <w:r>
        <w:rPr>
          <w:b w:val="0"/>
        </w:rPr>
        <w:t>Normas, mapas, geometrias, preços e regras são temporais; versões antigas nunca são sobrescritas.</w:t>
      </w:r>
    </w:p>
    <w:p>
      <w:pPr>
        <w:pStyle w:val="ListBullet"/>
      </w:pPr>
      <w:r>
        <w:rPr>
          <w:b w:val="0"/>
        </w:rPr>
        <w:t>IA não é fonte de verdade. IA recupera, chama ferramentas, explica e propõe; regras, GIS, cálculos e solvers confirmam.</w:t>
      </w:r>
    </w:p>
    <w:p>
      <w:pPr>
        <w:pStyle w:val="ListBullet"/>
      </w:pPr>
      <w:r>
        <w:rPr>
          <w:b w:val="0"/>
        </w:rPr>
        <w:t>Nenhum segredo, token de provider ou endpoint privado é exposto no frontend.</w:t>
      </w:r>
    </w:p>
    <w:p>
      <w:pPr>
        <w:pStyle w:val="ListBullet"/>
      </w:pPr>
      <w:r>
        <w:rPr>
          <w:b w:val="0"/>
        </w:rPr>
        <w:t>Nenhum tenant recupera documento, embedding, relatório ou dado privado de outro tenant.</w:t>
      </w:r>
    </w:p>
    <w:p>
      <w:pPr>
        <w:pStyle w:val="ListBullet"/>
      </w:pPr>
      <w:r>
        <w:rPr>
          <w:b w:val="0"/>
        </w:rPr>
        <w:t>Nenhum dado autenticado/licenciado é tratado como dado aberto; licença e finalidade acompanham o dado.</w:t>
      </w:r>
    </w:p>
    <w:p>
      <w:pPr>
        <w:pStyle w:val="ListBullet"/>
      </w:pPr>
      <w:r>
        <w:rPr>
          <w:b w:val="0"/>
        </w:rPr>
        <w:t>Nenhuma alteração irreversível de produção é executada autonomamente por LLM.</w:t>
      </w:r>
    </w:p>
    <w:p>
      <w:pPr>
        <w:pStyle w:val="ListBullet"/>
      </w:pPr>
      <w:r>
        <w:rPr>
          <w:b w:val="0"/>
        </w:rPr>
        <w:t>Planos comerciais são traduzidos por entitlements, não por if/else espalhado nas telas.</w:t>
      </w:r>
    </w:p>
    <w:p>
      <w:pPr>
        <w:pStyle w:val="ListBullet"/>
      </w:pPr>
      <w:r>
        <w:rPr>
          <w:b w:val="0"/>
        </w:rPr>
        <w:t>Modular monolith primeiro; extrair microserviços somente quando carga, segurança ou independência operacional justificarem.</w:t>
      </w:r>
    </w:p>
    <w:p>
      <w:pPr>
        <w:pStyle w:val="Heading2"/>
      </w:pPr>
      <w:r>
        <w:t>32.3 Linguagens, frameworks e stack definitiva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2232"/>
            <w:vAlign w:val="center"/>
          </w:tcPr>
          <w:p>
            <w:r>
              <w:rPr>
                <w:b/>
                <w:sz w:val="14"/>
              </w:rPr>
              <w:t>Camada</w:t>
            </w:r>
          </w:p>
        </w:tc>
        <w:tc>
          <w:tcPr>
            <w:tcW w:type="dxa" w:w="3816"/>
            <w:vAlign w:val="center"/>
          </w:tcPr>
          <w:p>
            <w:r>
              <w:rPr>
                <w:b/>
                <w:sz w:val="14"/>
              </w:rPr>
              <w:t>Baseline final</w:t>
            </w:r>
          </w:p>
        </w:tc>
        <w:tc>
          <w:tcPr>
            <w:tcW w:type="dxa" w:w="4392"/>
            <w:vAlign w:val="center"/>
          </w:tcPr>
          <w:p>
            <w:r>
              <w:rPr>
                <w:b/>
                <w:sz w:val="14"/>
              </w:rPr>
              <w:t>Motivo</w:t>
            </w:r>
          </w:p>
        </w:tc>
      </w:tr>
      <w:tr>
        <w:trPr>
          <w:cantSplit/>
          <w:cantSplit/>
        </w:trPr>
        <w:tc>
          <w:tcPr>
            <w:tcW w:type="dxa" w:w="2232"/>
            <w:vAlign w:val="top"/>
          </w:tcPr>
          <w:p>
            <w:r>
              <w:rPr>
                <w:sz w:val="14"/>
              </w:rPr>
              <w:t>Frontend público/cliente/admin</w:t>
            </w:r>
          </w:p>
        </w:tc>
        <w:tc>
          <w:tcPr>
            <w:tcW w:type="dxa" w:w="3816"/>
            <w:vAlign w:val="top"/>
          </w:tcPr>
          <w:p>
            <w:r>
              <w:rPr>
                <w:sz w:val="14"/>
              </w:rPr>
              <w:t>TypeScript + React + Next.js</w:t>
            </w:r>
          </w:p>
        </w:tc>
        <w:tc>
          <w:tcPr>
            <w:tcW w:type="dxa" w:w="4392"/>
            <w:vAlign w:val="top"/>
          </w:tcPr>
          <w:p>
            <w:r>
              <w:rPr>
                <w:sz w:val="14"/>
              </w:rPr>
              <w:t>Unifica site SSR/SEO, aplicação autenticada e Admin, preservando ecossistema React observado no Urbit.</w:t>
            </w:r>
          </w:p>
        </w:tc>
      </w:tr>
      <w:tr>
        <w:trPr>
          <w:cantSplit/>
          <w:cantSplit/>
        </w:trPr>
        <w:tc>
          <w:tcPr>
            <w:tcW w:type="dxa" w:w="2232"/>
            <w:vAlign w:val="top"/>
          </w:tcPr>
          <w:p>
            <w:r>
              <w:rPr>
                <w:sz w:val="14"/>
              </w:rPr>
              <w:t>UI / Design System</w:t>
            </w:r>
          </w:p>
        </w:tc>
        <w:tc>
          <w:tcPr>
            <w:tcW w:type="dxa" w:w="3816"/>
            <w:vAlign w:val="top"/>
          </w:tcPr>
          <w:p>
            <w:r>
              <w:rPr>
                <w:sz w:val="14"/>
              </w:rPr>
              <w:t>CSS variables + Tailwind utilities + Radix primitives + componentes próprios</w:t>
            </w:r>
          </w:p>
        </w:tc>
        <w:tc>
          <w:tcPr>
            <w:tcW w:type="dxa" w:w="4392"/>
            <w:vAlign w:val="top"/>
          </w:tcPr>
          <w:p>
            <w:r>
              <w:rPr>
                <w:sz w:val="14"/>
              </w:rPr>
              <w:t>Permite reproduzir Registro Rural/Urbit sem depender visualmente de um kit genérico; acessibilidade nos primitives.</w:t>
            </w:r>
          </w:p>
        </w:tc>
      </w:tr>
      <w:tr>
        <w:trPr>
          <w:cantSplit/>
          <w:cantSplit/>
        </w:trPr>
        <w:tc>
          <w:tcPr>
            <w:tcW w:type="dxa" w:w="2232"/>
            <w:vAlign w:val="top"/>
          </w:tcPr>
          <w:p>
            <w:r>
              <w:rPr>
                <w:sz w:val="14"/>
              </w:rPr>
              <w:t>Core API / BFF</w:t>
            </w:r>
          </w:p>
        </w:tc>
        <w:tc>
          <w:tcPr>
            <w:tcW w:type="dxa" w:w="3816"/>
            <w:vAlign w:val="top"/>
          </w:tcPr>
          <w:p>
            <w:r>
              <w:rPr>
                <w:sz w:val="14"/>
              </w:rPr>
              <w:t>TypeScript + NestJS + Fastify Adapter + Mercurius</w:t>
            </w:r>
          </w:p>
        </w:tc>
        <w:tc>
          <w:tcPr>
            <w:tcW w:type="dxa" w:w="4392"/>
            <w:vAlign w:val="top"/>
          </w:tcPr>
          <w:p>
            <w:r>
              <w:rPr>
                <w:sz w:val="14"/>
              </w:rPr>
              <w:t>Modularidade, REST/GraphQL, performance do Fastify e compatibilidade conceitual com contratos Urbit.</w:t>
            </w:r>
          </w:p>
        </w:tc>
      </w:tr>
      <w:tr>
        <w:trPr>
          <w:cantSplit/>
          <w:cantSplit/>
        </w:trPr>
        <w:tc>
          <w:tcPr>
            <w:tcW w:type="dxa" w:w="2232"/>
            <w:vAlign w:val="top"/>
          </w:tcPr>
          <w:p>
            <w:r>
              <w:rPr>
                <w:sz w:val="14"/>
              </w:rPr>
              <w:t>Workers / ETL / IA / engenharia</w:t>
            </w:r>
          </w:p>
        </w:tc>
        <w:tc>
          <w:tcPr>
            <w:tcW w:type="dxa" w:w="3816"/>
            <w:vAlign w:val="top"/>
          </w:tcPr>
          <w:p>
            <w:r>
              <w:rPr>
                <w:sz w:val="14"/>
              </w:rPr>
              <w:t>Python 3.13+</w:t>
            </w:r>
          </w:p>
        </w:tc>
        <w:tc>
          <w:tcPr>
            <w:tcW w:type="dxa" w:w="4392"/>
            <w:vAlign w:val="top"/>
          </w:tcPr>
          <w:p>
            <w:r>
              <w:rPr>
                <w:sz w:val="14"/>
              </w:rPr>
              <w:t>GDAL, GeoPandas, rasterio, OCR/parsers, ciência de dados, RAG, solar, CAD/BIM e solvers.</w:t>
            </w:r>
          </w:p>
        </w:tc>
      </w:tr>
      <w:tr>
        <w:trPr>
          <w:cantSplit/>
          <w:cantSplit/>
        </w:trPr>
        <w:tc>
          <w:tcPr>
            <w:tcW w:type="dxa" w:w="2232"/>
            <w:vAlign w:val="top"/>
          </w:tcPr>
          <w:p>
            <w:r>
              <w:rPr>
                <w:sz w:val="14"/>
              </w:rPr>
              <w:t>Banco principal</w:t>
            </w:r>
          </w:p>
        </w:tc>
        <w:tc>
          <w:tcPr>
            <w:tcW w:type="dxa" w:w="3816"/>
            <w:vAlign w:val="top"/>
          </w:tcPr>
          <w:p>
            <w:r>
              <w:rPr>
                <w:sz w:val="14"/>
              </w:rPr>
              <w:t>PostgreSQL 18 + PostGIS 3.6</w:t>
            </w:r>
          </w:p>
        </w:tc>
        <w:tc>
          <w:tcPr>
            <w:tcW w:type="dxa" w:w="4392"/>
            <w:vAlign w:val="top"/>
          </w:tcPr>
          <w:p>
            <w:r>
              <w:rPr>
                <w:sz w:val="14"/>
              </w:rPr>
              <w:t>Transações, multi-tenant, regras e GIS no mesmo núcleo consistente.</w:t>
            </w:r>
          </w:p>
        </w:tc>
      </w:tr>
      <w:tr>
        <w:trPr>
          <w:cantSplit/>
          <w:cantSplit/>
        </w:trPr>
        <w:tc>
          <w:tcPr>
            <w:tcW w:type="dxa" w:w="2232"/>
            <w:vAlign w:val="top"/>
          </w:tcPr>
          <w:p>
            <w:r>
              <w:rPr>
                <w:sz w:val="14"/>
              </w:rPr>
              <w:t>Busca híbrida</w:t>
            </w:r>
          </w:p>
        </w:tc>
        <w:tc>
          <w:tcPr>
            <w:tcW w:type="dxa" w:w="3816"/>
            <w:vAlign w:val="top"/>
          </w:tcPr>
          <w:p>
            <w:r>
              <w:rPr>
                <w:sz w:val="14"/>
              </w:rPr>
              <w:t>OpenSearch</w:t>
            </w:r>
          </w:p>
        </w:tc>
        <w:tc>
          <w:tcPr>
            <w:tcW w:type="dxa" w:w="4392"/>
            <w:vAlign w:val="top"/>
          </w:tcPr>
          <w:p>
            <w:r>
              <w:rPr>
                <w:sz w:val="14"/>
              </w:rPr>
              <w:t>BM25 + filtros + vector search para legislação/documentos; sem banco vetorial separado no baseline.</w:t>
            </w:r>
          </w:p>
        </w:tc>
      </w:tr>
      <w:tr>
        <w:trPr>
          <w:cantSplit/>
          <w:cantSplit/>
        </w:trPr>
        <w:tc>
          <w:tcPr>
            <w:tcW w:type="dxa" w:w="2232"/>
            <w:vAlign w:val="top"/>
          </w:tcPr>
          <w:p>
            <w:r>
              <w:rPr>
                <w:sz w:val="14"/>
              </w:rPr>
              <w:t>Object Storage</w:t>
            </w:r>
          </w:p>
        </w:tc>
        <w:tc>
          <w:tcPr>
            <w:tcW w:type="dxa" w:w="3816"/>
            <w:vAlign w:val="top"/>
          </w:tcPr>
          <w:p>
            <w:r>
              <w:rPr>
                <w:sz w:val="14"/>
              </w:rPr>
              <w:t>S3 compatível / MinIO</w:t>
            </w:r>
          </w:p>
        </w:tc>
        <w:tc>
          <w:tcPr>
            <w:tcW w:type="dxa" w:w="4392"/>
            <w:vAlign w:val="top"/>
          </w:tcPr>
          <w:p>
            <w:r>
              <w:rPr>
                <w:sz w:val="14"/>
              </w:rPr>
              <w:t>Originais imutáveis, PDFs, imagens, raster, KMZ, CAD/BIM, snapshots e relatórios.</w:t>
            </w:r>
          </w:p>
        </w:tc>
      </w:tr>
      <w:tr>
        <w:trPr>
          <w:cantSplit/>
          <w:cantSplit/>
        </w:trPr>
        <w:tc>
          <w:tcPr>
            <w:tcW w:type="dxa" w:w="2232"/>
            <w:vAlign w:val="top"/>
          </w:tcPr>
          <w:p>
            <w:r>
              <w:rPr>
                <w:sz w:val="14"/>
              </w:rPr>
              <w:t>Cache</w:t>
            </w:r>
          </w:p>
        </w:tc>
        <w:tc>
          <w:tcPr>
            <w:tcW w:type="dxa" w:w="3816"/>
            <w:vAlign w:val="top"/>
          </w:tcPr>
          <w:p>
            <w:r>
              <w:rPr>
                <w:sz w:val="14"/>
              </w:rPr>
              <w:t>Valkey</w:t>
            </w:r>
          </w:p>
        </w:tc>
        <w:tc>
          <w:tcPr>
            <w:tcW w:type="dxa" w:w="4392"/>
            <w:vAlign w:val="top"/>
          </w:tcPr>
          <w:p>
            <w:r>
              <w:rPr>
                <w:sz w:val="14"/>
              </w:rPr>
              <w:t>Cache, locks leves, rate counters e resultados derivados curtos.</w:t>
            </w:r>
          </w:p>
        </w:tc>
      </w:tr>
      <w:tr>
        <w:trPr>
          <w:cantSplit/>
          <w:cantSplit/>
        </w:trPr>
        <w:tc>
          <w:tcPr>
            <w:tcW w:type="dxa" w:w="2232"/>
            <w:vAlign w:val="top"/>
          </w:tcPr>
          <w:p>
            <w:r>
              <w:rPr>
                <w:sz w:val="14"/>
              </w:rPr>
              <w:t>Eventos</w:t>
            </w:r>
          </w:p>
        </w:tc>
        <w:tc>
          <w:tcPr>
            <w:tcW w:type="dxa" w:w="3816"/>
            <w:vAlign w:val="top"/>
          </w:tcPr>
          <w:p>
            <w:r>
              <w:rPr>
                <w:sz w:val="14"/>
              </w:rPr>
              <w:t>NATS JetStream</w:t>
            </w:r>
          </w:p>
        </w:tc>
        <w:tc>
          <w:tcPr>
            <w:tcW w:type="dxa" w:w="4392"/>
            <w:vAlign w:val="top"/>
          </w:tcPr>
          <w:p>
            <w:r>
              <w:rPr>
                <w:sz w:val="14"/>
              </w:rPr>
              <w:t>Pub/sub, durable streams e menor complexidade operacional que Kafka no estágio inicial.</w:t>
            </w:r>
          </w:p>
        </w:tc>
      </w:tr>
      <w:tr>
        <w:trPr>
          <w:cantSplit/>
          <w:cantSplit/>
        </w:trPr>
        <w:tc>
          <w:tcPr>
            <w:tcW w:type="dxa" w:w="2232"/>
            <w:vAlign w:val="top"/>
          </w:tcPr>
          <w:p>
            <w:r>
              <w:rPr>
                <w:sz w:val="14"/>
              </w:rPr>
              <w:t>ETL orchestration</w:t>
            </w:r>
          </w:p>
        </w:tc>
        <w:tc>
          <w:tcPr>
            <w:tcW w:type="dxa" w:w="3816"/>
            <w:vAlign w:val="top"/>
          </w:tcPr>
          <w:p>
            <w:r>
              <w:rPr>
                <w:sz w:val="14"/>
              </w:rPr>
              <w:t>Dagster</w:t>
            </w:r>
          </w:p>
        </w:tc>
        <w:tc>
          <w:tcPr>
            <w:tcW w:type="dxa" w:w="4392"/>
            <w:vAlign w:val="top"/>
          </w:tcPr>
          <w:p>
            <w:r>
              <w:rPr>
                <w:sz w:val="14"/>
              </w:rPr>
              <w:t>Assets de dados, schedules, retries, lineage operacional e reprocessamento.</w:t>
            </w:r>
          </w:p>
        </w:tc>
      </w:tr>
      <w:tr>
        <w:trPr>
          <w:cantSplit/>
          <w:cantSplit/>
        </w:trPr>
        <w:tc>
          <w:tcPr>
            <w:tcW w:type="dxa" w:w="2232"/>
            <w:vAlign w:val="top"/>
          </w:tcPr>
          <w:p>
            <w:r>
              <w:rPr>
                <w:sz w:val="14"/>
              </w:rPr>
              <w:t>Tiles</w:t>
            </w:r>
          </w:p>
        </w:tc>
        <w:tc>
          <w:tcPr>
            <w:tcW w:type="dxa" w:w="3816"/>
            <w:vAlign w:val="top"/>
          </w:tcPr>
          <w:p>
            <w:r>
              <w:rPr>
                <w:sz w:val="14"/>
              </w:rPr>
              <w:t>Martin</w:t>
            </w:r>
          </w:p>
        </w:tc>
        <w:tc>
          <w:tcPr>
            <w:tcW w:type="dxa" w:w="4392"/>
            <w:vAlign w:val="top"/>
          </w:tcPr>
          <w:p>
            <w:r>
              <w:rPr>
                <w:sz w:val="14"/>
              </w:rPr>
              <w:t>MVT direto de views seguras do PostGIS.</w:t>
            </w:r>
          </w:p>
        </w:tc>
      </w:tr>
      <w:tr>
        <w:trPr>
          <w:cantSplit/>
          <w:cantSplit/>
        </w:trPr>
        <w:tc>
          <w:tcPr>
            <w:tcW w:type="dxa" w:w="2232"/>
            <w:vAlign w:val="top"/>
          </w:tcPr>
          <w:p>
            <w:r>
              <w:rPr>
                <w:sz w:val="14"/>
              </w:rPr>
              <w:t>GIS interoperável</w:t>
            </w:r>
          </w:p>
        </w:tc>
        <w:tc>
          <w:tcPr>
            <w:tcW w:type="dxa" w:w="3816"/>
            <w:vAlign w:val="top"/>
          </w:tcPr>
          <w:p>
            <w:r>
              <w:rPr>
                <w:sz w:val="14"/>
              </w:rPr>
              <w:t>GeoServer somente quando WMS/WFS/OGC forem necessários</w:t>
            </w:r>
          </w:p>
        </w:tc>
        <w:tc>
          <w:tcPr>
            <w:tcW w:type="dxa" w:w="4392"/>
            <w:vAlign w:val="top"/>
          </w:tcPr>
          <w:p>
            <w:r>
              <w:rPr>
                <w:sz w:val="14"/>
              </w:rPr>
              <w:t>Não colocar GeoServer no caminho crítico do app; usá-lo para interoperabilidade.</w:t>
            </w:r>
          </w:p>
        </w:tc>
      </w:tr>
      <w:tr>
        <w:trPr>
          <w:cantSplit/>
          <w:cantSplit/>
        </w:trPr>
        <w:tc>
          <w:tcPr>
            <w:tcW w:type="dxa" w:w="2232"/>
            <w:vAlign w:val="top"/>
          </w:tcPr>
          <w:p>
            <w:r>
              <w:rPr>
                <w:sz w:val="14"/>
              </w:rPr>
              <w:t>Mapa 2D/2.5D</w:t>
            </w:r>
          </w:p>
        </w:tc>
        <w:tc>
          <w:tcPr>
            <w:tcW w:type="dxa" w:w="3816"/>
            <w:vAlign w:val="top"/>
          </w:tcPr>
          <w:p>
            <w:r>
              <w:rPr>
                <w:sz w:val="14"/>
              </w:rPr>
              <w:t>MapLibre GL JS + deck.gl</w:t>
            </w:r>
          </w:p>
        </w:tc>
        <w:tc>
          <w:tcPr>
            <w:tcW w:type="dxa" w:w="4392"/>
            <w:vAlign w:val="top"/>
          </w:tcPr>
          <w:p>
            <w:r>
              <w:rPr>
                <w:sz w:val="14"/>
              </w:rPr>
              <w:t>MVT, camadas grandes, desenho, heatmaps e independência de Mapbox proprietário.</w:t>
            </w:r>
          </w:p>
        </w:tc>
      </w:tr>
      <w:tr>
        <w:trPr>
          <w:cantSplit/>
          <w:cantSplit/>
        </w:trPr>
        <w:tc>
          <w:tcPr>
            <w:tcW w:type="dxa" w:w="2232"/>
            <w:vAlign w:val="top"/>
          </w:tcPr>
          <w:p>
            <w:r>
              <w:rPr>
                <w:sz w:val="14"/>
              </w:rPr>
              <w:t>3D / A.I TEC / Solar</w:t>
            </w:r>
          </w:p>
        </w:tc>
        <w:tc>
          <w:tcPr>
            <w:tcW w:type="dxa" w:w="3816"/>
            <w:vAlign w:val="top"/>
          </w:tcPr>
          <w:p>
            <w:r>
              <w:rPr>
                <w:sz w:val="14"/>
              </w:rPr>
              <w:t>Three.js/React Three Fiber + CesiumJS quando terreno/globo 3D for necessário</w:t>
            </w:r>
          </w:p>
        </w:tc>
        <w:tc>
          <w:tcPr>
            <w:tcW w:type="dxa" w:w="4392"/>
            <w:vAlign w:val="top"/>
          </w:tcPr>
          <w:p>
            <w:r>
              <w:rPr>
                <w:sz w:val="14"/>
              </w:rPr>
              <w:t>Editor local de projeto + contexto geoespacial 3D.</w:t>
            </w:r>
          </w:p>
        </w:tc>
      </w:tr>
      <w:tr>
        <w:trPr>
          <w:cantSplit/>
          <w:cantSplit/>
        </w:trPr>
        <w:tc>
          <w:tcPr>
            <w:tcW w:type="dxa" w:w="2232"/>
            <w:vAlign w:val="top"/>
          </w:tcPr>
          <w:p>
            <w:r>
              <w:rPr>
                <w:sz w:val="14"/>
              </w:rPr>
              <w:t>BIM/CAD</w:t>
            </w:r>
          </w:p>
        </w:tc>
        <w:tc>
          <w:tcPr>
            <w:tcW w:type="dxa" w:w="3816"/>
            <w:vAlign w:val="top"/>
          </w:tcPr>
          <w:p>
            <w:r>
              <w:rPr>
                <w:sz w:val="14"/>
              </w:rPr>
              <w:t>IfcOpenShell + OpenCascade + conversores licenciados para DWG quando necessários</w:t>
            </w:r>
          </w:p>
        </w:tc>
        <w:tc>
          <w:tcPr>
            <w:tcW w:type="dxa" w:w="4392"/>
            <w:vAlign w:val="top"/>
          </w:tcPr>
          <w:p>
            <w:r>
              <w:rPr>
                <w:sz w:val="14"/>
              </w:rPr>
              <w:t>IFC aberto; DWG exige tratamento/licença específica, não será fingido como suporte open source irrestrito.</w:t>
            </w:r>
          </w:p>
        </w:tc>
      </w:tr>
      <w:tr>
        <w:trPr>
          <w:cantSplit/>
          <w:cantSplit/>
        </w:trPr>
        <w:tc>
          <w:tcPr>
            <w:tcW w:type="dxa" w:w="2232"/>
            <w:vAlign w:val="top"/>
          </w:tcPr>
          <w:p>
            <w:r>
              <w:rPr>
                <w:sz w:val="14"/>
              </w:rPr>
              <w:t>IAM</w:t>
            </w:r>
          </w:p>
        </w:tc>
        <w:tc>
          <w:tcPr>
            <w:tcW w:type="dxa" w:w="3816"/>
            <w:vAlign w:val="top"/>
          </w:tcPr>
          <w:p>
            <w:r>
              <w:rPr>
                <w:sz w:val="14"/>
              </w:rPr>
              <w:t>Keycloak OIDC/OAuth2</w:t>
            </w:r>
          </w:p>
        </w:tc>
        <w:tc>
          <w:tcPr>
            <w:tcW w:type="dxa" w:w="4392"/>
            <w:vAlign w:val="top"/>
          </w:tcPr>
          <w:p>
            <w:r>
              <w:rPr>
                <w:sz w:val="14"/>
              </w:rPr>
              <w:t>SSO, MFA/WebAuthn, clientes separados para app/admin e federação futura.</w:t>
            </w:r>
          </w:p>
        </w:tc>
      </w:tr>
      <w:tr>
        <w:trPr>
          <w:cantSplit/>
          <w:cantSplit/>
        </w:trPr>
        <w:tc>
          <w:tcPr>
            <w:tcW w:type="dxa" w:w="2232"/>
            <w:vAlign w:val="top"/>
          </w:tcPr>
          <w:p>
            <w:r>
              <w:rPr>
                <w:sz w:val="14"/>
              </w:rPr>
              <w:t>Edge</w:t>
            </w:r>
          </w:p>
        </w:tc>
        <w:tc>
          <w:tcPr>
            <w:tcW w:type="dxa" w:w="3816"/>
            <w:vAlign w:val="top"/>
          </w:tcPr>
          <w:p>
            <w:r>
              <w:rPr>
                <w:sz w:val="14"/>
              </w:rPr>
              <w:t>Caddy</w:t>
            </w:r>
          </w:p>
        </w:tc>
        <w:tc>
          <w:tcPr>
            <w:tcW w:type="dxa" w:w="4392"/>
            <w:vAlign w:val="top"/>
          </w:tcPr>
          <w:p>
            <w:r>
              <w:rPr>
                <w:sz w:val="14"/>
              </w:rPr>
              <w:t>TLS, reverse proxy, compressão, headers e roteamento simples; WAF/CDN pode ficar à frente em produção.</w:t>
            </w:r>
          </w:p>
        </w:tc>
      </w:tr>
      <w:tr>
        <w:trPr>
          <w:cantSplit/>
          <w:cantSplit/>
        </w:trPr>
        <w:tc>
          <w:tcPr>
            <w:tcW w:type="dxa" w:w="2232"/>
            <w:vAlign w:val="top"/>
          </w:tcPr>
          <w:p>
            <w:r>
              <w:rPr>
                <w:sz w:val="14"/>
              </w:rPr>
              <w:t>Observabilidade</w:t>
            </w:r>
          </w:p>
        </w:tc>
        <w:tc>
          <w:tcPr>
            <w:tcW w:type="dxa" w:w="3816"/>
            <w:vAlign w:val="top"/>
          </w:tcPr>
          <w:p>
            <w:r>
              <w:rPr>
                <w:sz w:val="14"/>
              </w:rPr>
              <w:t>OpenTelemetry + Prometheus + Grafana + Loki</w:t>
            </w:r>
          </w:p>
        </w:tc>
        <w:tc>
          <w:tcPr>
            <w:tcW w:type="dxa" w:w="4392"/>
            <w:vAlign w:val="top"/>
          </w:tcPr>
          <w:p>
            <w:r>
              <w:rPr>
                <w:sz w:val="14"/>
              </w:rPr>
              <w:t>Traces, métricas, logs, SLOs e vendor neutrality.</w:t>
            </w:r>
          </w:p>
        </w:tc>
      </w:tr>
      <w:tr>
        <w:trPr>
          <w:cantSplit/>
          <w:cantSplit/>
        </w:trPr>
        <w:tc>
          <w:tcPr>
            <w:tcW w:type="dxa" w:w="2232"/>
            <w:vAlign w:val="top"/>
          </w:tcPr>
          <w:p>
            <w:r>
              <w:rPr>
                <w:sz w:val="14"/>
              </w:rPr>
              <w:t>Analytics</w:t>
            </w:r>
          </w:p>
        </w:tc>
        <w:tc>
          <w:tcPr>
            <w:tcW w:type="dxa" w:w="3816"/>
            <w:vAlign w:val="top"/>
          </w:tcPr>
          <w:p>
            <w:r>
              <w:rPr>
                <w:sz w:val="14"/>
              </w:rPr>
              <w:t>Parquet + dbt + DuckDB; ClickHouse quando necessário</w:t>
            </w:r>
          </w:p>
        </w:tc>
        <w:tc>
          <w:tcPr>
            <w:tcW w:type="dxa" w:w="4392"/>
            <w:vAlign w:val="top"/>
          </w:tcPr>
          <w:p>
            <w:r>
              <w:rPr>
                <w:sz w:val="14"/>
              </w:rPr>
              <w:t>Evita sobrecarregar OLTP e permite evoluir sem complexidade prematura.</w:t>
            </w:r>
          </w:p>
        </w:tc>
      </w:tr>
    </w:tbl>
    <w:p/>
    <w:p>
      <w:r>
        <w:drawing>
          <wp:inline xmlns:a="http://schemas.openxmlformats.org/drawingml/2006/main" xmlns:pic="http://schemas.openxmlformats.org/drawingml/2006/picture">
            <wp:extent cx="6172200" cy="3819681"/>
            <wp:docPr id="16" name="Picture 16" descr="Figura — Baseline de runtime: três frontends, dois planos de API, motores especializados e stores compartilhados." title="Figura — Baseline de runtime: três frontends, dois planos de API, motores especializados e stores compartilhados."/>
            <wp:cNvGraphicFramePr>
              <a:graphicFrameLocks noChangeAspect="1"/>
            </wp:cNvGraphicFramePr>
            <a:graphic>
              <a:graphicData uri="http://schemas.openxmlformats.org/drawingml/2006/picture">
                <pic:pic>
                  <pic:nvPicPr>
                    <pic:cNvPr id="0" name="runtime_architecture_v20.png"/>
                    <pic:cNvPicPr/>
                  </pic:nvPicPr>
                  <pic:blipFill>
                    <a:blip r:embed="rId26"/>
                    <a:stretch>
                      <a:fillRect/>
                    </a:stretch>
                  </pic:blipFill>
                  <pic:spPr>
                    <a:xfrm>
                      <a:off x="0" y="0"/>
                      <a:ext cx="6172200" cy="3819681"/>
                    </a:xfrm>
                    <a:prstGeom prst="rect"/>
                  </pic:spPr>
                </pic:pic>
              </a:graphicData>
            </a:graphic>
          </wp:inline>
        </w:drawing>
      </w:r>
    </w:p>
    <w:p>
      <w:pPr>
        <w:pStyle w:val="CaptionLD"/>
        <w:jc w:val="center"/>
      </w:pPr>
      <w:r>
        <w:t>Figura — Baseline de runtime: três frontends, dois planos de API, motores especializados e stores compartilhados.</w:t>
      </w:r>
    </w:p>
    <w:p>
      <w:pPr>
        <w:pStyle w:val="Heading2"/>
      </w:pPr>
      <w:r>
        <w:t>32.4 Por que modular monolith e não dezenas de microserviços</w:t>
      </w:r>
    </w:p>
    <w:p>
      <w:r>
        <w:rPr>
          <w:b w:val="0"/>
        </w:rPr>
        <w:t>O produto possui muitos domínios, mas a maioria precisa de transações e evolução coordenada. O baseline será um modular monolith no Platform API, com módulos internos bem isolados e contratos explícitos. Processos que exigem escala/segurança/compute independentes ficam separados desde o início: Control API, AI Gateway, A.I TEC/Solar workers, ETL e serviços de tiles/search.</w:t>
      </w:r>
    </w:p>
    <w:p>
      <w:pPr>
        <w:pStyle w:val="ListBullet"/>
      </w:pPr>
      <w:r>
        <w:rPr>
          <w:b w:val="0"/>
        </w:rPr>
        <w:t>Evita distributed transactions e debugging excessivo no MVP.</w:t>
      </w:r>
    </w:p>
    <w:p>
      <w:pPr>
        <w:pStyle w:val="ListBullet"/>
      </w:pPr>
      <w:r>
        <w:rPr>
          <w:b w:val="0"/>
        </w:rPr>
        <w:t>Permite um único deploy do core sem misturar o Admin Control Plane com o Data Plane do cliente.</w:t>
      </w:r>
    </w:p>
    <w:p>
      <w:pPr>
        <w:pStyle w:val="ListBullet"/>
      </w:pPr>
      <w:r>
        <w:rPr>
          <w:b w:val="0"/>
        </w:rPr>
        <w:t>Bounded contexts têm interfaces internas e ownership de tabelas; acesso cruzado ocorre por serviço/repositório definido.</w:t>
      </w:r>
    </w:p>
    <w:p>
      <w:pPr>
        <w:pStyle w:val="ListBullet"/>
      </w:pPr>
      <w:r>
        <w:rPr>
          <w:b w:val="0"/>
        </w:rPr>
        <w:t>Quando um módulo exigir escala independente, ele pode ser extraído porque contratos e eventos já existem.</w:t>
      </w:r>
    </w:p>
    <w:p>
      <w:pPr>
        <w:pStyle w:val="Heading2"/>
      </w:pPr>
      <w:r>
        <w:t>32.5 Frontends e origens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2448"/>
            <w:vAlign w:val="center"/>
          </w:tcPr>
          <w:p>
            <w:r>
              <w:rPr>
                <w:b/>
                <w:sz w:val="15"/>
              </w:rPr>
              <w:t>Origem</w:t>
            </w:r>
          </w:p>
        </w:tc>
        <w:tc>
          <w:tcPr>
            <w:tcW w:type="dxa" w:w="3240"/>
            <w:vAlign w:val="center"/>
          </w:tcPr>
          <w:p>
            <w:r>
              <w:rPr>
                <w:b/>
                <w:sz w:val="15"/>
              </w:rPr>
              <w:t>Aplicação</w:t>
            </w:r>
          </w:p>
        </w:tc>
        <w:tc>
          <w:tcPr>
            <w:tcW w:type="dxa" w:w="4752"/>
            <w:vAlign w:val="center"/>
          </w:tcPr>
          <w:p>
            <w:r>
              <w:rPr>
                <w:b/>
                <w:sz w:val="15"/>
              </w:rPr>
              <w:t>Regra</w:t>
            </w:r>
          </w:p>
        </w:tc>
      </w:tr>
      <w:tr>
        <w:trPr>
          <w:cantSplit/>
          <w:cantSplit/>
        </w:trPr>
        <w:tc>
          <w:tcPr>
            <w:tcW w:type="dxa" w:w="2448"/>
            <w:vAlign w:val="top"/>
          </w:tcPr>
          <w:p>
            <w:r>
              <w:rPr>
                <w:sz w:val="15"/>
              </w:rPr>
              <w:t>www.lotediretor.com.br</w:t>
            </w:r>
          </w:p>
        </w:tc>
        <w:tc>
          <w:tcPr>
            <w:tcW w:type="dxa" w:w="3240"/>
            <w:vAlign w:val="top"/>
          </w:tcPr>
          <w:p>
            <w:r>
              <w:rPr>
                <w:sz w:val="15"/>
              </w:rPr>
              <w:t>Site institucional Next.js SSR/SSG</w:t>
            </w:r>
          </w:p>
        </w:tc>
        <w:tc>
          <w:tcPr>
            <w:tcW w:type="dxa" w:w="4752"/>
            <w:vAlign w:val="top"/>
          </w:tcPr>
          <w:p>
            <w:r>
              <w:rPr>
                <w:sz w:val="15"/>
              </w:rPr>
              <w:t>SEO, conteúdo CMS, planos, produtos, segmentos, blog, contato e conversão.</w:t>
            </w:r>
          </w:p>
        </w:tc>
      </w:tr>
      <w:tr>
        <w:trPr>
          <w:cantSplit/>
          <w:cantSplit/>
        </w:trPr>
        <w:tc>
          <w:tcPr>
            <w:tcW w:type="dxa" w:w="2448"/>
            <w:vAlign w:val="top"/>
          </w:tcPr>
          <w:p>
            <w:r>
              <w:rPr>
                <w:sz w:val="15"/>
              </w:rPr>
              <w:t>app.lotediretor.com.br</w:t>
            </w:r>
          </w:p>
        </w:tc>
        <w:tc>
          <w:tcPr>
            <w:tcW w:type="dxa" w:w="3240"/>
            <w:vAlign w:val="top"/>
          </w:tcPr>
          <w:p>
            <w:r>
              <w:rPr>
                <w:sz w:val="15"/>
              </w:rPr>
              <w:t>Aplicação do cliente</w:t>
            </w:r>
          </w:p>
        </w:tc>
        <w:tc>
          <w:tcPr>
            <w:tcW w:type="dxa" w:w="4752"/>
            <w:vAlign w:val="top"/>
          </w:tcPr>
          <w:p>
            <w:r>
              <w:rPr>
                <w:sz w:val="15"/>
              </w:rPr>
              <w:t>OIDC, shell Registro Rural, módulos por entitlement e mapas/3D.</w:t>
            </w:r>
          </w:p>
        </w:tc>
      </w:tr>
      <w:tr>
        <w:trPr>
          <w:cantSplit/>
          <w:cantSplit/>
        </w:trPr>
        <w:tc>
          <w:tcPr>
            <w:tcW w:type="dxa" w:w="2448"/>
            <w:vAlign w:val="top"/>
          </w:tcPr>
          <w:p>
            <w:r>
              <w:rPr>
                <w:sz w:val="15"/>
              </w:rPr>
              <w:t>admin.lotediretor.com.br</w:t>
            </w:r>
          </w:p>
        </w:tc>
        <w:tc>
          <w:tcPr>
            <w:tcW w:type="dxa" w:w="3240"/>
            <w:vAlign w:val="top"/>
          </w:tcPr>
          <w:p>
            <w:r>
              <w:rPr>
                <w:sz w:val="15"/>
              </w:rPr>
              <w:t>Painel Admin SaaS</w:t>
            </w:r>
          </w:p>
        </w:tc>
        <w:tc>
          <w:tcPr>
            <w:tcW w:type="dxa" w:w="4752"/>
            <w:vAlign w:val="top"/>
          </w:tcPr>
          <w:p>
            <w:r>
              <w:rPr>
                <w:sz w:val="15"/>
              </w:rPr>
              <w:t>Origem separada, MFA forte, RBAC e políticas administrativas.</w:t>
            </w:r>
          </w:p>
        </w:tc>
      </w:tr>
      <w:tr>
        <w:trPr>
          <w:cantSplit/>
          <w:cantSplit/>
        </w:trPr>
        <w:tc>
          <w:tcPr>
            <w:tcW w:type="dxa" w:w="2448"/>
            <w:vAlign w:val="top"/>
          </w:tcPr>
          <w:p>
            <w:r>
              <w:rPr>
                <w:sz w:val="15"/>
              </w:rPr>
              <w:t>api.lotediretor.com.br</w:t>
            </w:r>
          </w:p>
        </w:tc>
        <w:tc>
          <w:tcPr>
            <w:tcW w:type="dxa" w:w="3240"/>
            <w:vAlign w:val="top"/>
          </w:tcPr>
          <w:p>
            <w:r>
              <w:rPr>
                <w:sz w:val="15"/>
              </w:rPr>
              <w:t>Platform API</w:t>
            </w:r>
          </w:p>
        </w:tc>
        <w:tc>
          <w:tcPr>
            <w:tcW w:type="dxa" w:w="4752"/>
            <w:vAlign w:val="top"/>
          </w:tcPr>
          <w:p>
            <w:r>
              <w:rPr>
                <w:sz w:val="15"/>
              </w:rPr>
              <w:t>REST/GraphQL; não servir HTML público.</w:t>
            </w:r>
          </w:p>
        </w:tc>
      </w:tr>
      <w:tr>
        <w:trPr>
          <w:cantSplit/>
          <w:cantSplit/>
        </w:trPr>
        <w:tc>
          <w:tcPr>
            <w:tcW w:type="dxa" w:w="2448"/>
            <w:vAlign w:val="top"/>
          </w:tcPr>
          <w:p>
            <w:r>
              <w:rPr>
                <w:sz w:val="15"/>
              </w:rPr>
              <w:t>tiles.lotediretor.com.br</w:t>
            </w:r>
          </w:p>
        </w:tc>
        <w:tc>
          <w:tcPr>
            <w:tcW w:type="dxa" w:w="3240"/>
            <w:vAlign w:val="top"/>
          </w:tcPr>
          <w:p>
            <w:r>
              <w:rPr>
                <w:sz w:val="15"/>
              </w:rPr>
              <w:t>Martin / tiles</w:t>
            </w:r>
          </w:p>
        </w:tc>
        <w:tc>
          <w:tcPr>
            <w:tcW w:type="dxa" w:w="4752"/>
            <w:vAlign w:val="top"/>
          </w:tcPr>
          <w:p>
            <w:r>
              <w:rPr>
                <w:sz w:val="15"/>
              </w:rPr>
              <w:t>MVT e tiles derivados com autorização quando necessário.</w:t>
            </w:r>
          </w:p>
        </w:tc>
      </w:tr>
      <w:tr>
        <w:trPr>
          <w:cantSplit/>
          <w:cantSplit/>
        </w:trPr>
        <w:tc>
          <w:tcPr>
            <w:tcW w:type="dxa" w:w="2448"/>
            <w:vAlign w:val="top"/>
          </w:tcPr>
          <w:p>
            <w:r>
              <w:rPr>
                <w:sz w:val="15"/>
              </w:rPr>
              <w:t>files.lotediretor.com.br</w:t>
            </w:r>
          </w:p>
        </w:tc>
        <w:tc>
          <w:tcPr>
            <w:tcW w:type="dxa" w:w="3240"/>
            <w:vAlign w:val="top"/>
          </w:tcPr>
          <w:p>
            <w:r>
              <w:rPr>
                <w:sz w:val="15"/>
              </w:rPr>
              <w:t>Downloads assinados/CDN</w:t>
            </w:r>
          </w:p>
        </w:tc>
        <w:tc>
          <w:tcPr>
            <w:tcW w:type="dxa" w:w="4752"/>
            <w:vAlign w:val="top"/>
          </w:tcPr>
          <w:p>
            <w:r>
              <w:rPr>
                <w:sz w:val="15"/>
              </w:rPr>
              <w:t>URLs temporárias; object storage nunca público por padrão.</w:t>
            </w:r>
          </w:p>
        </w:tc>
      </w:tr>
    </w:tbl>
    <w:p/>
    <w:p>
      <w:pPr>
        <w:pStyle w:val="Heading2"/>
      </w:pPr>
      <w:r>
        <w:t>32.6 Direção visual definitiva</w:t>
      </w:r>
    </w:p>
    <w:p>
      <w:r>
        <w:rPr>
          <w:b w:val="0"/>
        </w:rPr>
        <w:t>A identidade visual deve combinar três referências sem criar uma colagem: Urbit define a presença institucional e o login; Registro Rural define densidade, botões, cards, rail e comportamento do painel; Arqgen inspira a simplicidade do fluxo de configuração/geração do A.I TEC. A marca final usa verde, branco e preto como paleta dominante.</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2232"/>
            <w:vAlign w:val="center"/>
          </w:tcPr>
          <w:p>
            <w:r>
              <w:rPr>
                <w:b/>
                <w:sz w:val="15"/>
              </w:rPr>
              <w:t>Token</w:t>
            </w:r>
          </w:p>
        </w:tc>
        <w:tc>
          <w:tcPr>
            <w:tcW w:type="dxa" w:w="1944"/>
            <w:vAlign w:val="center"/>
          </w:tcPr>
          <w:p>
            <w:r>
              <w:rPr>
                <w:b/>
                <w:sz w:val="15"/>
              </w:rPr>
              <w:t>Valor final</w:t>
            </w:r>
          </w:p>
        </w:tc>
        <w:tc>
          <w:tcPr>
            <w:tcW w:type="dxa" w:w="6264"/>
            <w:vAlign w:val="center"/>
          </w:tcPr>
          <w:p>
            <w:r>
              <w:rPr>
                <w:b/>
                <w:sz w:val="15"/>
              </w:rPr>
              <w:t>Uso</w:t>
            </w:r>
          </w:p>
        </w:tc>
      </w:tr>
      <w:tr>
        <w:trPr>
          <w:cantSplit/>
          <w:cantSplit/>
        </w:trPr>
        <w:tc>
          <w:tcPr>
            <w:tcW w:type="dxa" w:w="2232"/>
            <w:vAlign w:val="top"/>
          </w:tcPr>
          <w:p>
            <w:r>
              <w:rPr>
                <w:sz w:val="15"/>
              </w:rPr>
              <w:t>--brand-primary</w:t>
            </w:r>
          </w:p>
        </w:tc>
        <w:tc>
          <w:tcPr>
            <w:tcW w:type="dxa" w:w="1944"/>
            <w:vAlign w:val="top"/>
          </w:tcPr>
          <w:p>
            <w:r>
              <w:rPr>
                <w:sz w:val="15"/>
              </w:rPr>
              <w:t>#20A475</w:t>
            </w:r>
          </w:p>
        </w:tc>
        <w:tc>
          <w:tcPr>
            <w:tcW w:type="dxa" w:w="6264"/>
            <w:vAlign w:val="top"/>
          </w:tcPr>
          <w:p>
            <w:r>
              <w:rPr>
                <w:sz w:val="15"/>
              </w:rPr>
              <w:t>CTA institucional, estados ativos e highlights de marketing.</w:t>
            </w:r>
          </w:p>
        </w:tc>
      </w:tr>
      <w:tr>
        <w:trPr>
          <w:cantSplit/>
          <w:cantSplit/>
        </w:trPr>
        <w:tc>
          <w:tcPr>
            <w:tcW w:type="dxa" w:w="2232"/>
            <w:vAlign w:val="top"/>
          </w:tcPr>
          <w:p>
            <w:r>
              <w:rPr>
                <w:sz w:val="15"/>
              </w:rPr>
              <w:t>--brand-moss</w:t>
            </w:r>
          </w:p>
        </w:tc>
        <w:tc>
          <w:tcPr>
            <w:tcW w:type="dxa" w:w="1944"/>
            <w:vAlign w:val="top"/>
          </w:tcPr>
          <w:p>
            <w:r>
              <w:rPr>
                <w:sz w:val="15"/>
              </w:rPr>
              <w:t>#356854</w:t>
            </w:r>
          </w:p>
        </w:tc>
        <w:tc>
          <w:tcPr>
            <w:tcW w:type="dxa" w:w="6264"/>
            <w:vAlign w:val="top"/>
          </w:tcPr>
          <w:p>
            <w:r>
              <w:rPr>
                <w:sz w:val="15"/>
              </w:rPr>
              <w:t>Acento do app, botões primários internos, tabs e filtros ativos.</w:t>
            </w:r>
          </w:p>
        </w:tc>
      </w:tr>
      <w:tr>
        <w:trPr>
          <w:cantSplit/>
          <w:cantSplit/>
        </w:trPr>
        <w:tc>
          <w:tcPr>
            <w:tcW w:type="dxa" w:w="2232"/>
            <w:vAlign w:val="top"/>
          </w:tcPr>
          <w:p>
            <w:r>
              <w:rPr>
                <w:sz w:val="15"/>
              </w:rPr>
              <w:t>--brand-deep</w:t>
            </w:r>
          </w:p>
        </w:tc>
        <w:tc>
          <w:tcPr>
            <w:tcW w:type="dxa" w:w="1944"/>
            <w:vAlign w:val="top"/>
          </w:tcPr>
          <w:p>
            <w:r>
              <w:rPr>
                <w:sz w:val="15"/>
              </w:rPr>
              <w:t>#1F4035</w:t>
            </w:r>
          </w:p>
        </w:tc>
        <w:tc>
          <w:tcPr>
            <w:tcW w:type="dxa" w:w="6264"/>
            <w:vAlign w:val="top"/>
          </w:tcPr>
          <w:p>
            <w:r>
              <w:rPr>
                <w:sz w:val="15"/>
              </w:rPr>
              <w:t>Hover, títulos de destaque e superfícies institucionais.</w:t>
            </w:r>
          </w:p>
        </w:tc>
      </w:tr>
      <w:tr>
        <w:trPr>
          <w:cantSplit/>
          <w:cantSplit/>
        </w:trPr>
        <w:tc>
          <w:tcPr>
            <w:tcW w:type="dxa" w:w="2232"/>
            <w:vAlign w:val="top"/>
          </w:tcPr>
          <w:p>
            <w:r>
              <w:rPr>
                <w:sz w:val="15"/>
              </w:rPr>
              <w:t>--ink</w:t>
            </w:r>
          </w:p>
        </w:tc>
        <w:tc>
          <w:tcPr>
            <w:tcW w:type="dxa" w:w="1944"/>
            <w:vAlign w:val="top"/>
          </w:tcPr>
          <w:p>
            <w:r>
              <w:rPr>
                <w:sz w:val="15"/>
              </w:rPr>
              <w:t>#111827</w:t>
            </w:r>
          </w:p>
        </w:tc>
        <w:tc>
          <w:tcPr>
            <w:tcW w:type="dxa" w:w="6264"/>
            <w:vAlign w:val="top"/>
          </w:tcPr>
          <w:p>
            <w:r>
              <w:rPr>
                <w:sz w:val="15"/>
              </w:rPr>
              <w:t>Texto principal e iconografia.</w:t>
            </w:r>
          </w:p>
        </w:tc>
      </w:tr>
      <w:tr>
        <w:trPr>
          <w:cantSplit/>
          <w:cantSplit/>
        </w:trPr>
        <w:tc>
          <w:tcPr>
            <w:tcW w:type="dxa" w:w="2232"/>
            <w:vAlign w:val="top"/>
          </w:tcPr>
          <w:p>
            <w:r>
              <w:rPr>
                <w:sz w:val="15"/>
              </w:rPr>
              <w:t>--black</w:t>
            </w:r>
          </w:p>
        </w:tc>
        <w:tc>
          <w:tcPr>
            <w:tcW w:type="dxa" w:w="1944"/>
            <w:vAlign w:val="top"/>
          </w:tcPr>
          <w:p>
            <w:r>
              <w:rPr>
                <w:sz w:val="15"/>
              </w:rPr>
              <w:t>#0B0D0C</w:t>
            </w:r>
          </w:p>
        </w:tc>
        <w:tc>
          <w:tcPr>
            <w:tcW w:type="dxa" w:w="6264"/>
            <w:vAlign w:val="top"/>
          </w:tcPr>
          <w:p>
            <w:r>
              <w:rPr>
                <w:sz w:val="15"/>
              </w:rPr>
              <w:t>Hero/overlay, footer e superfícies de contraste.</w:t>
            </w:r>
          </w:p>
        </w:tc>
      </w:tr>
      <w:tr>
        <w:trPr>
          <w:cantSplit/>
          <w:cantSplit/>
        </w:trPr>
        <w:tc>
          <w:tcPr>
            <w:tcW w:type="dxa" w:w="2232"/>
            <w:vAlign w:val="top"/>
          </w:tcPr>
          <w:p>
            <w:r>
              <w:rPr>
                <w:sz w:val="15"/>
              </w:rPr>
              <w:t>--surface</w:t>
            </w:r>
          </w:p>
        </w:tc>
        <w:tc>
          <w:tcPr>
            <w:tcW w:type="dxa" w:w="1944"/>
            <w:vAlign w:val="top"/>
          </w:tcPr>
          <w:p>
            <w:r>
              <w:rPr>
                <w:sz w:val="15"/>
              </w:rPr>
              <w:t>#FFFFFF</w:t>
            </w:r>
          </w:p>
        </w:tc>
        <w:tc>
          <w:tcPr>
            <w:tcW w:type="dxa" w:w="6264"/>
            <w:vAlign w:val="top"/>
          </w:tcPr>
          <w:p>
            <w:r>
              <w:rPr>
                <w:sz w:val="15"/>
              </w:rPr>
              <w:t>Cards, sidebar, formulários.</w:t>
            </w:r>
          </w:p>
        </w:tc>
      </w:tr>
      <w:tr>
        <w:trPr>
          <w:cantSplit/>
          <w:cantSplit/>
        </w:trPr>
        <w:tc>
          <w:tcPr>
            <w:tcW w:type="dxa" w:w="2232"/>
            <w:vAlign w:val="top"/>
          </w:tcPr>
          <w:p>
            <w:r>
              <w:rPr>
                <w:sz w:val="15"/>
              </w:rPr>
              <w:t>--surface-soft</w:t>
            </w:r>
          </w:p>
        </w:tc>
        <w:tc>
          <w:tcPr>
            <w:tcW w:type="dxa" w:w="1944"/>
            <w:vAlign w:val="top"/>
          </w:tcPr>
          <w:p>
            <w:r>
              <w:rPr>
                <w:sz w:val="15"/>
              </w:rPr>
              <w:t>#F7F9F8</w:t>
            </w:r>
          </w:p>
        </w:tc>
        <w:tc>
          <w:tcPr>
            <w:tcW w:type="dxa" w:w="6264"/>
            <w:vAlign w:val="top"/>
          </w:tcPr>
          <w:p>
            <w:r>
              <w:rPr>
                <w:sz w:val="15"/>
              </w:rPr>
              <w:t>Backgrounds e áreas secundárias.</w:t>
            </w:r>
          </w:p>
        </w:tc>
      </w:tr>
      <w:tr>
        <w:trPr>
          <w:cantSplit/>
          <w:cantSplit/>
        </w:trPr>
        <w:tc>
          <w:tcPr>
            <w:tcW w:type="dxa" w:w="2232"/>
            <w:vAlign w:val="top"/>
          </w:tcPr>
          <w:p>
            <w:r>
              <w:rPr>
                <w:sz w:val="15"/>
              </w:rPr>
              <w:t>--border</w:t>
            </w:r>
          </w:p>
        </w:tc>
        <w:tc>
          <w:tcPr>
            <w:tcW w:type="dxa" w:w="1944"/>
            <w:vAlign w:val="top"/>
          </w:tcPr>
          <w:p>
            <w:r>
              <w:rPr>
                <w:sz w:val="15"/>
              </w:rPr>
              <w:t>#E5E7EB</w:t>
            </w:r>
          </w:p>
        </w:tc>
        <w:tc>
          <w:tcPr>
            <w:tcW w:type="dxa" w:w="6264"/>
            <w:vAlign w:val="top"/>
          </w:tcPr>
          <w:p>
            <w:r>
              <w:rPr>
                <w:sz w:val="15"/>
              </w:rPr>
              <w:t>Divisores e card borders.</w:t>
            </w:r>
          </w:p>
        </w:tc>
      </w:tr>
      <w:tr>
        <w:trPr>
          <w:cantSplit/>
          <w:cantSplit/>
        </w:trPr>
        <w:tc>
          <w:tcPr>
            <w:tcW w:type="dxa" w:w="2232"/>
            <w:vAlign w:val="top"/>
          </w:tcPr>
          <w:p>
            <w:r>
              <w:rPr>
                <w:sz w:val="15"/>
              </w:rPr>
              <w:t>--radius-sm</w:t>
            </w:r>
          </w:p>
        </w:tc>
        <w:tc>
          <w:tcPr>
            <w:tcW w:type="dxa" w:w="1944"/>
            <w:vAlign w:val="top"/>
          </w:tcPr>
          <w:p>
            <w:r>
              <w:rPr>
                <w:sz w:val="15"/>
              </w:rPr>
              <w:t>8px</w:t>
            </w:r>
          </w:p>
        </w:tc>
        <w:tc>
          <w:tcPr>
            <w:tcW w:type="dxa" w:w="6264"/>
            <w:vAlign w:val="top"/>
          </w:tcPr>
          <w:p>
            <w:r>
              <w:rPr>
                <w:sz w:val="15"/>
              </w:rPr>
              <w:t>Inputs, botões compactos.</w:t>
            </w:r>
          </w:p>
        </w:tc>
      </w:tr>
      <w:tr>
        <w:trPr>
          <w:cantSplit/>
          <w:cantSplit/>
        </w:trPr>
        <w:tc>
          <w:tcPr>
            <w:tcW w:type="dxa" w:w="2232"/>
            <w:vAlign w:val="top"/>
          </w:tcPr>
          <w:p>
            <w:r>
              <w:rPr>
                <w:sz w:val="15"/>
              </w:rPr>
              <w:t>--radius</w:t>
            </w:r>
          </w:p>
        </w:tc>
        <w:tc>
          <w:tcPr>
            <w:tcW w:type="dxa" w:w="1944"/>
            <w:vAlign w:val="top"/>
          </w:tcPr>
          <w:p>
            <w:r>
              <w:rPr>
                <w:sz w:val="15"/>
              </w:rPr>
              <w:t>12px</w:t>
            </w:r>
          </w:p>
        </w:tc>
        <w:tc>
          <w:tcPr>
            <w:tcW w:type="dxa" w:w="6264"/>
            <w:vAlign w:val="top"/>
          </w:tcPr>
          <w:p>
            <w:r>
              <w:rPr>
                <w:sz w:val="15"/>
              </w:rPr>
              <w:t>Cards, painéis, modais.</w:t>
            </w:r>
          </w:p>
        </w:tc>
      </w:tr>
      <w:tr>
        <w:trPr>
          <w:cantSplit/>
          <w:cantSplit/>
        </w:trPr>
        <w:tc>
          <w:tcPr>
            <w:tcW w:type="dxa" w:w="2232"/>
            <w:vAlign w:val="top"/>
          </w:tcPr>
          <w:p>
            <w:r>
              <w:rPr>
                <w:sz w:val="15"/>
              </w:rPr>
              <w:t>--radius-pill</w:t>
            </w:r>
          </w:p>
        </w:tc>
        <w:tc>
          <w:tcPr>
            <w:tcW w:type="dxa" w:w="1944"/>
            <w:vAlign w:val="top"/>
          </w:tcPr>
          <w:p>
            <w:r>
              <w:rPr>
                <w:sz w:val="15"/>
              </w:rPr>
              <w:t>999px</w:t>
            </w:r>
          </w:p>
        </w:tc>
        <w:tc>
          <w:tcPr>
            <w:tcW w:type="dxa" w:w="6264"/>
            <w:vAlign w:val="top"/>
          </w:tcPr>
          <w:p>
            <w:r>
              <w:rPr>
                <w:sz w:val="15"/>
              </w:rPr>
              <w:t>Chips, filtros, badges e CTAs seletos.</w:t>
            </w:r>
          </w:p>
        </w:tc>
      </w:tr>
      <w:tr>
        <w:trPr>
          <w:cantSplit/>
          <w:cantSplit/>
        </w:trPr>
        <w:tc>
          <w:tcPr>
            <w:tcW w:type="dxa" w:w="2232"/>
            <w:vAlign w:val="top"/>
          </w:tcPr>
          <w:p>
            <w:r>
              <w:rPr>
                <w:sz w:val="15"/>
              </w:rPr>
              <w:t>--rail-width</w:t>
            </w:r>
          </w:p>
        </w:tc>
        <w:tc>
          <w:tcPr>
            <w:tcW w:type="dxa" w:w="1944"/>
            <w:vAlign w:val="top"/>
          </w:tcPr>
          <w:p>
            <w:r>
              <w:rPr>
                <w:sz w:val="15"/>
              </w:rPr>
              <w:t>88px</w:t>
            </w:r>
          </w:p>
        </w:tc>
        <w:tc>
          <w:tcPr>
            <w:tcW w:type="dxa" w:w="6264"/>
            <w:vAlign w:val="top"/>
          </w:tcPr>
          <w:p>
            <w:r>
              <w:rPr>
                <w:sz w:val="15"/>
              </w:rPr>
              <w:t>Sidebar desktop do cliente, baseado no padrão Registro Rural.</w:t>
            </w:r>
          </w:p>
        </w:tc>
      </w:tr>
    </w:tbl>
    <w:p/>
    <w:p>
      <w:pPr>
        <w:pStyle w:val="ListBullet"/>
      </w:pPr>
      <w:r>
        <w:rPr>
          <w:b w:val="0"/>
        </w:rPr>
        <w:t>Marketing: Poppins para headlines e navegação, com hero de vídeo/imagem escurecido e CTA verde, lembrando o site Urbit.</w:t>
      </w:r>
    </w:p>
    <w:p>
      <w:pPr>
        <w:pStyle w:val="ListBullet"/>
      </w:pPr>
      <w:r>
        <w:rPr>
          <w:b w:val="0"/>
        </w:rPr>
        <w:t>Aplicação: Inter para leitura e alta densidade, com escala compacta próxima a h1 1.25rem, body .88rem e labels .68–.78rem.</w:t>
      </w:r>
    </w:p>
    <w:p>
      <w:pPr>
        <w:pStyle w:val="ListBullet"/>
      </w:pPr>
      <w:r>
        <w:rPr>
          <w:b w:val="0"/>
        </w:rPr>
        <w:t>Botão primário interno: verde moss, texto branco, altura 38–42px, radius 8–10px; CTA em banners pode usar pill.</w:t>
      </w:r>
    </w:p>
    <w:p>
      <w:pPr>
        <w:pStyle w:val="ListBullet"/>
      </w:pPr>
      <w:r>
        <w:rPr>
          <w:b w:val="0"/>
        </w:rPr>
        <w:t>Cards: branco, border 1px, radius 12px, sombra mínima; hover discreto, sem excesso de gradientes.</w:t>
      </w:r>
    </w:p>
    <w:p>
      <w:pPr>
        <w:pStyle w:val="ListBullet"/>
      </w:pPr>
      <w:r>
        <w:rPr>
          <w:b w:val="0"/>
        </w:rPr>
        <w:t>Rail: ícone + label, 88px desktop; mobile vira drawer/offcanvas. No máximo 7–8 ações primárias e “Mais” para o restante.</w:t>
      </w:r>
    </w:p>
    <w:p>
      <w:pPr>
        <w:pStyle w:val="ListBullet"/>
      </w:pPr>
      <w:r>
        <w:rPr>
          <w:b w:val="0"/>
        </w:rPr>
        <w:t>Feedback: success/warn/danger/info usam cores semânticas; verde de marca não deve mascarar status de risco.</w:t>
      </w:r>
    </w:p>
    <w:p>
      <w:pPr>
        <w:pStyle w:val="ListBullet"/>
      </w:pPr>
      <w:r>
        <w:rPr>
          <w:b w:val="0"/>
        </w:rPr>
        <w:t>WCAG 2.2 AA: contraste, teclado, focus-visible, aria-labels, formulários com erros acessíveis e preferência de movimento reduzido.</w:t>
      </w:r>
    </w:p>
    <w:p>
      <w:r>
        <w:drawing>
          <wp:inline xmlns:a="http://schemas.openxmlformats.org/drawingml/2006/main" xmlns:pic="http://schemas.openxmlformats.org/drawingml/2006/picture">
            <wp:extent cx="6172200" cy="3507063"/>
            <wp:docPr id="17" name="Picture 17" descr="Figura — Blueprint visual: marketing/login, app do cliente e workspace A.I TEC." title="Figura — Blueprint visual: marketing/login, app do cliente e workspace A.I TEC."/>
            <wp:cNvGraphicFramePr>
              <a:graphicFrameLocks noChangeAspect="1"/>
            </wp:cNvGraphicFramePr>
            <a:graphic>
              <a:graphicData uri="http://schemas.openxmlformats.org/drawingml/2006/picture">
                <pic:pic>
                  <pic:nvPicPr>
                    <pic:cNvPr id="0" name="ux_blueprint_v20.png"/>
                    <pic:cNvPicPr/>
                  </pic:nvPicPr>
                  <pic:blipFill>
                    <a:blip r:embed="rId27"/>
                    <a:stretch>
                      <a:fillRect/>
                    </a:stretch>
                  </pic:blipFill>
                  <pic:spPr>
                    <a:xfrm>
                      <a:off x="0" y="0"/>
                      <a:ext cx="6172200" cy="3507063"/>
                    </a:xfrm>
                    <a:prstGeom prst="rect"/>
                  </pic:spPr>
                </pic:pic>
              </a:graphicData>
            </a:graphic>
          </wp:inline>
        </w:drawing>
      </w:r>
    </w:p>
    <w:p>
      <w:pPr>
        <w:pStyle w:val="CaptionLD"/>
        <w:jc w:val="center"/>
      </w:pPr>
      <w:r>
        <w:t>Figura — Blueprint visual: marketing/login, app do cliente e workspace A.I TEC.</w:t>
      </w:r>
    </w:p>
    <w:p>
      <w:pPr>
        <w:pStyle w:val="Heading2"/>
      </w:pPr>
      <w:r>
        <w:t>32.7 Site institucional — estrutura definitiva</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880"/>
            <w:vAlign w:val="center"/>
          </w:tcPr>
          <w:p>
            <w:r>
              <w:rPr>
                <w:b/>
                <w:sz w:val="15"/>
              </w:rPr>
              <w:t>Rota / seção</w:t>
            </w:r>
          </w:p>
        </w:tc>
        <w:tc>
          <w:tcPr>
            <w:tcW w:type="dxa" w:w="7560"/>
            <w:vAlign w:val="center"/>
          </w:tcPr>
          <w:p>
            <w:r>
              <w:rPr>
                <w:b/>
                <w:sz w:val="15"/>
              </w:rPr>
              <w:t>Conteúdo</w:t>
            </w:r>
          </w:p>
        </w:tc>
      </w:tr>
      <w:tr>
        <w:trPr>
          <w:cantSplit/>
          <w:cantSplit/>
        </w:trPr>
        <w:tc>
          <w:tcPr>
            <w:tcW w:type="dxa" w:w="2880"/>
            <w:vAlign w:val="top"/>
          </w:tcPr>
          <w:p>
            <w:r>
              <w:rPr>
                <w:sz w:val="15"/>
              </w:rPr>
              <w:t>/</w:t>
            </w:r>
          </w:p>
        </w:tc>
        <w:tc>
          <w:tcPr>
            <w:tcW w:type="dxa" w:w="7560"/>
            <w:vAlign w:val="top"/>
          </w:tcPr>
          <w:p>
            <w:r>
              <w:rPr>
                <w:sz w:val="15"/>
              </w:rPr>
              <w:t>Hero + proposta de valor + módulos + prova + segmentos + integrações + CTA.</w:t>
            </w:r>
          </w:p>
        </w:tc>
      </w:tr>
      <w:tr>
        <w:trPr>
          <w:cantSplit/>
          <w:cantSplit/>
        </w:trPr>
        <w:tc>
          <w:tcPr>
            <w:tcW w:type="dxa" w:w="2880"/>
            <w:vAlign w:val="top"/>
          </w:tcPr>
          <w:p>
            <w:r>
              <w:rPr>
                <w:sz w:val="15"/>
              </w:rPr>
              <w:t>/solucoes</w:t>
            </w:r>
          </w:p>
        </w:tc>
        <w:tc>
          <w:tcPr>
            <w:tcW w:type="dxa" w:w="7560"/>
            <w:vAlign w:val="top"/>
          </w:tcPr>
          <w:p>
            <w:r>
              <w:rPr>
                <w:sz w:val="15"/>
              </w:rPr>
              <w:t>Visão geral de LoteDiretor, Imóvel 360, RE Rural, Condomínio, Solar e A.I TEC.</w:t>
            </w:r>
          </w:p>
        </w:tc>
      </w:tr>
      <w:tr>
        <w:trPr>
          <w:cantSplit/>
          <w:cantSplit/>
        </w:trPr>
        <w:tc>
          <w:tcPr>
            <w:tcW w:type="dxa" w:w="2880"/>
            <w:vAlign w:val="top"/>
          </w:tcPr>
          <w:p>
            <w:r>
              <w:rPr>
                <w:sz w:val="15"/>
              </w:rPr>
              <w:t>/solucoes/lote-diretor</w:t>
            </w:r>
          </w:p>
        </w:tc>
        <w:tc>
          <w:tcPr>
            <w:tcW w:type="dxa" w:w="7560"/>
            <w:vAlign w:val="top"/>
          </w:tcPr>
          <w:p>
            <w:r>
              <w:rPr>
                <w:sz w:val="15"/>
              </w:rPr>
              <w:t>Plano Diretor, viabilidade, evidência e relatório.</w:t>
            </w:r>
          </w:p>
        </w:tc>
      </w:tr>
      <w:tr>
        <w:trPr>
          <w:cantSplit/>
          <w:cantSplit/>
        </w:trPr>
        <w:tc>
          <w:tcPr>
            <w:tcW w:type="dxa" w:w="2880"/>
            <w:vAlign w:val="top"/>
          </w:tcPr>
          <w:p>
            <w:r>
              <w:rPr>
                <w:sz w:val="15"/>
              </w:rPr>
              <w:t>/solucoes/imovel-360</w:t>
            </w:r>
          </w:p>
        </w:tc>
        <w:tc>
          <w:tcPr>
            <w:tcW w:type="dxa" w:w="7560"/>
            <w:vAlign w:val="top"/>
          </w:tcPr>
          <w:p>
            <w:r>
              <w:rPr>
                <w:sz w:val="15"/>
              </w:rPr>
              <w:t>Explorer, mercado, imóveis, empreendimentos, AVM e CRM.</w:t>
            </w:r>
          </w:p>
        </w:tc>
      </w:tr>
      <w:tr>
        <w:trPr>
          <w:cantSplit/>
          <w:cantSplit/>
        </w:trPr>
        <w:tc>
          <w:tcPr>
            <w:tcW w:type="dxa" w:w="2880"/>
            <w:vAlign w:val="top"/>
          </w:tcPr>
          <w:p>
            <w:r>
              <w:rPr>
                <w:sz w:val="15"/>
              </w:rPr>
              <w:t>/solucoes/re-rural</w:t>
            </w:r>
          </w:p>
        </w:tc>
        <w:tc>
          <w:tcPr>
            <w:tcW w:type="dxa" w:w="7560"/>
            <w:vAlign w:val="top"/>
          </w:tcPr>
          <w:p>
            <w:r>
              <w:rPr>
                <w:sz w:val="15"/>
              </w:rPr>
              <w:t>CAR, SIGEF, SNCR/CCIR, CIB, embargos, PRODES e compliance.</w:t>
            </w:r>
          </w:p>
        </w:tc>
      </w:tr>
      <w:tr>
        <w:trPr>
          <w:cantSplit/>
          <w:cantSplit/>
        </w:trPr>
        <w:tc>
          <w:tcPr>
            <w:tcW w:type="dxa" w:w="2880"/>
            <w:vAlign w:val="top"/>
          </w:tcPr>
          <w:p>
            <w:r>
              <w:rPr>
                <w:sz w:val="15"/>
              </w:rPr>
              <w:t>/solucoes/condominio</w:t>
            </w:r>
          </w:p>
        </w:tc>
        <w:tc>
          <w:tcPr>
            <w:tcW w:type="dxa" w:w="7560"/>
            <w:vAlign w:val="top"/>
          </w:tcPr>
          <w:p>
            <w:r>
              <w:rPr>
                <w:sz w:val="15"/>
              </w:rPr>
              <w:t>Documentos, regras privadas, IA e gestão.</w:t>
            </w:r>
          </w:p>
        </w:tc>
      </w:tr>
      <w:tr>
        <w:trPr>
          <w:cantSplit/>
          <w:cantSplit/>
        </w:trPr>
        <w:tc>
          <w:tcPr>
            <w:tcW w:type="dxa" w:w="2880"/>
            <w:vAlign w:val="top"/>
          </w:tcPr>
          <w:p>
            <w:r>
              <w:rPr>
                <w:sz w:val="15"/>
              </w:rPr>
              <w:t>/solucoes/energia-solar</w:t>
            </w:r>
          </w:p>
        </w:tc>
        <w:tc>
          <w:tcPr>
            <w:tcW w:type="dxa" w:w="7560"/>
            <w:vAlign w:val="top"/>
          </w:tcPr>
          <w:p>
            <w:r>
              <w:rPr>
                <w:sz w:val="15"/>
              </w:rPr>
              <w:t>3D, placas, geração, conta e retorno.</w:t>
            </w:r>
          </w:p>
        </w:tc>
      </w:tr>
      <w:tr>
        <w:trPr>
          <w:cantSplit/>
          <w:cantSplit/>
        </w:trPr>
        <w:tc>
          <w:tcPr>
            <w:tcW w:type="dxa" w:w="2880"/>
            <w:vAlign w:val="top"/>
          </w:tcPr>
          <w:p>
            <w:r>
              <w:rPr>
                <w:sz w:val="15"/>
              </w:rPr>
              <w:t>/solucoes/ai-tec</w:t>
            </w:r>
          </w:p>
        </w:tc>
        <w:tc>
          <w:tcPr>
            <w:tcW w:type="dxa" w:w="7560"/>
            <w:vAlign w:val="top"/>
          </w:tcPr>
          <w:p>
            <w:r>
              <w:rPr>
                <w:sz w:val="15"/>
              </w:rPr>
              <w:t>Geração de implantação/plantas/garagem e cenários.</w:t>
            </w:r>
          </w:p>
        </w:tc>
      </w:tr>
      <w:tr>
        <w:trPr>
          <w:cantSplit/>
          <w:cantSplit/>
        </w:trPr>
        <w:tc>
          <w:tcPr>
            <w:tcW w:type="dxa" w:w="2880"/>
            <w:vAlign w:val="top"/>
          </w:tcPr>
          <w:p>
            <w:r>
              <w:rPr>
                <w:sz w:val="15"/>
              </w:rPr>
              <w:t>/prefeituras</w:t>
            </w:r>
          </w:p>
        </w:tc>
        <w:tc>
          <w:tcPr>
            <w:tcW w:type="dxa" w:w="7560"/>
            <w:vAlign w:val="top"/>
          </w:tcPr>
          <w:p>
            <w:r>
              <w:rPr>
                <w:sz w:val="15"/>
              </w:rPr>
              <w:t>Adesão institucional, CTM, dados oficiais, CIB/SINTER e publicação.</w:t>
            </w:r>
          </w:p>
        </w:tc>
      </w:tr>
      <w:tr>
        <w:trPr>
          <w:cantSplit/>
          <w:cantSplit/>
        </w:trPr>
        <w:tc>
          <w:tcPr>
            <w:tcW w:type="dxa" w:w="2880"/>
            <w:vAlign w:val="top"/>
          </w:tcPr>
          <w:p>
            <w:r>
              <w:rPr>
                <w:sz w:val="15"/>
              </w:rPr>
              <w:t>/segmentos</w:t>
            </w:r>
          </w:p>
        </w:tc>
        <w:tc>
          <w:tcPr>
            <w:tcW w:type="dxa" w:w="7560"/>
            <w:vAlign w:val="top"/>
          </w:tcPr>
          <w:p>
            <w:r>
              <w:rPr>
                <w:sz w:val="15"/>
              </w:rPr>
              <w:t>Arquitetura, engenharia, incorporação, corretagem, bancos, prefeitura, rural, condomínio.</w:t>
            </w:r>
          </w:p>
        </w:tc>
      </w:tr>
      <w:tr>
        <w:trPr>
          <w:cantSplit/>
          <w:cantSplit/>
        </w:trPr>
        <w:tc>
          <w:tcPr>
            <w:tcW w:type="dxa" w:w="2880"/>
            <w:vAlign w:val="top"/>
          </w:tcPr>
          <w:p>
            <w:r>
              <w:rPr>
                <w:sz w:val="15"/>
              </w:rPr>
              <w:t>/planos</w:t>
            </w:r>
          </w:p>
        </w:tc>
        <w:tc>
          <w:tcPr>
            <w:tcW w:type="dxa" w:w="7560"/>
            <w:vAlign w:val="top"/>
          </w:tcPr>
          <w:p>
            <w:r>
              <w:rPr>
                <w:sz w:val="15"/>
              </w:rPr>
              <w:t>Planos, módulos, quotas e perguntas frequentes.</w:t>
            </w:r>
          </w:p>
        </w:tc>
      </w:tr>
      <w:tr>
        <w:trPr>
          <w:cantSplit/>
          <w:cantSplit/>
        </w:trPr>
        <w:tc>
          <w:tcPr>
            <w:tcW w:type="dxa" w:w="2880"/>
            <w:vAlign w:val="top"/>
          </w:tcPr>
          <w:p>
            <w:r>
              <w:rPr>
                <w:sz w:val="15"/>
              </w:rPr>
              <w:t>/conteudo</w:t>
            </w:r>
          </w:p>
        </w:tc>
        <w:tc>
          <w:tcPr>
            <w:tcW w:type="dxa" w:w="7560"/>
            <w:vAlign w:val="top"/>
          </w:tcPr>
          <w:p>
            <w:r>
              <w:rPr>
                <w:sz w:val="15"/>
              </w:rPr>
              <w:t>Blog, guias, estudos e changelog público quando apropriado.</w:t>
            </w:r>
          </w:p>
        </w:tc>
      </w:tr>
      <w:tr>
        <w:trPr>
          <w:cantSplit/>
          <w:cantSplit/>
        </w:trPr>
        <w:tc>
          <w:tcPr>
            <w:tcW w:type="dxa" w:w="2880"/>
            <w:vAlign w:val="top"/>
          </w:tcPr>
          <w:p>
            <w:r>
              <w:rPr>
                <w:sz w:val="15"/>
              </w:rPr>
              <w:t>/contato</w:t>
            </w:r>
          </w:p>
        </w:tc>
        <w:tc>
          <w:tcPr>
            <w:tcW w:type="dxa" w:w="7560"/>
            <w:vAlign w:val="top"/>
          </w:tcPr>
          <w:p>
            <w:r>
              <w:rPr>
                <w:sz w:val="15"/>
              </w:rPr>
              <w:t>Formulário, vendas, demonstração e suporte comercial.</w:t>
            </w:r>
          </w:p>
        </w:tc>
      </w:tr>
      <w:tr>
        <w:trPr>
          <w:cantSplit/>
          <w:cantSplit/>
        </w:trPr>
        <w:tc>
          <w:tcPr>
            <w:tcW w:type="dxa" w:w="2880"/>
            <w:vAlign w:val="top"/>
          </w:tcPr>
          <w:p>
            <w:r>
              <w:rPr>
                <w:sz w:val="15"/>
              </w:rPr>
              <w:t>/entrar</w:t>
            </w:r>
          </w:p>
        </w:tc>
        <w:tc>
          <w:tcPr>
            <w:tcW w:type="dxa" w:w="7560"/>
            <w:vAlign w:val="top"/>
          </w:tcPr>
          <w:p>
            <w:r>
              <w:rPr>
                <w:sz w:val="15"/>
              </w:rPr>
              <w:t>Login centralizado; card visual Urbit + OIDC seguro.</w:t>
            </w:r>
          </w:p>
        </w:tc>
      </w:tr>
      <w:tr>
        <w:trPr>
          <w:cantSplit/>
          <w:cantSplit/>
        </w:trPr>
        <w:tc>
          <w:tcPr>
            <w:tcW w:type="dxa" w:w="2880"/>
            <w:vAlign w:val="top"/>
          </w:tcPr>
          <w:p>
            <w:r>
              <w:rPr>
                <w:sz w:val="15"/>
              </w:rPr>
              <w:t>/cadastro</w:t>
            </w:r>
          </w:p>
        </w:tc>
        <w:tc>
          <w:tcPr>
            <w:tcW w:type="dxa" w:w="7560"/>
            <w:vAlign w:val="top"/>
          </w:tcPr>
          <w:p>
            <w:r>
              <w:rPr>
                <w:sz w:val="15"/>
              </w:rPr>
              <w:t>Trial/conta, aceites e escolha inicial de perfil.</w:t>
            </w:r>
          </w:p>
        </w:tc>
      </w:tr>
    </w:tbl>
    <w:p/>
    <w:p>
      <w:r>
        <w:rPr>
          <w:b w:val="0"/>
        </w:rPr>
        <w:t>Os vídeos `bg.mp4` e `bgContact.mp4` recebidos podem ser tratados como referência/asset do hero e contato apenas se houver direito de uso. O CMS deve permitir substituir mídia sem deploy.</w:t>
      </w:r>
    </w:p>
    <w:p>
      <w:pPr>
        <w:pStyle w:val="Heading2"/>
      </w:pPr>
      <w:r>
        <w:t>32.8 Login e autenticação</w:t>
      </w:r>
    </w:p>
    <w:p>
      <w:pPr>
        <w:pStyle w:val="ListBullet"/>
      </w:pPr>
      <w:r>
        <w:rPr>
          <w:b w:val="0"/>
        </w:rPr>
        <w:t>Visual: logo acima, card branco de aproximadamente 500px, título claro, email, senha, mostrar senha, recuperação, cadastro e CTA único — padrão observado no login Urbit.</w:t>
      </w:r>
    </w:p>
    <w:p>
      <w:pPr>
        <w:pStyle w:val="ListBullet"/>
      </w:pPr>
      <w:r>
        <w:rPr>
          <w:b w:val="0"/>
        </w:rPr>
        <w:t>Segurança: Authorization Code + PKCE via Keycloak; sessão de app em cookie Secure/HttpOnly/SameSite; refresh no backend/BFF.</w:t>
      </w:r>
    </w:p>
    <w:p>
      <w:pPr>
        <w:pStyle w:val="ListBullet"/>
      </w:pPr>
      <w:r>
        <w:rPr>
          <w:b w:val="0"/>
        </w:rPr>
        <w:t>Nunca armazenar access token principal em localStorage, corrigindo o padrão legado observado.</w:t>
      </w:r>
    </w:p>
    <w:p>
      <w:pPr>
        <w:pStyle w:val="ListBullet"/>
      </w:pPr>
      <w:r>
        <w:rPr>
          <w:b w:val="0"/>
        </w:rPr>
        <w:t>MFA/passkey obrigatório para Admin; configurável por tenant enterprise e Prefeitura.</w:t>
      </w:r>
    </w:p>
    <w:p>
      <w:pPr>
        <w:pStyle w:val="ListBullet"/>
      </w:pPr>
      <w:r>
        <w:rPr>
          <w:b w:val="0"/>
        </w:rPr>
        <w:t>SSO corporativo futuro via OIDC/SAML no Keycloak.</w:t>
      </w:r>
    </w:p>
    <w:p>
      <w:pPr>
        <w:pStyle w:val="ListBullet"/>
      </w:pPr>
      <w:r>
        <w:rPr>
          <w:b w:val="0"/>
        </w:rPr>
        <w:t>Rate limit, device/session inventory, revogação e alertas de login.</w:t>
      </w:r>
    </w:p>
    <w:p>
      <w:pPr>
        <w:pStyle w:val="Heading2"/>
      </w:pPr>
      <w:r>
        <w:t>32.9 Shell do cliente e navegação</w:t>
      </w:r>
    </w:p>
    <w:p>
      <w:r>
        <w:rPr>
          <w:b w:val="0"/>
        </w:rPr>
        <w:t>A interface interna segue o Registro Rural: rail fixo, pesquisa consistente, conteúdo full-width, cards brancos, filtros compactos, poucas cores e foco em tarefa. A navegação é montada por entitlement e perfil.</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160"/>
            <w:vAlign w:val="center"/>
          </w:tcPr>
          <w:p>
            <w:r>
              <w:rPr>
                <w:b/>
                <w:sz w:val="15"/>
              </w:rPr>
              <w:t>Área</w:t>
            </w:r>
          </w:p>
        </w:tc>
        <w:tc>
          <w:tcPr>
            <w:tcW w:type="dxa" w:w="8280"/>
            <w:vAlign w:val="center"/>
          </w:tcPr>
          <w:p>
            <w:r>
              <w:rPr>
                <w:b/>
                <w:sz w:val="15"/>
              </w:rPr>
              <w:t>Itens primários</w:t>
            </w:r>
          </w:p>
        </w:tc>
      </w:tr>
      <w:tr>
        <w:trPr>
          <w:cantSplit/>
          <w:cantSplit/>
        </w:trPr>
        <w:tc>
          <w:tcPr>
            <w:tcW w:type="dxa" w:w="2160"/>
            <w:vAlign w:val="top"/>
          </w:tcPr>
          <w:p>
            <w:r>
              <w:rPr>
                <w:sz w:val="15"/>
              </w:rPr>
              <w:t>Rail</w:t>
            </w:r>
          </w:p>
        </w:tc>
        <w:tc>
          <w:tcPr>
            <w:tcW w:type="dxa" w:w="8280"/>
            <w:vAlign w:val="top"/>
          </w:tcPr>
          <w:p>
            <w:r>
              <w:rPr>
                <w:sz w:val="15"/>
              </w:rPr>
              <w:t>Dashboard, Explorer, Imóveis, Empreendimentos, Análises, Relatórios, CRM e launcher “Mais”.</w:t>
            </w:r>
          </w:p>
        </w:tc>
      </w:tr>
      <w:tr>
        <w:trPr>
          <w:cantSplit/>
          <w:cantSplit/>
        </w:trPr>
        <w:tc>
          <w:tcPr>
            <w:tcW w:type="dxa" w:w="2160"/>
            <w:vAlign w:val="top"/>
          </w:tcPr>
          <w:p>
            <w:r>
              <w:rPr>
                <w:sz w:val="15"/>
              </w:rPr>
              <w:t>Launcher “Mais”</w:t>
            </w:r>
          </w:p>
        </w:tc>
        <w:tc>
          <w:tcPr>
            <w:tcW w:type="dxa" w:w="8280"/>
            <w:vAlign w:val="top"/>
          </w:tcPr>
          <w:p>
            <w:r>
              <w:rPr>
                <w:sz w:val="15"/>
              </w:rPr>
              <w:t>RE Rural, Condomínio, Energia Solar, A.I TEC, Documentos, Monitoramento e integrações.</w:t>
            </w:r>
          </w:p>
        </w:tc>
      </w:tr>
      <w:tr>
        <w:trPr>
          <w:cantSplit/>
          <w:cantSplit/>
        </w:trPr>
        <w:tc>
          <w:tcPr>
            <w:tcW w:type="dxa" w:w="2160"/>
            <w:vAlign w:val="top"/>
          </w:tcPr>
          <w:p>
            <w:r>
              <w:rPr>
                <w:sz w:val="15"/>
              </w:rPr>
              <w:t>App Head</w:t>
            </w:r>
          </w:p>
        </w:tc>
        <w:tc>
          <w:tcPr>
            <w:tcW w:type="dxa" w:w="8280"/>
            <w:vAlign w:val="top"/>
          </w:tcPr>
          <w:p>
            <w:r>
              <w:rPr>
                <w:sz w:val="15"/>
              </w:rPr>
              <w:t>Busca global, workspace switcher, data-base da análise, notificações, ajuda e perfil.</w:t>
            </w:r>
          </w:p>
        </w:tc>
      </w:tr>
      <w:tr>
        <w:trPr>
          <w:cantSplit/>
          <w:cantSplit/>
        </w:trPr>
        <w:tc>
          <w:tcPr>
            <w:tcW w:type="dxa" w:w="2160"/>
            <w:vAlign w:val="top"/>
          </w:tcPr>
          <w:p>
            <w:r>
              <w:rPr>
                <w:sz w:val="15"/>
              </w:rPr>
              <w:t>Dashboard</w:t>
            </w:r>
          </w:p>
        </w:tc>
        <w:tc>
          <w:tcPr>
            <w:tcW w:type="dxa" w:w="8280"/>
            <w:vAlign w:val="top"/>
          </w:tcPr>
          <w:p>
            <w:r>
              <w:rPr>
                <w:sz w:val="15"/>
              </w:rPr>
              <w:t>Recentes, alertas, tarefas, alterações de fonte/lei, créditos/quotas e atalhos.</w:t>
            </w:r>
          </w:p>
        </w:tc>
      </w:tr>
      <w:tr>
        <w:trPr>
          <w:cantSplit/>
          <w:cantSplit/>
        </w:trPr>
        <w:tc>
          <w:tcPr>
            <w:tcW w:type="dxa" w:w="2160"/>
            <w:vAlign w:val="top"/>
          </w:tcPr>
          <w:p>
            <w:r>
              <w:rPr>
                <w:sz w:val="15"/>
              </w:rPr>
              <w:t>Explorer</w:t>
            </w:r>
          </w:p>
        </w:tc>
        <w:tc>
          <w:tcPr>
            <w:tcW w:type="dxa" w:w="8280"/>
            <w:vAlign w:val="top"/>
          </w:tcPr>
          <w:p>
            <w:r>
              <w:rPr>
                <w:sz w:val="15"/>
              </w:rPr>
              <w:t>Mapa central, camadas, composição de área, ficha, relatórios, mercado e salvar imóvel.</w:t>
            </w:r>
          </w:p>
        </w:tc>
      </w:tr>
    </w:tbl>
    <w:p/>
    <w:p>
      <w:pPr>
        <w:pStyle w:val="Heading2"/>
      </w:pPr>
      <w:r>
        <w:t>32.10 Workspace A.I TEC — facilidade inspirada no Arqgen</w:t>
      </w:r>
    </w:p>
    <w:p>
      <w:pPr>
        <w:pStyle w:val="ListBullet"/>
      </w:pPr>
      <w:r>
        <w:rPr>
          <w:b w:val="0"/>
        </w:rPr>
        <w:t>Passo 1: terreno — upload KMZ/KML/DXF/DWG licenciado/GeoJSON/SHP/IFC ou desenho.</w:t>
      </w:r>
    </w:p>
    <w:p>
      <w:pPr>
        <w:pStyle w:val="ListBullet"/>
      </w:pPr>
      <w:r>
        <w:rPr>
          <w:b w:val="0"/>
        </w:rPr>
        <w:t>Passo 2: restrições — carregadas automaticamente do LoteDiretor/RE Rural/Condomínio e editáveis apenas como hipótese explícita.</w:t>
      </w:r>
    </w:p>
    <w:p>
      <w:pPr>
        <w:pStyle w:val="ListBullet"/>
      </w:pPr>
      <w:r>
        <w:rPr>
          <w:b w:val="0"/>
        </w:rPr>
        <w:t>Passo 3: programa — tipologia, mix, vagas, pavimentos, áreas comuns, custo e objetivos.</w:t>
      </w:r>
    </w:p>
    <w:p>
      <w:pPr>
        <w:pStyle w:val="ListBullet"/>
      </w:pPr>
      <w:r>
        <w:rPr>
          <w:b w:val="0"/>
        </w:rPr>
        <w:t>Passo 4: gerar — botão claro “Gerar cenários” com progresso assíncrono e cancelamento.</w:t>
      </w:r>
    </w:p>
    <w:p>
      <w:pPr>
        <w:pStyle w:val="ListBullet"/>
      </w:pPr>
      <w:r>
        <w:rPr>
          <w:b w:val="0"/>
        </w:rPr>
        <w:t>Passo 5: comparar — cards/tabela Pareto com unidades, VGV, área, vagas, cut/fill, sol, custo e alertas.</w:t>
      </w:r>
    </w:p>
    <w:p>
      <w:pPr>
        <w:pStyle w:val="ListBullet"/>
      </w:pPr>
      <w:r>
        <w:rPr>
          <w:b w:val="0"/>
        </w:rPr>
        <w:t>Passo 6: travar/editar/regenerar — manter torres/áreas e explorar variações sem recomeçar.</w:t>
      </w:r>
    </w:p>
    <w:p>
      <w:pPr>
        <w:pStyle w:val="ListBullet"/>
      </w:pPr>
      <w:r>
        <w:rPr>
          <w:b w:val="0"/>
        </w:rPr>
        <w:t>Passo 7: detalhar — unit mix, plantas, garagem, solar e simulações dos finalistas.</w:t>
      </w:r>
    </w:p>
    <w:p>
      <w:pPr>
        <w:pStyle w:val="ListBullet"/>
      </w:pPr>
      <w:r>
        <w:rPr>
          <w:b w:val="0"/>
        </w:rPr>
        <w:t>Passo 8: exportar — GeoJSON/KMZ/DXF/IFC/PDF/XLSX conforme nível de maturidade.</w:t>
      </w:r>
    </w:p>
    <w:p>
      <w:pPr>
        <w:pStyle w:val="Heading2"/>
      </w:pPr>
      <w:r>
        <w:t>32.11 Fronteiras entre módulos — quem é dono de quê</w:t>
      </w:r>
    </w:p>
    <w:p>
      <w:r>
        <w:drawing>
          <wp:inline xmlns:a="http://schemas.openxmlformats.org/drawingml/2006/main" xmlns:pic="http://schemas.openxmlformats.org/drawingml/2006/picture">
            <wp:extent cx="6172200" cy="3819681"/>
            <wp:docPr id="18" name="Picture 18" descr="Figura — Cada módulo possui seu domínio; o asset interno liga identidades sem apagar a natureza jurídica das fontes." title="Figura — Cada módulo possui seu domínio; o asset interno liga identidades sem apagar a natureza jurídica das fontes."/>
            <wp:cNvGraphicFramePr>
              <a:graphicFrameLocks noChangeAspect="1"/>
            </wp:cNvGraphicFramePr>
            <a:graphic>
              <a:graphicData uri="http://schemas.openxmlformats.org/drawingml/2006/picture">
                <pic:pic>
                  <pic:nvPicPr>
                    <pic:cNvPr id="0" name="module_boundaries_v20.png"/>
                    <pic:cNvPicPr/>
                  </pic:nvPicPr>
                  <pic:blipFill>
                    <a:blip r:embed="rId28"/>
                    <a:stretch>
                      <a:fillRect/>
                    </a:stretch>
                  </pic:blipFill>
                  <pic:spPr>
                    <a:xfrm>
                      <a:off x="0" y="0"/>
                      <a:ext cx="6172200" cy="3819681"/>
                    </a:xfrm>
                    <a:prstGeom prst="rect"/>
                  </pic:spPr>
                </pic:pic>
              </a:graphicData>
            </a:graphic>
          </wp:inline>
        </w:drawing>
      </w:r>
    </w:p>
    <w:p>
      <w:pPr>
        <w:pStyle w:val="CaptionLD"/>
        <w:jc w:val="center"/>
      </w:pPr>
      <w:r>
        <w:t>Figura — Cada módulo possui seu domínio; o asset interno liga identidades sem apagar a natureza jurídica das fontes.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1944"/>
            <w:vAlign w:val="center"/>
          </w:tcPr>
          <w:p>
            <w:r>
              <w:rPr>
                <w:b/>
                <w:sz w:val="15"/>
              </w:rPr>
              <w:t>Módulo</w:t>
            </w:r>
          </w:p>
        </w:tc>
        <w:tc>
          <w:tcPr>
            <w:tcW w:type="dxa" w:w="3960"/>
            <w:vAlign w:val="center"/>
          </w:tcPr>
          <w:p>
            <w:r>
              <w:rPr>
                <w:b/>
                <w:sz w:val="15"/>
              </w:rPr>
              <w:t>É dono de</w:t>
            </w:r>
          </w:p>
        </w:tc>
        <w:tc>
          <w:tcPr>
            <w:tcW w:type="dxa" w:w="4536"/>
            <w:vAlign w:val="center"/>
          </w:tcPr>
          <w:p>
            <w:r>
              <w:rPr>
                <w:b/>
                <w:sz w:val="15"/>
              </w:rPr>
              <w:t>Consome</w:t>
            </w:r>
          </w:p>
        </w:tc>
      </w:tr>
      <w:tr>
        <w:trPr>
          <w:cantSplit/>
          <w:cantSplit/>
        </w:trPr>
        <w:tc>
          <w:tcPr>
            <w:tcW w:type="dxa" w:w="1944"/>
            <w:vAlign w:val="top"/>
          </w:tcPr>
          <w:p>
            <w:r>
              <w:rPr>
                <w:sz w:val="15"/>
              </w:rPr>
              <w:t>LoteDiretor</w:t>
            </w:r>
          </w:p>
        </w:tc>
        <w:tc>
          <w:tcPr>
            <w:tcW w:type="dxa" w:w="3960"/>
            <w:vAlign w:val="top"/>
          </w:tcPr>
          <w:p>
            <w:r>
              <w:rPr>
                <w:sz w:val="15"/>
              </w:rPr>
              <w:t>fontes urbanas, legislação, zoneamento, regras, evidência, análise territorial</w:t>
            </w:r>
          </w:p>
        </w:tc>
        <w:tc>
          <w:tcPr>
            <w:tcW w:type="dxa" w:w="4536"/>
            <w:vAlign w:val="top"/>
          </w:tcPr>
          <w:p>
            <w:r>
              <w:rPr>
                <w:sz w:val="15"/>
              </w:rPr>
              <w:t>Prefeitura, fontes nacionais, GIS e dados do usuário.</w:t>
            </w:r>
          </w:p>
        </w:tc>
      </w:tr>
      <w:tr>
        <w:trPr>
          <w:cantSplit/>
          <w:cantSplit/>
        </w:trPr>
        <w:tc>
          <w:tcPr>
            <w:tcW w:type="dxa" w:w="1944"/>
            <w:vAlign w:val="top"/>
          </w:tcPr>
          <w:p>
            <w:r>
              <w:rPr>
                <w:sz w:val="15"/>
              </w:rPr>
              <w:t>Imóvel 360</w:t>
            </w:r>
          </w:p>
        </w:tc>
        <w:tc>
          <w:tcPr>
            <w:tcW w:type="dxa" w:w="3960"/>
            <w:vAlign w:val="top"/>
          </w:tcPr>
          <w:p>
            <w:r>
              <w:rPr>
                <w:sz w:val="15"/>
              </w:rPr>
              <w:t>workflow do imóvel, empreendimentos, mercado, AVM, CRM, explorer projects</w:t>
            </w:r>
          </w:p>
        </w:tc>
        <w:tc>
          <w:tcPr>
            <w:tcW w:type="dxa" w:w="4536"/>
            <w:vAlign w:val="top"/>
          </w:tcPr>
          <w:p>
            <w:r>
              <w:rPr>
                <w:sz w:val="15"/>
              </w:rPr>
              <w:t>LoteDiretor, RE Rural, mercado, cadastros, relatórios.</w:t>
            </w:r>
          </w:p>
        </w:tc>
      </w:tr>
      <w:tr>
        <w:trPr>
          <w:cantSplit/>
          <w:cantSplit/>
        </w:trPr>
        <w:tc>
          <w:tcPr>
            <w:tcW w:type="dxa" w:w="1944"/>
            <w:vAlign w:val="top"/>
          </w:tcPr>
          <w:p>
            <w:r>
              <w:rPr>
                <w:sz w:val="15"/>
              </w:rPr>
              <w:t>RE Rural</w:t>
            </w:r>
          </w:p>
        </w:tc>
        <w:tc>
          <w:tcPr>
            <w:tcW w:type="dxa" w:w="3960"/>
            <w:vAlign w:val="top"/>
          </w:tcPr>
          <w:p>
            <w:r>
              <w:rPr>
                <w:sz w:val="15"/>
              </w:rPr>
              <w:t>registros rurais normalizados, identity graph, sobreposições e monitoramento</w:t>
            </w:r>
          </w:p>
        </w:tc>
        <w:tc>
          <w:tcPr>
            <w:tcW w:type="dxa" w:w="4536"/>
            <w:vAlign w:val="top"/>
          </w:tcPr>
          <w:p>
            <w:r>
              <w:rPr>
                <w:sz w:val="15"/>
              </w:rPr>
              <w:t>CAR, SIGEF, SNCR, CIB, IBAMA, INPE, BCB e camadas territoriais.</w:t>
            </w:r>
          </w:p>
        </w:tc>
      </w:tr>
      <w:tr>
        <w:trPr>
          <w:cantSplit/>
          <w:cantSplit/>
        </w:trPr>
        <w:tc>
          <w:tcPr>
            <w:tcW w:type="dxa" w:w="1944"/>
            <w:vAlign w:val="top"/>
          </w:tcPr>
          <w:p>
            <w:r>
              <w:rPr>
                <w:sz w:val="15"/>
              </w:rPr>
              <w:t>Condomínio</w:t>
            </w:r>
          </w:p>
        </w:tc>
        <w:tc>
          <w:tcPr>
            <w:tcW w:type="dxa" w:w="3960"/>
            <w:vAlign w:val="top"/>
          </w:tcPr>
          <w:p>
            <w:r>
              <w:rPr>
                <w:sz w:val="15"/>
              </w:rPr>
              <w:t>documentos privados, regras, atas, assembleias, unidades e ocorrências</w:t>
            </w:r>
          </w:p>
        </w:tc>
        <w:tc>
          <w:tcPr>
            <w:tcW w:type="dxa" w:w="4536"/>
            <w:vAlign w:val="top"/>
          </w:tcPr>
          <w:p>
            <w:r>
              <w:rPr>
                <w:sz w:val="15"/>
              </w:rPr>
              <w:t>Leis externas do LoteDiretor e documentos do tenant.</w:t>
            </w:r>
          </w:p>
        </w:tc>
      </w:tr>
      <w:tr>
        <w:trPr>
          <w:cantSplit/>
          <w:cantSplit/>
        </w:trPr>
        <w:tc>
          <w:tcPr>
            <w:tcW w:type="dxa" w:w="1944"/>
            <w:vAlign w:val="top"/>
          </w:tcPr>
          <w:p>
            <w:r>
              <w:rPr>
                <w:sz w:val="15"/>
              </w:rPr>
              <w:t>Energia Solar</w:t>
            </w:r>
          </w:p>
        </w:tc>
        <w:tc>
          <w:tcPr>
            <w:tcW w:type="dxa" w:w="3960"/>
            <w:vAlign w:val="top"/>
          </w:tcPr>
          <w:p>
            <w:r>
              <w:rPr>
                <w:sz w:val="15"/>
              </w:rPr>
              <w:t>site/surface solar, equipamentos, cenários físicos/financeiros</w:t>
            </w:r>
          </w:p>
        </w:tc>
        <w:tc>
          <w:tcPr>
            <w:tcW w:type="dxa" w:w="4536"/>
            <w:vAlign w:val="top"/>
          </w:tcPr>
          <w:p>
            <w:r>
              <w:rPr>
                <w:sz w:val="15"/>
              </w:rPr>
              <w:t>geometria, clima/solar, tarifa, rede, Condomínio e RE Rural.</w:t>
            </w:r>
          </w:p>
        </w:tc>
      </w:tr>
      <w:tr>
        <w:trPr>
          <w:cantSplit/>
          <w:cantSplit/>
        </w:trPr>
        <w:tc>
          <w:tcPr>
            <w:tcW w:type="dxa" w:w="1944"/>
            <w:vAlign w:val="top"/>
          </w:tcPr>
          <w:p>
            <w:r>
              <w:rPr>
                <w:sz w:val="15"/>
              </w:rPr>
              <w:t>A.I TEC</w:t>
            </w:r>
          </w:p>
        </w:tc>
        <w:tc>
          <w:tcPr>
            <w:tcW w:type="dxa" w:w="3960"/>
            <w:vAlign w:val="top"/>
          </w:tcPr>
          <w:p>
            <w:r>
              <w:rPr>
                <w:sz w:val="15"/>
              </w:rPr>
              <w:t>project, constraint spec, design DNA, cenários, geometrias geradas e exports</w:t>
            </w:r>
          </w:p>
        </w:tc>
        <w:tc>
          <w:tcPr>
            <w:tcW w:type="dxa" w:w="4536"/>
            <w:vAlign w:val="top"/>
          </w:tcPr>
          <w:p>
            <w:r>
              <w:rPr>
                <w:sz w:val="15"/>
              </w:rPr>
              <w:t>regras verificadas, terreno, mercado, Solar, Condomínio e RE Rural.</w:t>
            </w:r>
          </w:p>
        </w:tc>
      </w:tr>
      <w:tr>
        <w:trPr>
          <w:cantSplit/>
          <w:cantSplit/>
        </w:trPr>
        <w:tc>
          <w:tcPr>
            <w:tcW w:type="dxa" w:w="1944"/>
            <w:vAlign w:val="top"/>
          </w:tcPr>
          <w:p>
            <w:r>
              <w:rPr>
                <w:sz w:val="15"/>
              </w:rPr>
              <w:t>Prefeitura</w:t>
            </w:r>
          </w:p>
        </w:tc>
        <w:tc>
          <w:tcPr>
            <w:tcW w:type="dxa" w:w="3960"/>
            <w:vAlign w:val="top"/>
          </w:tcPr>
          <w:p>
            <w:r>
              <w:rPr>
                <w:sz w:val="15"/>
              </w:rPr>
              <w:t>CTM, publicações homologadas, normas municipais, tax rules e permits institucionais</w:t>
            </w:r>
          </w:p>
        </w:tc>
        <w:tc>
          <w:tcPr>
            <w:tcW w:type="dxa" w:w="4536"/>
            <w:vAlign w:val="top"/>
          </w:tcPr>
          <w:p>
            <w:r>
              <w:rPr>
                <w:sz w:val="15"/>
              </w:rPr>
              <w:t>sistemas municipais/SINTER e fontes oficiais.</w:t>
            </w:r>
          </w:p>
        </w:tc>
      </w:tr>
      <w:tr>
        <w:trPr>
          <w:cantSplit/>
          <w:cantSplit/>
        </w:trPr>
        <w:tc>
          <w:tcPr>
            <w:tcW w:type="dxa" w:w="1944"/>
            <w:vAlign w:val="top"/>
          </w:tcPr>
          <w:p>
            <w:r>
              <w:rPr>
                <w:sz w:val="15"/>
              </w:rPr>
              <w:t>AI Core</w:t>
            </w:r>
          </w:p>
        </w:tc>
        <w:tc>
          <w:tcPr>
            <w:tcW w:type="dxa" w:w="3960"/>
            <w:vAlign w:val="top"/>
          </w:tcPr>
          <w:p>
            <w:r>
              <w:rPr>
                <w:sz w:val="15"/>
              </w:rPr>
              <w:t>prompts, traces, evals, routing, retrieval refs e tool calls</w:t>
            </w:r>
          </w:p>
        </w:tc>
        <w:tc>
          <w:tcPr>
            <w:tcW w:type="dxa" w:w="4536"/>
            <w:vAlign w:val="top"/>
          </w:tcPr>
          <w:p>
            <w:r>
              <w:rPr>
                <w:sz w:val="15"/>
              </w:rPr>
              <w:t>todos os domínios, sem copiar seus fatos como verdade própria.</w:t>
            </w:r>
          </w:p>
        </w:tc>
      </w:tr>
      <w:tr>
        <w:trPr>
          <w:cantSplit/>
          <w:cantSplit/>
        </w:trPr>
        <w:tc>
          <w:tcPr>
            <w:tcW w:type="dxa" w:w="1944"/>
            <w:vAlign w:val="top"/>
          </w:tcPr>
          <w:p>
            <w:r>
              <w:rPr>
                <w:sz w:val="15"/>
              </w:rPr>
              <w:t>Admin SaaS</w:t>
            </w:r>
          </w:p>
        </w:tc>
        <w:tc>
          <w:tcPr>
            <w:tcW w:type="dxa" w:w="3960"/>
            <w:vAlign w:val="top"/>
          </w:tcPr>
          <w:p>
            <w:r>
              <w:rPr>
                <w:sz w:val="15"/>
              </w:rPr>
              <w:t>clientes, billing, planos, CMS, support, releases e ops</w:t>
            </w:r>
          </w:p>
        </w:tc>
        <w:tc>
          <w:tcPr>
            <w:tcW w:type="dxa" w:w="4536"/>
            <w:vAlign w:val="top"/>
          </w:tcPr>
          <w:p>
            <w:r>
              <w:rPr>
                <w:sz w:val="15"/>
              </w:rPr>
              <w:t>métricas agregadas e estados controláveis; acesso privado mínimo.</w:t>
            </w:r>
          </w:p>
        </w:tc>
      </w:tr>
    </w:tbl>
    <w:p/>
    <w:p>
      <w:pPr>
        <w:pStyle w:val="Heading2"/>
      </w:pPr>
      <w:r>
        <w:t>32.12 Fluxo principal: do endereço ao relatório</w:t>
      </w:r>
    </w:p>
    <w:p>
      <w:r>
        <w:rPr>
          <w:b w:val="0"/>
        </w:rPr>
        <w:t>1. Usuário informa endereço, coordenada, CIB/inscrição/matrícula de referência ou polígono.</w:t>
      </w:r>
    </w:p>
    <w:p>
      <w:r>
        <w:rPr>
          <w:b w:val="0"/>
        </w:rPr>
        <w:t>2. Parcel Resolver determina município, candidatos de parcela e geometria de trabalho.</w:t>
      </w:r>
    </w:p>
    <w:p>
      <w:r>
        <w:rPr>
          <w:b w:val="0"/>
        </w:rPr>
        <w:t>3. Source Coverage resolve quais datasets e versões estão disponíveis para o local/data-base.</w:t>
      </w:r>
    </w:p>
    <w:p>
      <w:r>
        <w:rPr>
          <w:b w:val="0"/>
        </w:rPr>
        <w:t>4. Legal/Temporal Engine resolve normas e parâmetros vigentes.</w:t>
      </w:r>
    </w:p>
    <w:p>
      <w:r>
        <w:rPr>
          <w:b w:val="0"/>
        </w:rPr>
        <w:t>5. Spatial Engine calcula interseções, distâncias, buffers e evidências.</w:t>
      </w:r>
    </w:p>
    <w:p>
      <w:r>
        <w:rPr>
          <w:b w:val="0"/>
        </w:rPr>
        <w:t>6. Cadastre/Registry/Rural/Infra/Market engines enriquecem sem fundir identidades indevidamente.</w:t>
      </w:r>
    </w:p>
    <w:p>
      <w:r>
        <w:rPr>
          <w:b w:val="0"/>
        </w:rPr>
        <w:t>7. Rule/Calculation Engine produz parâmetros e cálculos estruturados.</w:t>
      </w:r>
    </w:p>
    <w:p>
      <w:r>
        <w:rPr>
          <w:b w:val="0"/>
        </w:rPr>
        <w:t>8. AI Cidades pode explicar, mas somente sobre os fatos recuperados e ferramentas.</w:t>
      </w:r>
    </w:p>
    <w:p>
      <w:r>
        <w:rPr>
          <w:b w:val="0"/>
        </w:rPr>
        <w:t>9. Analysis Run congela inputs, snapshots, regras, cálculos e findings.</w:t>
      </w:r>
    </w:p>
    <w:p>
      <w:r>
        <w:rPr>
          <w:b w:val="0"/>
        </w:rPr>
        <w:t>10. Report Engine gera PDF/DOCX/JSON com evidência e semáforo de confiança.</w:t>
      </w:r>
    </w:p>
    <w:p>
      <w:pPr>
        <w:pStyle w:val="Heading2"/>
      </w:pPr>
      <w:r>
        <w:t>32.13 Eventos entre módulos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3024"/>
            <w:vAlign w:val="center"/>
          </w:tcPr>
          <w:p>
            <w:r>
              <w:rPr>
                <w:b/>
                <w:sz w:val="15"/>
              </w:rPr>
              <w:t>Evento</w:t>
            </w:r>
          </w:p>
        </w:tc>
        <w:tc>
          <w:tcPr>
            <w:tcW w:type="dxa" w:w="2592"/>
            <w:vAlign w:val="center"/>
          </w:tcPr>
          <w:p>
            <w:r>
              <w:rPr>
                <w:b/>
                <w:sz w:val="15"/>
              </w:rPr>
              <w:t>Produtor</w:t>
            </w:r>
          </w:p>
        </w:tc>
        <w:tc>
          <w:tcPr>
            <w:tcW w:type="dxa" w:w="4824"/>
            <w:vAlign w:val="center"/>
          </w:tcPr>
          <w:p>
            <w:r>
              <w:rPr>
                <w:b/>
                <w:sz w:val="15"/>
              </w:rPr>
              <w:t>Consumidores / efeito</w:t>
            </w:r>
          </w:p>
        </w:tc>
      </w:tr>
      <w:tr>
        <w:trPr>
          <w:cantSplit/>
          <w:cantSplit/>
        </w:trPr>
        <w:tc>
          <w:tcPr>
            <w:tcW w:type="dxa" w:w="3024"/>
            <w:vAlign w:val="top"/>
          </w:tcPr>
          <w:p>
            <w:r>
              <w:rPr>
                <w:sz w:val="15"/>
              </w:rPr>
              <w:t>source.snapshot.published</w:t>
            </w:r>
          </w:p>
        </w:tc>
        <w:tc>
          <w:tcPr>
            <w:tcW w:type="dxa" w:w="2592"/>
            <w:vAlign w:val="top"/>
          </w:tcPr>
          <w:p>
            <w:r>
              <w:rPr>
                <w:sz w:val="15"/>
              </w:rPr>
              <w:t>Data Ops</w:t>
            </w:r>
          </w:p>
        </w:tc>
        <w:tc>
          <w:tcPr>
            <w:tcW w:type="dxa" w:w="4824"/>
            <w:vAlign w:val="top"/>
          </w:tcPr>
          <w:p>
            <w:r>
              <w:rPr>
                <w:sz w:val="15"/>
              </w:rPr>
              <w:t>Legal/Geo/Rural; invalida caches e avalia ativos afetados.</w:t>
            </w:r>
          </w:p>
        </w:tc>
      </w:tr>
      <w:tr>
        <w:trPr>
          <w:cantSplit/>
          <w:cantSplit/>
        </w:trPr>
        <w:tc>
          <w:tcPr>
            <w:tcW w:type="dxa" w:w="3024"/>
            <w:vAlign w:val="top"/>
          </w:tcPr>
          <w:p>
            <w:r>
              <w:rPr>
                <w:sz w:val="15"/>
              </w:rPr>
              <w:t>legal.rule.changed</w:t>
            </w:r>
          </w:p>
        </w:tc>
        <w:tc>
          <w:tcPr>
            <w:tcW w:type="dxa" w:w="2592"/>
            <w:vAlign w:val="top"/>
          </w:tcPr>
          <w:p>
            <w:r>
              <w:rPr>
                <w:sz w:val="15"/>
              </w:rPr>
              <w:t>Legal Engine/Prefeitura</w:t>
            </w:r>
          </w:p>
        </w:tc>
        <w:tc>
          <w:tcPr>
            <w:tcW w:type="dxa" w:w="4824"/>
            <w:vAlign w:val="top"/>
          </w:tcPr>
          <w:p>
            <w:r>
              <w:rPr>
                <w:sz w:val="15"/>
              </w:rPr>
              <w:t>LoteDiretor, Imóvel 360, A.I TEC, reports.</w:t>
            </w:r>
          </w:p>
        </w:tc>
      </w:tr>
      <w:tr>
        <w:trPr>
          <w:cantSplit/>
          <w:cantSplit/>
        </w:trPr>
        <w:tc>
          <w:tcPr>
            <w:tcW w:type="dxa" w:w="3024"/>
            <w:vAlign w:val="top"/>
          </w:tcPr>
          <w:p>
            <w:r>
              <w:rPr>
                <w:sz w:val="15"/>
              </w:rPr>
              <w:t>geo.layer.changed</w:t>
            </w:r>
          </w:p>
        </w:tc>
        <w:tc>
          <w:tcPr>
            <w:tcW w:type="dxa" w:w="2592"/>
            <w:vAlign w:val="top"/>
          </w:tcPr>
          <w:p>
            <w:r>
              <w:rPr>
                <w:sz w:val="15"/>
              </w:rPr>
              <w:t>Geo/Data Ops</w:t>
            </w:r>
          </w:p>
        </w:tc>
        <w:tc>
          <w:tcPr>
            <w:tcW w:type="dxa" w:w="4824"/>
            <w:vAlign w:val="top"/>
          </w:tcPr>
          <w:p>
            <w:r>
              <w:rPr>
                <w:sz w:val="15"/>
              </w:rPr>
              <w:t>Explorer, analyses, tiles, A.I TEC.</w:t>
            </w:r>
          </w:p>
        </w:tc>
      </w:tr>
      <w:tr>
        <w:trPr>
          <w:cantSplit/>
          <w:cantSplit/>
        </w:trPr>
        <w:tc>
          <w:tcPr>
            <w:tcW w:type="dxa" w:w="3024"/>
            <w:vAlign w:val="top"/>
          </w:tcPr>
          <w:p>
            <w:r>
              <w:rPr>
                <w:sz w:val="15"/>
              </w:rPr>
              <w:t>municipality.publication.changed</w:t>
            </w:r>
          </w:p>
        </w:tc>
        <w:tc>
          <w:tcPr>
            <w:tcW w:type="dxa" w:w="2592"/>
            <w:vAlign w:val="top"/>
          </w:tcPr>
          <w:p>
            <w:r>
              <w:rPr>
                <w:sz w:val="15"/>
              </w:rPr>
              <w:t>Prefeitura</w:t>
            </w:r>
          </w:p>
        </w:tc>
        <w:tc>
          <w:tcPr>
            <w:tcW w:type="dxa" w:w="4824"/>
            <w:vAlign w:val="top"/>
          </w:tcPr>
          <w:p>
            <w:r>
              <w:rPr>
                <w:sz w:val="15"/>
              </w:rPr>
              <w:t>Legal, CTM, reports e cache.</w:t>
            </w:r>
          </w:p>
        </w:tc>
      </w:tr>
      <w:tr>
        <w:trPr>
          <w:cantSplit/>
          <w:cantSplit/>
        </w:trPr>
        <w:tc>
          <w:tcPr>
            <w:tcW w:type="dxa" w:w="3024"/>
            <w:vAlign w:val="top"/>
          </w:tcPr>
          <w:p>
            <w:r>
              <w:rPr>
                <w:sz w:val="15"/>
              </w:rPr>
              <w:t>condo.document.published</w:t>
            </w:r>
          </w:p>
        </w:tc>
        <w:tc>
          <w:tcPr>
            <w:tcW w:type="dxa" w:w="2592"/>
            <w:vAlign w:val="top"/>
          </w:tcPr>
          <w:p>
            <w:r>
              <w:rPr>
                <w:sz w:val="15"/>
              </w:rPr>
              <w:t>Condomínio</w:t>
            </w:r>
          </w:p>
        </w:tc>
        <w:tc>
          <w:tcPr>
            <w:tcW w:type="dxa" w:w="4824"/>
            <w:vAlign w:val="top"/>
          </w:tcPr>
          <w:p>
            <w:r>
              <w:rPr>
                <w:sz w:val="15"/>
              </w:rPr>
              <w:t>A.I Condomínio e regras privadas.</w:t>
            </w:r>
          </w:p>
        </w:tc>
      </w:tr>
      <w:tr>
        <w:trPr>
          <w:cantSplit/>
          <w:cantSplit/>
        </w:trPr>
        <w:tc>
          <w:tcPr>
            <w:tcW w:type="dxa" w:w="3024"/>
            <w:vAlign w:val="top"/>
          </w:tcPr>
          <w:p>
            <w:r>
              <w:rPr>
                <w:sz w:val="15"/>
              </w:rPr>
              <w:t>billing.subscription.changed</w:t>
            </w:r>
          </w:p>
        </w:tc>
        <w:tc>
          <w:tcPr>
            <w:tcW w:type="dxa" w:w="2592"/>
            <w:vAlign w:val="top"/>
          </w:tcPr>
          <w:p>
            <w:r>
              <w:rPr>
                <w:sz w:val="15"/>
              </w:rPr>
              <w:t>Billing</w:t>
            </w:r>
          </w:p>
        </w:tc>
        <w:tc>
          <w:tcPr>
            <w:tcW w:type="dxa" w:w="4824"/>
            <w:vAlign w:val="top"/>
          </w:tcPr>
          <w:p>
            <w:r>
              <w:rPr>
                <w:sz w:val="15"/>
              </w:rPr>
              <w:t>Entitlements e notificações.</w:t>
            </w:r>
          </w:p>
        </w:tc>
      </w:tr>
      <w:tr>
        <w:trPr>
          <w:cantSplit/>
          <w:cantSplit/>
        </w:trPr>
        <w:tc>
          <w:tcPr>
            <w:tcW w:type="dxa" w:w="3024"/>
            <w:vAlign w:val="top"/>
          </w:tcPr>
          <w:p>
            <w:r>
              <w:rPr>
                <w:sz w:val="15"/>
              </w:rPr>
              <w:t>entitlement.changed</w:t>
            </w:r>
          </w:p>
        </w:tc>
        <w:tc>
          <w:tcPr>
            <w:tcW w:type="dxa" w:w="2592"/>
            <w:vAlign w:val="top"/>
          </w:tcPr>
          <w:p>
            <w:r>
              <w:rPr>
                <w:sz w:val="15"/>
              </w:rPr>
              <w:t>Catalog/Billing</w:t>
            </w:r>
          </w:p>
        </w:tc>
        <w:tc>
          <w:tcPr>
            <w:tcW w:type="dxa" w:w="4824"/>
            <w:vAlign w:val="top"/>
          </w:tcPr>
          <w:p>
            <w:r>
              <w:rPr>
                <w:sz w:val="15"/>
              </w:rPr>
              <w:t>Frontend nav, APIs, quotas e workers.</w:t>
            </w:r>
          </w:p>
        </w:tc>
      </w:tr>
      <w:tr>
        <w:trPr>
          <w:cantSplit/>
          <w:cantSplit/>
        </w:trPr>
        <w:tc>
          <w:tcPr>
            <w:tcW w:type="dxa" w:w="3024"/>
            <w:vAlign w:val="top"/>
          </w:tcPr>
          <w:p>
            <w:r>
              <w:rPr>
                <w:sz w:val="15"/>
              </w:rPr>
              <w:t>solar.simulation.completed</w:t>
            </w:r>
          </w:p>
        </w:tc>
        <w:tc>
          <w:tcPr>
            <w:tcW w:type="dxa" w:w="2592"/>
            <w:vAlign w:val="top"/>
          </w:tcPr>
          <w:p>
            <w:r>
              <w:rPr>
                <w:sz w:val="15"/>
              </w:rPr>
              <w:t>Solar</w:t>
            </w:r>
          </w:p>
        </w:tc>
        <w:tc>
          <w:tcPr>
            <w:tcW w:type="dxa" w:w="4824"/>
            <w:vAlign w:val="top"/>
          </w:tcPr>
          <w:p>
            <w:r>
              <w:rPr>
                <w:sz w:val="15"/>
              </w:rPr>
              <w:t>UI, report, A.I TEC.</w:t>
            </w:r>
          </w:p>
        </w:tc>
      </w:tr>
      <w:tr>
        <w:trPr>
          <w:cantSplit/>
          <w:cantSplit/>
        </w:trPr>
        <w:tc>
          <w:tcPr>
            <w:tcW w:type="dxa" w:w="3024"/>
            <w:vAlign w:val="top"/>
          </w:tcPr>
          <w:p>
            <w:r>
              <w:rPr>
                <w:sz w:val="15"/>
              </w:rPr>
              <w:t>aitec.scenario.completed</w:t>
            </w:r>
          </w:p>
        </w:tc>
        <w:tc>
          <w:tcPr>
            <w:tcW w:type="dxa" w:w="2592"/>
            <w:vAlign w:val="top"/>
          </w:tcPr>
          <w:p>
            <w:r>
              <w:rPr>
                <w:sz w:val="15"/>
              </w:rPr>
              <w:t>A.I TEC</w:t>
            </w:r>
          </w:p>
        </w:tc>
        <w:tc>
          <w:tcPr>
            <w:tcW w:type="dxa" w:w="4824"/>
            <w:vAlign w:val="top"/>
          </w:tcPr>
          <w:p>
            <w:r>
              <w:rPr>
                <w:sz w:val="15"/>
              </w:rPr>
              <w:t>UI, analytics, report.</w:t>
            </w:r>
          </w:p>
        </w:tc>
      </w:tr>
      <w:tr>
        <w:trPr>
          <w:cantSplit/>
          <w:cantSplit/>
        </w:trPr>
        <w:tc>
          <w:tcPr>
            <w:tcW w:type="dxa" w:w="3024"/>
            <w:vAlign w:val="top"/>
          </w:tcPr>
          <w:p>
            <w:r>
              <w:rPr>
                <w:sz w:val="15"/>
              </w:rPr>
              <w:t>analysis.completed</w:t>
            </w:r>
          </w:p>
        </w:tc>
        <w:tc>
          <w:tcPr>
            <w:tcW w:type="dxa" w:w="2592"/>
            <w:vAlign w:val="top"/>
          </w:tcPr>
          <w:p>
            <w:r>
              <w:rPr>
                <w:sz w:val="15"/>
              </w:rPr>
              <w:t>Analysis</w:t>
            </w:r>
          </w:p>
        </w:tc>
        <w:tc>
          <w:tcPr>
            <w:tcW w:type="dxa" w:w="4824"/>
            <w:vAlign w:val="top"/>
          </w:tcPr>
          <w:p>
            <w:r>
              <w:rPr>
                <w:sz w:val="15"/>
              </w:rPr>
              <w:t>Report, notification, activity feed.</w:t>
            </w:r>
          </w:p>
        </w:tc>
      </w:tr>
    </w:tbl>
    <w:p/>
    <w:p>
      <w:pPr>
        <w:pStyle w:val="Heading2"/>
      </w:pPr>
      <w:r>
        <w:t>32.14 Pipeline definitivo de fontes</w:t>
      </w:r>
    </w:p>
    <w:p>
      <w:r>
        <w:drawing>
          <wp:inline xmlns:a="http://schemas.openxmlformats.org/drawingml/2006/main" xmlns:pic="http://schemas.openxmlformats.org/drawingml/2006/picture">
            <wp:extent cx="6172200" cy="3192837"/>
            <wp:docPr id="19" name="Picture 19" descr="Figura — Toda fonte passa por registry, raw snapshot, QA, normalização, publicação e invalidação controlada." title="Figura — Toda fonte passa por registry, raw snapshot, QA, normalização, publicação e invalidação controlada."/>
            <wp:cNvGraphicFramePr>
              <a:graphicFrameLocks noChangeAspect="1"/>
            </wp:cNvGraphicFramePr>
            <a:graphic>
              <a:graphicData uri="http://schemas.openxmlformats.org/drawingml/2006/picture">
                <pic:pic>
                  <pic:nvPicPr>
                    <pic:cNvPr id="0" name="source_pipeline_v20.png"/>
                    <pic:cNvPicPr/>
                  </pic:nvPicPr>
                  <pic:blipFill>
                    <a:blip r:embed="rId29"/>
                    <a:stretch>
                      <a:fillRect/>
                    </a:stretch>
                  </pic:blipFill>
                  <pic:spPr>
                    <a:xfrm>
                      <a:off x="0" y="0"/>
                      <a:ext cx="6172200" cy="3192837"/>
                    </a:xfrm>
                    <a:prstGeom prst="rect"/>
                  </pic:spPr>
                </pic:pic>
              </a:graphicData>
            </a:graphic>
          </wp:inline>
        </w:drawing>
      </w:r>
    </w:p>
    <w:p>
      <w:pPr>
        <w:pStyle w:val="CaptionLD"/>
        <w:jc w:val="center"/>
      </w:pPr>
      <w:r>
        <w:t>Figura — Toda fonte passa por registry, raw snapshot, QA, normalização, publicação e invalidação controlada.</w:t>
      </w:r>
    </w:p>
    <w:p>
      <w:r>
        <w:rPr>
          <w:b w:val="0"/>
        </w:rPr>
        <w:t>O Source Registry é obrigatório para qualquer dado externo. Nenhum parser acessa URL solta configurada no código de tela. Credenciais ficam referenciadas por secret_ref; o registro contém autoridade, acesso, licença, formato, cobertura, cadence, parser_version e health.</w:t>
      </w:r>
    </w:p>
    <w:p>
      <w:pPr>
        <w:pStyle w:val="Heading2"/>
      </w:pPr>
      <w:r>
        <w:t>32.15 Matriz consolidada de fontes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blHeader w:val="true"/>
          <w:cantSplit/>
        </w:trPr>
        <w:tc>
          <w:tcPr>
            <w:tcW w:type="dxa" w:w="1800"/>
            <w:vAlign w:val="center"/>
          </w:tcPr>
          <w:p>
            <w:r>
              <w:rPr>
                <w:b/>
                <w:sz w:val="13"/>
              </w:rPr>
              <w:t>Domínio</w:t>
            </w:r>
          </w:p>
        </w:tc>
        <w:tc>
          <w:tcPr>
            <w:tcW w:type="dxa" w:w="1944"/>
            <w:vAlign w:val="center"/>
          </w:tcPr>
          <w:p>
            <w:r>
              <w:rPr>
                <w:b/>
                <w:sz w:val="13"/>
              </w:rPr>
              <w:t>Fonte</w:t>
            </w:r>
          </w:p>
        </w:tc>
        <w:tc>
          <w:tcPr>
            <w:tcW w:type="dxa" w:w="3240"/>
            <w:vAlign w:val="center"/>
          </w:tcPr>
          <w:p>
            <w:r>
              <w:rPr>
                <w:b/>
                <w:sz w:val="13"/>
              </w:rPr>
              <w:t>Dados</w:t>
            </w:r>
          </w:p>
        </w:tc>
        <w:tc>
          <w:tcPr>
            <w:tcW w:type="dxa" w:w="1656"/>
            <w:vAlign w:val="center"/>
          </w:tcPr>
          <w:p>
            <w:r>
              <w:rPr>
                <w:b/>
                <w:sz w:val="13"/>
              </w:rPr>
              <w:t>Canal</w:t>
            </w:r>
          </w:p>
        </w:tc>
        <w:tc>
          <w:tcPr>
            <w:tcW w:type="dxa" w:w="1440"/>
            <w:vAlign w:val="center"/>
          </w:tcPr>
          <w:p>
            <w:r>
              <w:rPr>
                <w:b/>
                <w:sz w:val="13"/>
              </w:rPr>
              <w:t>Cadência</w:t>
            </w:r>
          </w:p>
        </w:tc>
        <w:tc>
          <w:tcPr>
            <w:tcW w:type="dxa" w:w="936"/>
            <w:vAlign w:val="center"/>
          </w:tcPr>
          <w:p>
            <w:r>
              <w:rPr>
                <w:b/>
                <w:sz w:val="13"/>
              </w:rPr>
              <w:t>Classe</w:t>
            </w:r>
          </w:p>
        </w:tc>
      </w:tr>
      <w:tr>
        <w:trPr>
          <w:cantSplit/>
          <w:cantSplit/>
        </w:trPr>
        <w:tc>
          <w:tcPr>
            <w:tcW w:type="dxa" w:w="1800"/>
            <w:vAlign w:val="top"/>
          </w:tcPr>
          <w:p>
            <w:r>
              <w:rPr>
                <w:sz w:val="13"/>
              </w:rPr>
              <w:t>Base territorial</w:t>
            </w:r>
          </w:p>
        </w:tc>
        <w:tc>
          <w:tcPr>
            <w:tcW w:type="dxa" w:w="1944"/>
            <w:vAlign w:val="top"/>
          </w:tcPr>
          <w:p>
            <w:r>
              <w:rPr>
                <w:sz w:val="13"/>
              </w:rPr>
              <w:t>IBGE</w:t>
            </w:r>
          </w:p>
        </w:tc>
        <w:tc>
          <w:tcPr>
            <w:tcW w:type="dxa" w:w="3240"/>
            <w:vAlign w:val="top"/>
          </w:tcPr>
          <w:p>
            <w:r>
              <w:rPr>
                <w:sz w:val="13"/>
              </w:rPr>
              <w:t>malhas, municípios, setores, Censo, endereços/estatísticas</w:t>
            </w:r>
          </w:p>
        </w:tc>
        <w:tc>
          <w:tcPr>
            <w:tcW w:type="dxa" w:w="1656"/>
            <w:vAlign w:val="top"/>
          </w:tcPr>
          <w:p>
            <w:r>
              <w:rPr>
                <w:sz w:val="13"/>
              </w:rPr>
              <w:t>download/API</w:t>
            </w:r>
          </w:p>
        </w:tc>
        <w:tc>
          <w:tcPr>
            <w:tcW w:type="dxa" w:w="1440"/>
            <w:vAlign w:val="top"/>
          </w:tcPr>
          <w:p>
            <w:r>
              <w:rPr>
                <w:sz w:val="13"/>
              </w:rPr>
              <w:t>por publicação</w:t>
            </w:r>
          </w:p>
        </w:tc>
        <w:tc>
          <w:tcPr>
            <w:tcW w:type="dxa" w:w="936"/>
            <w:vAlign w:val="top"/>
          </w:tcPr>
          <w:p>
            <w:r>
              <w:rPr>
                <w:sz w:val="13"/>
              </w:rPr>
              <w:t>A</w:t>
            </w:r>
          </w:p>
        </w:tc>
      </w:tr>
      <w:tr>
        <w:trPr>
          <w:cantSplit/>
          <w:cantSplit/>
        </w:trPr>
        <w:tc>
          <w:tcPr>
            <w:tcW w:type="dxa" w:w="1800"/>
            <w:vAlign w:val="top"/>
          </w:tcPr>
          <w:p>
            <w:r>
              <w:rPr>
                <w:sz w:val="13"/>
              </w:rPr>
              <w:t>Descoberta GIS</w:t>
            </w:r>
          </w:p>
        </w:tc>
        <w:tc>
          <w:tcPr>
            <w:tcW w:type="dxa" w:w="1944"/>
            <w:vAlign w:val="top"/>
          </w:tcPr>
          <w:p>
            <w:r>
              <w:rPr>
                <w:sz w:val="13"/>
              </w:rPr>
              <w:t>INDE/DBDG</w:t>
            </w:r>
          </w:p>
        </w:tc>
        <w:tc>
          <w:tcPr>
            <w:tcW w:type="dxa" w:w="3240"/>
            <w:vAlign w:val="top"/>
          </w:tcPr>
          <w:p>
            <w:r>
              <w:rPr>
                <w:sz w:val="13"/>
              </w:rPr>
              <w:t>catálogo de geosserviços e metadados</w:t>
            </w:r>
          </w:p>
        </w:tc>
        <w:tc>
          <w:tcPr>
            <w:tcW w:type="dxa" w:w="1656"/>
            <w:vAlign w:val="top"/>
          </w:tcPr>
          <w:p>
            <w:r>
              <w:rPr>
                <w:sz w:val="13"/>
              </w:rPr>
              <w:t>WMS/WFS/metadados</w:t>
            </w:r>
          </w:p>
        </w:tc>
        <w:tc>
          <w:tcPr>
            <w:tcW w:type="dxa" w:w="1440"/>
            <w:vAlign w:val="top"/>
          </w:tcPr>
          <w:p>
            <w:r>
              <w:rPr>
                <w:sz w:val="13"/>
              </w:rPr>
              <w:t>periódica</w:t>
            </w:r>
          </w:p>
        </w:tc>
        <w:tc>
          <w:tcPr>
            <w:tcW w:type="dxa" w:w="936"/>
            <w:vAlign w:val="top"/>
          </w:tcPr>
          <w:p>
            <w:r>
              <w:rPr>
                <w:sz w:val="13"/>
              </w:rPr>
              <w:t>A</w:t>
            </w:r>
          </w:p>
        </w:tc>
      </w:tr>
      <w:tr>
        <w:trPr>
          <w:cantSplit/>
          <w:cantSplit/>
        </w:trPr>
        <w:tc>
          <w:tcPr>
            <w:tcW w:type="dxa" w:w="1800"/>
            <w:vAlign w:val="top"/>
          </w:tcPr>
          <w:p>
            <w:r>
              <w:rPr>
                <w:sz w:val="13"/>
              </w:rPr>
              <w:t>Municipal</w:t>
            </w:r>
          </w:p>
        </w:tc>
        <w:tc>
          <w:tcPr>
            <w:tcW w:type="dxa" w:w="1944"/>
            <w:vAlign w:val="top"/>
          </w:tcPr>
          <w:p>
            <w:r>
              <w:rPr>
                <w:sz w:val="13"/>
              </w:rPr>
              <w:t>Prefeitura/Câmara/Diário/GIS</w:t>
            </w:r>
          </w:p>
        </w:tc>
        <w:tc>
          <w:tcPr>
            <w:tcW w:type="dxa" w:w="3240"/>
            <w:vAlign w:val="top"/>
          </w:tcPr>
          <w:p>
            <w:r>
              <w:rPr>
                <w:sz w:val="13"/>
              </w:rPr>
              <w:t>Plano Diretor, zoneamento, CTM, IPTU/PGV, alvarás, patrimônio, risco</w:t>
            </w:r>
          </w:p>
        </w:tc>
        <w:tc>
          <w:tcPr>
            <w:tcW w:type="dxa" w:w="1656"/>
            <w:vAlign w:val="top"/>
          </w:tcPr>
          <w:p>
            <w:r>
              <w:rPr>
                <w:sz w:val="13"/>
              </w:rPr>
              <w:t>HTML/PDF/WFS/ArcGIS/API</w:t>
            </w:r>
          </w:p>
        </w:tc>
        <w:tc>
          <w:tcPr>
            <w:tcW w:type="dxa" w:w="1440"/>
            <w:vAlign w:val="top"/>
          </w:tcPr>
          <w:p>
            <w:r>
              <w:rPr>
                <w:sz w:val="13"/>
              </w:rPr>
              <w:t>diário/semanal/evento</w:t>
            </w:r>
          </w:p>
        </w:tc>
        <w:tc>
          <w:tcPr>
            <w:tcW w:type="dxa" w:w="936"/>
            <w:vAlign w:val="top"/>
          </w:tcPr>
          <w:p>
            <w:r>
              <w:rPr>
                <w:sz w:val="13"/>
              </w:rPr>
              <w:t>B</w:t>
            </w:r>
          </w:p>
        </w:tc>
      </w:tr>
      <w:tr>
        <w:trPr>
          <w:cantSplit/>
          <w:cantSplit/>
        </w:trPr>
        <w:tc>
          <w:tcPr>
            <w:tcW w:type="dxa" w:w="1800"/>
            <w:vAlign w:val="top"/>
          </w:tcPr>
          <w:p>
            <w:r>
              <w:rPr>
                <w:sz w:val="13"/>
              </w:rPr>
              <w:t>Município aderente</w:t>
            </w:r>
          </w:p>
        </w:tc>
        <w:tc>
          <w:tcPr>
            <w:tcW w:type="dxa" w:w="1944"/>
            <w:vAlign w:val="top"/>
          </w:tcPr>
          <w:p>
            <w:r>
              <w:rPr>
                <w:sz w:val="13"/>
              </w:rPr>
              <w:t>Módulo Prefeitura</w:t>
            </w:r>
          </w:p>
        </w:tc>
        <w:tc>
          <w:tcPr>
            <w:tcW w:type="dxa" w:w="3240"/>
            <w:vAlign w:val="top"/>
          </w:tcPr>
          <w:p>
            <w:r>
              <w:rPr>
                <w:sz w:val="13"/>
              </w:rPr>
              <w:t>publicações homologadas, CTM, tax rules, permits e camadas</w:t>
            </w:r>
          </w:p>
        </w:tc>
        <w:tc>
          <w:tcPr>
            <w:tcW w:type="dxa" w:w="1656"/>
            <w:vAlign w:val="top"/>
          </w:tcPr>
          <w:p>
            <w:r>
              <w:rPr>
                <w:sz w:val="13"/>
              </w:rPr>
              <w:t>API/MVT/OGC</w:t>
            </w:r>
          </w:p>
        </w:tc>
        <w:tc>
          <w:tcPr>
            <w:tcW w:type="dxa" w:w="1440"/>
            <w:vAlign w:val="top"/>
          </w:tcPr>
          <w:p>
            <w:r>
              <w:rPr>
                <w:sz w:val="13"/>
              </w:rPr>
              <w:t>evento</w:t>
            </w:r>
          </w:p>
        </w:tc>
        <w:tc>
          <w:tcPr>
            <w:tcW w:type="dxa" w:w="936"/>
            <w:vAlign w:val="top"/>
          </w:tcPr>
          <w:p>
            <w:r>
              <w:rPr>
                <w:sz w:val="13"/>
              </w:rPr>
              <w:t>C institucional</w:t>
            </w:r>
          </w:p>
        </w:tc>
      </w:tr>
      <w:tr>
        <w:trPr>
          <w:cantSplit/>
          <w:cantSplit/>
        </w:trPr>
        <w:tc>
          <w:tcPr>
            <w:tcW w:type="dxa" w:w="1800"/>
            <w:vAlign w:val="top"/>
          </w:tcPr>
          <w:p>
            <w:r>
              <w:rPr>
                <w:sz w:val="13"/>
              </w:rPr>
              <w:t>Cadastro imobiliário</w:t>
            </w:r>
          </w:p>
        </w:tc>
        <w:tc>
          <w:tcPr>
            <w:tcW w:type="dxa" w:w="1944"/>
            <w:vAlign w:val="top"/>
          </w:tcPr>
          <w:p>
            <w:r>
              <w:rPr>
                <w:sz w:val="13"/>
              </w:rPr>
              <w:t>Receita/SINTER/CIB</w:t>
            </w:r>
          </w:p>
        </w:tc>
        <w:tc>
          <w:tcPr>
            <w:tcW w:type="dxa" w:w="3240"/>
            <w:vAlign w:val="top"/>
          </w:tcPr>
          <w:p>
            <w:r>
              <w:rPr>
                <w:sz w:val="13"/>
              </w:rPr>
              <w:t>CIB e integração cadastral</w:t>
            </w:r>
          </w:p>
        </w:tc>
        <w:tc>
          <w:tcPr>
            <w:tcW w:type="dxa" w:w="1656"/>
            <w:vAlign w:val="top"/>
          </w:tcPr>
          <w:p>
            <w:r>
              <w:rPr>
                <w:sz w:val="13"/>
              </w:rPr>
              <w:t>integração autorizada</w:t>
            </w:r>
          </w:p>
        </w:tc>
        <w:tc>
          <w:tcPr>
            <w:tcW w:type="dxa" w:w="1440"/>
            <w:vAlign w:val="top"/>
          </w:tcPr>
          <w:p>
            <w:r>
              <w:rPr>
                <w:sz w:val="13"/>
              </w:rPr>
              <w:t>conforme integração</w:t>
            </w:r>
          </w:p>
        </w:tc>
        <w:tc>
          <w:tcPr>
            <w:tcW w:type="dxa" w:w="936"/>
            <w:vAlign w:val="top"/>
          </w:tcPr>
          <w:p>
            <w:r>
              <w:rPr>
                <w:sz w:val="13"/>
              </w:rPr>
              <w:t>C</w:t>
            </w:r>
          </w:p>
        </w:tc>
      </w:tr>
      <w:tr>
        <w:trPr>
          <w:cantSplit/>
          <w:cantSplit/>
        </w:trPr>
        <w:tc>
          <w:tcPr>
            <w:tcW w:type="dxa" w:w="1800"/>
            <w:vAlign w:val="top"/>
          </w:tcPr>
          <w:p>
            <w:r>
              <w:rPr>
                <w:sz w:val="13"/>
              </w:rPr>
              <w:t>Registro</w:t>
            </w:r>
          </w:p>
        </w:tc>
        <w:tc>
          <w:tcPr>
            <w:tcW w:type="dxa" w:w="1944"/>
            <w:vAlign w:val="top"/>
          </w:tcPr>
          <w:p>
            <w:r>
              <w:rPr>
                <w:sz w:val="13"/>
              </w:rPr>
              <w:t>ONR/SREI/CNJ</w:t>
            </w:r>
          </w:p>
        </w:tc>
        <w:tc>
          <w:tcPr>
            <w:tcW w:type="dxa" w:w="3240"/>
            <w:vAlign w:val="top"/>
          </w:tcPr>
          <w:p>
            <w:r>
              <w:rPr>
                <w:sz w:val="13"/>
              </w:rPr>
              <w:t>certidões, matrícula e serviços registrais</w:t>
            </w:r>
          </w:p>
        </w:tc>
        <w:tc>
          <w:tcPr>
            <w:tcW w:type="dxa" w:w="1656"/>
            <w:vAlign w:val="top"/>
          </w:tcPr>
          <w:p>
            <w:r>
              <w:rPr>
                <w:sz w:val="13"/>
              </w:rPr>
              <w:t>serviço autenticado</w:t>
            </w:r>
          </w:p>
        </w:tc>
        <w:tc>
          <w:tcPr>
            <w:tcW w:type="dxa" w:w="1440"/>
            <w:vAlign w:val="top"/>
          </w:tcPr>
          <w:p>
            <w:r>
              <w:rPr>
                <w:sz w:val="13"/>
              </w:rPr>
              <w:t>sob demanda</w:t>
            </w:r>
          </w:p>
        </w:tc>
        <w:tc>
          <w:tcPr>
            <w:tcW w:type="dxa" w:w="936"/>
            <w:vAlign w:val="top"/>
          </w:tcPr>
          <w:p>
            <w:r>
              <w:rPr>
                <w:sz w:val="13"/>
              </w:rPr>
              <w:t>C</w:t>
            </w:r>
          </w:p>
        </w:tc>
      </w:tr>
      <w:tr>
        <w:trPr>
          <w:cantSplit/>
          <w:cantSplit/>
        </w:trPr>
        <w:tc>
          <w:tcPr>
            <w:tcW w:type="dxa" w:w="1800"/>
            <w:vAlign w:val="top"/>
          </w:tcPr>
          <w:p>
            <w:r>
              <w:rPr>
                <w:sz w:val="13"/>
              </w:rPr>
              <w:t>Rural fundiário</w:t>
            </w:r>
          </w:p>
        </w:tc>
        <w:tc>
          <w:tcPr>
            <w:tcW w:type="dxa" w:w="1944"/>
            <w:vAlign w:val="top"/>
          </w:tcPr>
          <w:p>
            <w:r>
              <w:rPr>
                <w:sz w:val="13"/>
              </w:rPr>
              <w:t>INCRA/SIGEF/SNCR</w:t>
            </w:r>
          </w:p>
        </w:tc>
        <w:tc>
          <w:tcPr>
            <w:tcW w:type="dxa" w:w="3240"/>
            <w:vAlign w:val="top"/>
          </w:tcPr>
          <w:p>
            <w:r>
              <w:rPr>
                <w:sz w:val="13"/>
              </w:rPr>
              <w:t>parcelas certificadas, georreferenciamento, cadastro/CCIR</w:t>
            </w:r>
          </w:p>
        </w:tc>
        <w:tc>
          <w:tcPr>
            <w:tcW w:type="dxa" w:w="1656"/>
            <w:vAlign w:val="top"/>
          </w:tcPr>
          <w:p>
            <w:r>
              <w:rPr>
                <w:sz w:val="13"/>
              </w:rPr>
              <w:t>serviço/download</w:t>
            </w:r>
          </w:p>
        </w:tc>
        <w:tc>
          <w:tcPr>
            <w:tcW w:type="dxa" w:w="1440"/>
            <w:vAlign w:val="top"/>
          </w:tcPr>
          <w:p>
            <w:r>
              <w:rPr>
                <w:sz w:val="13"/>
              </w:rPr>
              <w:t>incremental</w:t>
            </w:r>
          </w:p>
        </w:tc>
        <w:tc>
          <w:tcPr>
            <w:tcW w:type="dxa" w:w="936"/>
            <w:vAlign w:val="top"/>
          </w:tcPr>
          <w:p>
            <w:r>
              <w:rPr>
                <w:sz w:val="13"/>
              </w:rPr>
              <w:t>A/C</w:t>
            </w:r>
          </w:p>
        </w:tc>
      </w:tr>
      <w:tr>
        <w:trPr>
          <w:cantSplit/>
          <w:cantSplit/>
        </w:trPr>
        <w:tc>
          <w:tcPr>
            <w:tcW w:type="dxa" w:w="1800"/>
            <w:vAlign w:val="top"/>
          </w:tcPr>
          <w:p>
            <w:r>
              <w:rPr>
                <w:sz w:val="13"/>
              </w:rPr>
              <w:t>Rural ambiental</w:t>
            </w:r>
          </w:p>
        </w:tc>
        <w:tc>
          <w:tcPr>
            <w:tcW w:type="dxa" w:w="1944"/>
            <w:vAlign w:val="top"/>
          </w:tcPr>
          <w:p>
            <w:r>
              <w:rPr>
                <w:sz w:val="13"/>
              </w:rPr>
              <w:t>SICAR/SFB + UFs</w:t>
            </w:r>
          </w:p>
        </w:tc>
        <w:tc>
          <w:tcPr>
            <w:tcW w:type="dxa" w:w="3240"/>
            <w:vAlign w:val="top"/>
          </w:tcPr>
          <w:p>
            <w:r>
              <w:rPr>
                <w:sz w:val="13"/>
              </w:rPr>
              <w:t>CAR, APP/RL e situação</w:t>
            </w:r>
          </w:p>
        </w:tc>
        <w:tc>
          <w:tcPr>
            <w:tcW w:type="dxa" w:w="1656"/>
            <w:vAlign w:val="top"/>
          </w:tcPr>
          <w:p>
            <w:r>
              <w:rPr>
                <w:sz w:val="13"/>
              </w:rPr>
              <w:t>portal/API/conectores</w:t>
            </w:r>
          </w:p>
        </w:tc>
        <w:tc>
          <w:tcPr>
            <w:tcW w:type="dxa" w:w="1440"/>
            <w:vAlign w:val="top"/>
          </w:tcPr>
          <w:p>
            <w:r>
              <w:rPr>
                <w:sz w:val="13"/>
              </w:rPr>
              <w:t>por UF</w:t>
            </w:r>
          </w:p>
        </w:tc>
        <w:tc>
          <w:tcPr>
            <w:tcW w:type="dxa" w:w="936"/>
            <w:vAlign w:val="top"/>
          </w:tcPr>
          <w:p>
            <w:r>
              <w:rPr>
                <w:sz w:val="13"/>
              </w:rPr>
              <w:t>A/C</w:t>
            </w:r>
          </w:p>
        </w:tc>
      </w:tr>
      <w:tr>
        <w:trPr>
          <w:cantSplit/>
          <w:cantSplit/>
        </w:trPr>
        <w:tc>
          <w:tcPr>
            <w:tcW w:type="dxa" w:w="1800"/>
            <w:vAlign w:val="top"/>
          </w:tcPr>
          <w:p>
            <w:r>
              <w:rPr>
                <w:sz w:val="13"/>
              </w:rPr>
              <w:t>Ambiental</w:t>
            </w:r>
          </w:p>
        </w:tc>
        <w:tc>
          <w:tcPr>
            <w:tcW w:type="dxa" w:w="1944"/>
            <w:vAlign w:val="top"/>
          </w:tcPr>
          <w:p>
            <w:r>
              <w:rPr>
                <w:sz w:val="13"/>
              </w:rPr>
              <w:t>IBAMA</w:t>
            </w:r>
          </w:p>
        </w:tc>
        <w:tc>
          <w:tcPr>
            <w:tcW w:type="dxa" w:w="3240"/>
            <w:vAlign w:val="top"/>
          </w:tcPr>
          <w:p>
            <w:r>
              <w:rPr>
                <w:sz w:val="13"/>
              </w:rPr>
              <w:t>embargos, autos e dados ambientais</w:t>
            </w:r>
          </w:p>
        </w:tc>
        <w:tc>
          <w:tcPr>
            <w:tcW w:type="dxa" w:w="1656"/>
            <w:vAlign w:val="top"/>
          </w:tcPr>
          <w:p>
            <w:r>
              <w:rPr>
                <w:sz w:val="13"/>
              </w:rPr>
              <w:t>SHP/CSV/JSON/API</w:t>
            </w:r>
          </w:p>
        </w:tc>
        <w:tc>
          <w:tcPr>
            <w:tcW w:type="dxa" w:w="1440"/>
            <w:vAlign w:val="top"/>
          </w:tcPr>
          <w:p>
            <w:r>
              <w:rPr>
                <w:sz w:val="13"/>
              </w:rPr>
              <w:t>frequente</w:t>
            </w:r>
          </w:p>
        </w:tc>
        <w:tc>
          <w:tcPr>
            <w:tcW w:type="dxa" w:w="936"/>
            <w:vAlign w:val="top"/>
          </w:tcPr>
          <w:p>
            <w:r>
              <w:rPr>
                <w:sz w:val="13"/>
              </w:rPr>
              <w:t>A</w:t>
            </w:r>
          </w:p>
        </w:tc>
      </w:tr>
      <w:tr>
        <w:trPr>
          <w:cantSplit/>
          <w:cantSplit/>
        </w:trPr>
        <w:tc>
          <w:tcPr>
            <w:tcW w:type="dxa" w:w="1800"/>
            <w:vAlign w:val="top"/>
          </w:tcPr>
          <w:p>
            <w:r>
              <w:rPr>
                <w:sz w:val="13"/>
              </w:rPr>
              <w:t>Monitoramento</w:t>
            </w:r>
          </w:p>
        </w:tc>
        <w:tc>
          <w:tcPr>
            <w:tcW w:type="dxa" w:w="1944"/>
            <w:vAlign w:val="top"/>
          </w:tcPr>
          <w:p>
            <w:r>
              <w:rPr>
                <w:sz w:val="13"/>
              </w:rPr>
              <w:t>INPE/TerraBrasilis</w:t>
            </w:r>
          </w:p>
        </w:tc>
        <w:tc>
          <w:tcPr>
            <w:tcW w:type="dxa" w:w="3240"/>
            <w:vAlign w:val="top"/>
          </w:tcPr>
          <w:p>
            <w:r>
              <w:rPr>
                <w:sz w:val="13"/>
              </w:rPr>
              <w:t>PRODES/DETER e séries geoespaciais</w:t>
            </w:r>
          </w:p>
        </w:tc>
        <w:tc>
          <w:tcPr>
            <w:tcW w:type="dxa" w:w="1656"/>
            <w:vAlign w:val="top"/>
          </w:tcPr>
          <w:p>
            <w:r>
              <w:rPr>
                <w:sz w:val="13"/>
              </w:rPr>
              <w:t>WFS/download/raster</w:t>
            </w:r>
          </w:p>
        </w:tc>
        <w:tc>
          <w:tcPr>
            <w:tcW w:type="dxa" w:w="1440"/>
            <w:vAlign w:val="top"/>
          </w:tcPr>
          <w:p>
            <w:r>
              <w:rPr>
                <w:sz w:val="13"/>
              </w:rPr>
              <w:t>por publicação</w:t>
            </w:r>
          </w:p>
        </w:tc>
        <w:tc>
          <w:tcPr>
            <w:tcW w:type="dxa" w:w="936"/>
            <w:vAlign w:val="top"/>
          </w:tcPr>
          <w:p>
            <w:r>
              <w:rPr>
                <w:sz w:val="13"/>
              </w:rPr>
              <w:t>A</w:t>
            </w:r>
          </w:p>
        </w:tc>
      </w:tr>
      <w:tr>
        <w:trPr>
          <w:cantSplit/>
          <w:cantSplit/>
        </w:trPr>
        <w:tc>
          <w:tcPr>
            <w:tcW w:type="dxa" w:w="1800"/>
            <w:vAlign w:val="top"/>
          </w:tcPr>
          <w:p>
            <w:r>
              <w:rPr>
                <w:sz w:val="13"/>
              </w:rPr>
              <w:t>Conservação</w:t>
            </w:r>
          </w:p>
        </w:tc>
        <w:tc>
          <w:tcPr>
            <w:tcW w:type="dxa" w:w="1944"/>
            <w:vAlign w:val="top"/>
          </w:tcPr>
          <w:p>
            <w:r>
              <w:rPr>
                <w:sz w:val="13"/>
              </w:rPr>
              <w:t>ICMBio/CNUC</w:t>
            </w:r>
          </w:p>
        </w:tc>
        <w:tc>
          <w:tcPr>
            <w:tcW w:type="dxa" w:w="3240"/>
            <w:vAlign w:val="top"/>
          </w:tcPr>
          <w:p>
            <w:r>
              <w:rPr>
                <w:sz w:val="13"/>
              </w:rPr>
              <w:t>UCs e áreas protegidas</w:t>
            </w:r>
          </w:p>
        </w:tc>
        <w:tc>
          <w:tcPr>
            <w:tcW w:type="dxa" w:w="1656"/>
            <w:vAlign w:val="top"/>
          </w:tcPr>
          <w:p>
            <w:r>
              <w:rPr>
                <w:sz w:val="13"/>
              </w:rPr>
              <w:t>SHP/WFS</w:t>
            </w:r>
          </w:p>
        </w:tc>
        <w:tc>
          <w:tcPr>
            <w:tcW w:type="dxa" w:w="1440"/>
            <w:vAlign w:val="top"/>
          </w:tcPr>
          <w:p>
            <w:r>
              <w:rPr>
                <w:sz w:val="13"/>
              </w:rPr>
              <w:t>por publicação</w:t>
            </w:r>
          </w:p>
        </w:tc>
        <w:tc>
          <w:tcPr>
            <w:tcW w:type="dxa" w:w="936"/>
            <w:vAlign w:val="top"/>
          </w:tcPr>
          <w:p>
            <w:r>
              <w:rPr>
                <w:sz w:val="13"/>
              </w:rPr>
              <w:t>A</w:t>
            </w:r>
          </w:p>
        </w:tc>
      </w:tr>
      <w:tr>
        <w:trPr>
          <w:cantSplit/>
          <w:cantSplit/>
        </w:trPr>
        <w:tc>
          <w:tcPr>
            <w:tcW w:type="dxa" w:w="1800"/>
            <w:vAlign w:val="top"/>
          </w:tcPr>
          <w:p>
            <w:r>
              <w:rPr>
                <w:sz w:val="13"/>
              </w:rPr>
              <w:t>Terras indígenas</w:t>
            </w:r>
          </w:p>
        </w:tc>
        <w:tc>
          <w:tcPr>
            <w:tcW w:type="dxa" w:w="1944"/>
            <w:vAlign w:val="top"/>
          </w:tcPr>
          <w:p>
            <w:r>
              <w:rPr>
                <w:sz w:val="13"/>
              </w:rPr>
              <w:t>FUNAI</w:t>
            </w:r>
          </w:p>
        </w:tc>
        <w:tc>
          <w:tcPr>
            <w:tcW w:type="dxa" w:w="3240"/>
            <w:vAlign w:val="top"/>
          </w:tcPr>
          <w:p>
            <w:r>
              <w:rPr>
                <w:sz w:val="13"/>
              </w:rPr>
              <w:t>limites e situação</w:t>
            </w:r>
          </w:p>
        </w:tc>
        <w:tc>
          <w:tcPr>
            <w:tcW w:type="dxa" w:w="1656"/>
            <w:vAlign w:val="top"/>
          </w:tcPr>
          <w:p>
            <w:r>
              <w:rPr>
                <w:sz w:val="13"/>
              </w:rPr>
              <w:t>GeoServer/download</w:t>
            </w:r>
          </w:p>
        </w:tc>
        <w:tc>
          <w:tcPr>
            <w:tcW w:type="dxa" w:w="1440"/>
            <w:vAlign w:val="top"/>
          </w:tcPr>
          <w:p>
            <w:r>
              <w:rPr>
                <w:sz w:val="13"/>
              </w:rPr>
              <w:t>por publicação</w:t>
            </w:r>
          </w:p>
        </w:tc>
        <w:tc>
          <w:tcPr>
            <w:tcW w:type="dxa" w:w="936"/>
            <w:vAlign w:val="top"/>
          </w:tcPr>
          <w:p>
            <w:r>
              <w:rPr>
                <w:sz w:val="13"/>
              </w:rPr>
              <w:t>A</w:t>
            </w:r>
          </w:p>
        </w:tc>
      </w:tr>
      <w:tr>
        <w:trPr>
          <w:cantSplit/>
          <w:cantSplit/>
        </w:trPr>
        <w:tc>
          <w:tcPr>
            <w:tcW w:type="dxa" w:w="1800"/>
            <w:vAlign w:val="top"/>
          </w:tcPr>
          <w:p>
            <w:r>
              <w:rPr>
                <w:sz w:val="13"/>
              </w:rPr>
              <w:t>Quilombola/assentamentos</w:t>
            </w:r>
          </w:p>
        </w:tc>
        <w:tc>
          <w:tcPr>
            <w:tcW w:type="dxa" w:w="1944"/>
            <w:vAlign w:val="top"/>
          </w:tcPr>
          <w:p>
            <w:r>
              <w:rPr>
                <w:sz w:val="13"/>
              </w:rPr>
              <w:t>INCRA</w:t>
            </w:r>
          </w:p>
        </w:tc>
        <w:tc>
          <w:tcPr>
            <w:tcW w:type="dxa" w:w="3240"/>
            <w:vAlign w:val="top"/>
          </w:tcPr>
          <w:p>
            <w:r>
              <w:rPr>
                <w:sz w:val="13"/>
              </w:rPr>
              <w:t>territórios e assentamentos</w:t>
            </w:r>
          </w:p>
        </w:tc>
        <w:tc>
          <w:tcPr>
            <w:tcW w:type="dxa" w:w="1656"/>
            <w:vAlign w:val="top"/>
          </w:tcPr>
          <w:p>
            <w:r>
              <w:rPr>
                <w:sz w:val="13"/>
              </w:rPr>
              <w:t>downloads/serviços</w:t>
            </w:r>
          </w:p>
        </w:tc>
        <w:tc>
          <w:tcPr>
            <w:tcW w:type="dxa" w:w="1440"/>
            <w:vAlign w:val="top"/>
          </w:tcPr>
          <w:p>
            <w:r>
              <w:rPr>
                <w:sz w:val="13"/>
              </w:rPr>
              <w:t>por publicação</w:t>
            </w:r>
          </w:p>
        </w:tc>
        <w:tc>
          <w:tcPr>
            <w:tcW w:type="dxa" w:w="936"/>
            <w:vAlign w:val="top"/>
          </w:tcPr>
          <w:p>
            <w:r>
              <w:rPr>
                <w:sz w:val="13"/>
              </w:rPr>
              <w:t>A</w:t>
            </w:r>
          </w:p>
        </w:tc>
      </w:tr>
      <w:tr>
        <w:trPr>
          <w:cantSplit/>
          <w:cantSplit/>
        </w:trPr>
        <w:tc>
          <w:tcPr>
            <w:tcW w:type="dxa" w:w="1800"/>
            <w:vAlign w:val="top"/>
          </w:tcPr>
          <w:p>
            <w:r>
              <w:rPr>
                <w:sz w:val="13"/>
              </w:rPr>
              <w:t>Crédito rural</w:t>
            </w:r>
          </w:p>
        </w:tc>
        <w:tc>
          <w:tcPr>
            <w:tcW w:type="dxa" w:w="1944"/>
            <w:vAlign w:val="top"/>
          </w:tcPr>
          <w:p>
            <w:r>
              <w:rPr>
                <w:sz w:val="13"/>
              </w:rPr>
              <w:t>BCB/SICOR</w:t>
            </w:r>
          </w:p>
        </w:tc>
        <w:tc>
          <w:tcPr>
            <w:tcW w:type="dxa" w:w="3240"/>
            <w:vAlign w:val="top"/>
          </w:tcPr>
          <w:p>
            <w:r>
              <w:rPr>
                <w:sz w:val="13"/>
              </w:rPr>
              <w:t>operações e indicadores de crédito rural</w:t>
            </w:r>
          </w:p>
        </w:tc>
        <w:tc>
          <w:tcPr>
            <w:tcW w:type="dxa" w:w="1656"/>
            <w:vAlign w:val="top"/>
          </w:tcPr>
          <w:p>
            <w:r>
              <w:rPr>
                <w:sz w:val="13"/>
              </w:rPr>
              <w:t>microdados</w:t>
            </w:r>
          </w:p>
        </w:tc>
        <w:tc>
          <w:tcPr>
            <w:tcW w:type="dxa" w:w="1440"/>
            <w:vAlign w:val="top"/>
          </w:tcPr>
          <w:p>
            <w:r>
              <w:rPr>
                <w:sz w:val="13"/>
              </w:rPr>
              <w:t>mensal/anual</w:t>
            </w:r>
          </w:p>
        </w:tc>
        <w:tc>
          <w:tcPr>
            <w:tcW w:type="dxa" w:w="936"/>
            <w:vAlign w:val="top"/>
          </w:tcPr>
          <w:p>
            <w:r>
              <w:rPr>
                <w:sz w:val="13"/>
              </w:rPr>
              <w:t>A</w:t>
            </w:r>
          </w:p>
        </w:tc>
      </w:tr>
      <w:tr>
        <w:trPr>
          <w:cantSplit/>
          <w:cantSplit/>
        </w:trPr>
        <w:tc>
          <w:tcPr>
            <w:tcW w:type="dxa" w:w="1800"/>
            <w:vAlign w:val="top"/>
          </w:tcPr>
          <w:p>
            <w:r>
              <w:rPr>
                <w:sz w:val="13"/>
              </w:rPr>
              <w:t>Mineração</w:t>
            </w:r>
          </w:p>
        </w:tc>
        <w:tc>
          <w:tcPr>
            <w:tcW w:type="dxa" w:w="1944"/>
            <w:vAlign w:val="top"/>
          </w:tcPr>
          <w:p>
            <w:r>
              <w:rPr>
                <w:sz w:val="13"/>
              </w:rPr>
              <w:t>ANM/SIGMINE</w:t>
            </w:r>
          </w:p>
        </w:tc>
        <w:tc>
          <w:tcPr>
            <w:tcW w:type="dxa" w:w="3240"/>
            <w:vAlign w:val="top"/>
          </w:tcPr>
          <w:p>
            <w:r>
              <w:rPr>
                <w:sz w:val="13"/>
              </w:rPr>
              <w:t>processos minerários e fases</w:t>
            </w:r>
          </w:p>
        </w:tc>
        <w:tc>
          <w:tcPr>
            <w:tcW w:type="dxa" w:w="1656"/>
            <w:vAlign w:val="top"/>
          </w:tcPr>
          <w:p>
            <w:r>
              <w:rPr>
                <w:sz w:val="13"/>
              </w:rPr>
              <w:t>SHP/KMZ/WMS/REST</w:t>
            </w:r>
          </w:p>
        </w:tc>
        <w:tc>
          <w:tcPr>
            <w:tcW w:type="dxa" w:w="1440"/>
            <w:vAlign w:val="top"/>
          </w:tcPr>
          <w:p>
            <w:r>
              <w:rPr>
                <w:sz w:val="13"/>
              </w:rPr>
              <w:t>diária</w:t>
            </w:r>
          </w:p>
        </w:tc>
        <w:tc>
          <w:tcPr>
            <w:tcW w:type="dxa" w:w="936"/>
            <w:vAlign w:val="top"/>
          </w:tcPr>
          <w:p>
            <w:r>
              <w:rPr>
                <w:sz w:val="13"/>
              </w:rPr>
              <w:t>A</w:t>
            </w:r>
          </w:p>
        </w:tc>
      </w:tr>
      <w:tr>
        <w:trPr>
          <w:cantSplit/>
          <w:cantSplit/>
        </w:trPr>
        <w:tc>
          <w:tcPr>
            <w:tcW w:type="dxa" w:w="1800"/>
            <w:vAlign w:val="top"/>
          </w:tcPr>
          <w:p>
            <w:r>
              <w:rPr>
                <w:sz w:val="13"/>
              </w:rPr>
              <w:t>Risco/geologia</w:t>
            </w:r>
          </w:p>
        </w:tc>
        <w:tc>
          <w:tcPr>
            <w:tcW w:type="dxa" w:w="1944"/>
            <w:vAlign w:val="top"/>
          </w:tcPr>
          <w:p>
            <w:r>
              <w:rPr>
                <w:sz w:val="13"/>
              </w:rPr>
              <w:t>SGB</w:t>
            </w:r>
          </w:p>
        </w:tc>
        <w:tc>
          <w:tcPr>
            <w:tcW w:type="dxa" w:w="3240"/>
            <w:vAlign w:val="top"/>
          </w:tcPr>
          <w:p>
            <w:r>
              <w:rPr>
                <w:sz w:val="13"/>
              </w:rPr>
              <w:t>suscetibilidade, risco, geologia, cartas</w:t>
            </w:r>
          </w:p>
        </w:tc>
        <w:tc>
          <w:tcPr>
            <w:tcW w:type="dxa" w:w="1656"/>
            <w:vAlign w:val="top"/>
          </w:tcPr>
          <w:p>
            <w:r>
              <w:rPr>
                <w:sz w:val="13"/>
              </w:rPr>
              <w:t>SHP/raster/PDF</w:t>
            </w:r>
          </w:p>
        </w:tc>
        <w:tc>
          <w:tcPr>
            <w:tcW w:type="dxa" w:w="1440"/>
            <w:vAlign w:val="top"/>
          </w:tcPr>
          <w:p>
            <w:r>
              <w:rPr>
                <w:sz w:val="13"/>
              </w:rPr>
              <w:t>por produto</w:t>
            </w:r>
          </w:p>
        </w:tc>
        <w:tc>
          <w:tcPr>
            <w:tcW w:type="dxa" w:w="936"/>
            <w:vAlign w:val="top"/>
          </w:tcPr>
          <w:p>
            <w:r>
              <w:rPr>
                <w:sz w:val="13"/>
              </w:rPr>
              <w:t>A</w:t>
            </w:r>
          </w:p>
        </w:tc>
      </w:tr>
      <w:tr>
        <w:trPr>
          <w:cantSplit/>
          <w:cantSplit/>
        </w:trPr>
        <w:tc>
          <w:tcPr>
            <w:tcW w:type="dxa" w:w="1800"/>
            <w:vAlign w:val="top"/>
          </w:tcPr>
          <w:p>
            <w:r>
              <w:rPr>
                <w:sz w:val="13"/>
              </w:rPr>
              <w:t>Energia distribuição</w:t>
            </w:r>
          </w:p>
        </w:tc>
        <w:tc>
          <w:tcPr>
            <w:tcW w:type="dxa" w:w="1944"/>
            <w:vAlign w:val="top"/>
          </w:tcPr>
          <w:p>
            <w:r>
              <w:rPr>
                <w:sz w:val="13"/>
              </w:rPr>
              <w:t>ANEEL/BDGD</w:t>
            </w:r>
          </w:p>
        </w:tc>
        <w:tc>
          <w:tcPr>
            <w:tcW w:type="dxa" w:w="3240"/>
            <w:vAlign w:val="top"/>
          </w:tcPr>
          <w:p>
            <w:r>
              <w:rPr>
                <w:sz w:val="13"/>
              </w:rPr>
              <w:t>ativos de distribuição e concessões</w:t>
            </w:r>
          </w:p>
        </w:tc>
        <w:tc>
          <w:tcPr>
            <w:tcW w:type="dxa" w:w="1656"/>
            <w:vAlign w:val="top"/>
          </w:tcPr>
          <w:p>
            <w:r>
              <w:rPr>
                <w:sz w:val="13"/>
              </w:rPr>
              <w:t>geodatabase/CSV</w:t>
            </w:r>
          </w:p>
        </w:tc>
        <w:tc>
          <w:tcPr>
            <w:tcW w:type="dxa" w:w="1440"/>
            <w:vAlign w:val="top"/>
          </w:tcPr>
          <w:p>
            <w:r>
              <w:rPr>
                <w:sz w:val="13"/>
              </w:rPr>
              <w:t>anual</w:t>
            </w:r>
          </w:p>
        </w:tc>
        <w:tc>
          <w:tcPr>
            <w:tcW w:type="dxa" w:w="936"/>
            <w:vAlign w:val="top"/>
          </w:tcPr>
          <w:p>
            <w:r>
              <w:rPr>
                <w:sz w:val="13"/>
              </w:rPr>
              <w:t>A</w:t>
            </w:r>
          </w:p>
        </w:tc>
      </w:tr>
      <w:tr>
        <w:trPr>
          <w:cantSplit/>
          <w:cantSplit/>
        </w:trPr>
        <w:tc>
          <w:tcPr>
            <w:tcW w:type="dxa" w:w="1800"/>
            <w:vAlign w:val="top"/>
          </w:tcPr>
          <w:p>
            <w:r>
              <w:rPr>
                <w:sz w:val="13"/>
              </w:rPr>
              <w:t>MMGD/tarifas</w:t>
            </w:r>
          </w:p>
        </w:tc>
        <w:tc>
          <w:tcPr>
            <w:tcW w:type="dxa" w:w="1944"/>
            <w:vAlign w:val="top"/>
          </w:tcPr>
          <w:p>
            <w:r>
              <w:rPr>
                <w:sz w:val="13"/>
              </w:rPr>
              <w:t>ANEEL</w:t>
            </w:r>
          </w:p>
        </w:tc>
        <w:tc>
          <w:tcPr>
            <w:tcW w:type="dxa" w:w="3240"/>
            <w:vAlign w:val="top"/>
          </w:tcPr>
          <w:p>
            <w:r>
              <w:rPr>
                <w:sz w:val="13"/>
              </w:rPr>
              <w:t>geração distribuída, TE/TUSD e vigência</w:t>
            </w:r>
          </w:p>
        </w:tc>
        <w:tc>
          <w:tcPr>
            <w:tcW w:type="dxa" w:w="1656"/>
            <w:vAlign w:val="top"/>
          </w:tcPr>
          <w:p>
            <w:r>
              <w:rPr>
                <w:sz w:val="13"/>
              </w:rPr>
              <w:t>dados abertos/API</w:t>
            </w:r>
          </w:p>
        </w:tc>
        <w:tc>
          <w:tcPr>
            <w:tcW w:type="dxa" w:w="1440"/>
            <w:vAlign w:val="top"/>
          </w:tcPr>
          <w:p>
            <w:r>
              <w:rPr>
                <w:sz w:val="13"/>
              </w:rPr>
              <w:t>frequente/por homologação</w:t>
            </w:r>
          </w:p>
        </w:tc>
        <w:tc>
          <w:tcPr>
            <w:tcW w:type="dxa" w:w="936"/>
            <w:vAlign w:val="top"/>
          </w:tcPr>
          <w:p>
            <w:r>
              <w:rPr>
                <w:sz w:val="13"/>
              </w:rPr>
              <w:t>A</w:t>
            </w:r>
          </w:p>
        </w:tc>
      </w:tr>
      <w:tr>
        <w:trPr>
          <w:cantSplit/>
          <w:cantSplit/>
        </w:trPr>
        <w:tc>
          <w:tcPr>
            <w:tcW w:type="dxa" w:w="1800"/>
            <w:vAlign w:val="top"/>
          </w:tcPr>
          <w:p>
            <w:r>
              <w:rPr>
                <w:sz w:val="13"/>
              </w:rPr>
              <w:t>Transmissão</w:t>
            </w:r>
          </w:p>
        </w:tc>
        <w:tc>
          <w:tcPr>
            <w:tcW w:type="dxa" w:w="1944"/>
            <w:vAlign w:val="top"/>
          </w:tcPr>
          <w:p>
            <w:r>
              <w:rPr>
                <w:sz w:val="13"/>
              </w:rPr>
              <w:t>ONS/EPE quando aplicável</w:t>
            </w:r>
          </w:p>
        </w:tc>
        <w:tc>
          <w:tcPr>
            <w:tcW w:type="dxa" w:w="3240"/>
            <w:vAlign w:val="top"/>
          </w:tcPr>
          <w:p>
            <w:r>
              <w:rPr>
                <w:sz w:val="13"/>
              </w:rPr>
              <w:t>rede, planejamento e capacidade macro</w:t>
            </w:r>
          </w:p>
        </w:tc>
        <w:tc>
          <w:tcPr>
            <w:tcW w:type="dxa" w:w="1656"/>
            <w:vAlign w:val="top"/>
          </w:tcPr>
          <w:p>
            <w:r>
              <w:rPr>
                <w:sz w:val="13"/>
              </w:rPr>
              <w:t>dados públicos</w:t>
            </w:r>
          </w:p>
        </w:tc>
        <w:tc>
          <w:tcPr>
            <w:tcW w:type="dxa" w:w="1440"/>
            <w:vAlign w:val="top"/>
          </w:tcPr>
          <w:p>
            <w:r>
              <w:rPr>
                <w:sz w:val="13"/>
              </w:rPr>
              <w:t>por publicação</w:t>
            </w:r>
          </w:p>
        </w:tc>
        <w:tc>
          <w:tcPr>
            <w:tcW w:type="dxa" w:w="936"/>
            <w:vAlign w:val="top"/>
          </w:tcPr>
          <w:p>
            <w:r>
              <w:rPr>
                <w:sz w:val="13"/>
              </w:rPr>
              <w:t>A</w:t>
            </w:r>
          </w:p>
        </w:tc>
      </w:tr>
      <w:tr>
        <w:trPr>
          <w:cantSplit/>
          <w:cantSplit/>
        </w:trPr>
        <w:tc>
          <w:tcPr>
            <w:tcW w:type="dxa" w:w="1800"/>
            <w:vAlign w:val="top"/>
          </w:tcPr>
          <w:p>
            <w:r>
              <w:rPr>
                <w:sz w:val="13"/>
              </w:rPr>
              <w:t>Telecom</w:t>
            </w:r>
          </w:p>
        </w:tc>
        <w:tc>
          <w:tcPr>
            <w:tcW w:type="dxa" w:w="1944"/>
            <w:vAlign w:val="top"/>
          </w:tcPr>
          <w:p>
            <w:r>
              <w:rPr>
                <w:sz w:val="13"/>
              </w:rPr>
              <w:t>Anatel</w:t>
            </w:r>
          </w:p>
        </w:tc>
        <w:tc>
          <w:tcPr>
            <w:tcW w:type="dxa" w:w="3240"/>
            <w:vAlign w:val="top"/>
          </w:tcPr>
          <w:p>
            <w:r>
              <w:rPr>
                <w:sz w:val="13"/>
              </w:rPr>
              <w:t>cobertura, ERBs, backhaul e indicadores</w:t>
            </w:r>
          </w:p>
        </w:tc>
        <w:tc>
          <w:tcPr>
            <w:tcW w:type="dxa" w:w="1656"/>
            <w:vAlign w:val="top"/>
          </w:tcPr>
          <w:p>
            <w:r>
              <w:rPr>
                <w:sz w:val="13"/>
              </w:rPr>
              <w:t>dados abertos</w:t>
            </w:r>
          </w:p>
        </w:tc>
        <w:tc>
          <w:tcPr>
            <w:tcW w:type="dxa" w:w="1440"/>
            <w:vAlign w:val="top"/>
          </w:tcPr>
          <w:p>
            <w:r>
              <w:rPr>
                <w:sz w:val="13"/>
              </w:rPr>
              <w:t>periódica</w:t>
            </w:r>
          </w:p>
        </w:tc>
        <w:tc>
          <w:tcPr>
            <w:tcW w:type="dxa" w:w="936"/>
            <w:vAlign w:val="top"/>
          </w:tcPr>
          <w:p>
            <w:r>
              <w:rPr>
                <w:sz w:val="13"/>
              </w:rPr>
              <w:t>A</w:t>
            </w:r>
          </w:p>
        </w:tc>
      </w:tr>
      <w:tr>
        <w:trPr>
          <w:cantSplit/>
          <w:cantSplit/>
        </w:trPr>
        <w:tc>
          <w:tcPr>
            <w:tcW w:type="dxa" w:w="1800"/>
            <w:vAlign w:val="top"/>
          </w:tcPr>
          <w:p>
            <w:r>
              <w:rPr>
                <w:sz w:val="13"/>
              </w:rPr>
              <w:t>Petróleo/gás</w:t>
            </w:r>
          </w:p>
        </w:tc>
        <w:tc>
          <w:tcPr>
            <w:tcW w:type="dxa" w:w="1944"/>
            <w:vAlign w:val="top"/>
          </w:tcPr>
          <w:p>
            <w:r>
              <w:rPr>
                <w:sz w:val="13"/>
              </w:rPr>
              <w:t>ANP</w:t>
            </w:r>
          </w:p>
        </w:tc>
        <w:tc>
          <w:tcPr>
            <w:tcW w:type="dxa" w:w="3240"/>
            <w:vAlign w:val="top"/>
          </w:tcPr>
          <w:p>
            <w:r>
              <w:rPr>
                <w:sz w:val="13"/>
              </w:rPr>
              <w:t>dutos, terminais e instalações</w:t>
            </w:r>
          </w:p>
        </w:tc>
        <w:tc>
          <w:tcPr>
            <w:tcW w:type="dxa" w:w="1656"/>
            <w:vAlign w:val="top"/>
          </w:tcPr>
          <w:p>
            <w:r>
              <w:rPr>
                <w:sz w:val="13"/>
              </w:rPr>
              <w:t>dados/mapas/SHP</w:t>
            </w:r>
          </w:p>
        </w:tc>
        <w:tc>
          <w:tcPr>
            <w:tcW w:type="dxa" w:w="1440"/>
            <w:vAlign w:val="top"/>
          </w:tcPr>
          <w:p>
            <w:r>
              <w:rPr>
                <w:sz w:val="13"/>
              </w:rPr>
              <w:t>periódica</w:t>
            </w:r>
          </w:p>
        </w:tc>
        <w:tc>
          <w:tcPr>
            <w:tcW w:type="dxa" w:w="936"/>
            <w:vAlign w:val="top"/>
          </w:tcPr>
          <w:p>
            <w:r>
              <w:rPr>
                <w:sz w:val="13"/>
              </w:rPr>
              <w:t>A</w:t>
            </w:r>
          </w:p>
        </w:tc>
      </w:tr>
      <w:tr>
        <w:trPr>
          <w:cantSplit/>
          <w:cantSplit/>
        </w:trPr>
        <w:tc>
          <w:tcPr>
            <w:tcW w:type="dxa" w:w="1800"/>
            <w:vAlign w:val="top"/>
          </w:tcPr>
          <w:p>
            <w:r>
              <w:rPr>
                <w:sz w:val="13"/>
              </w:rPr>
              <w:t>Portos/hidrovias</w:t>
            </w:r>
          </w:p>
        </w:tc>
        <w:tc>
          <w:tcPr>
            <w:tcW w:type="dxa" w:w="1944"/>
            <w:vAlign w:val="top"/>
          </w:tcPr>
          <w:p>
            <w:r>
              <w:rPr>
                <w:sz w:val="13"/>
              </w:rPr>
              <w:t>ANTAQ</w:t>
            </w:r>
          </w:p>
        </w:tc>
        <w:tc>
          <w:tcPr>
            <w:tcW w:type="dxa" w:w="3240"/>
            <w:vAlign w:val="top"/>
          </w:tcPr>
          <w:p>
            <w:r>
              <w:rPr>
                <w:sz w:val="13"/>
              </w:rPr>
              <w:t>instalações e infraestrutura aquaviária</w:t>
            </w:r>
          </w:p>
        </w:tc>
        <w:tc>
          <w:tcPr>
            <w:tcW w:type="dxa" w:w="1656"/>
            <w:vAlign w:val="top"/>
          </w:tcPr>
          <w:p>
            <w:r>
              <w:rPr>
                <w:sz w:val="13"/>
              </w:rPr>
              <w:t>SHP/KML</w:t>
            </w:r>
          </w:p>
        </w:tc>
        <w:tc>
          <w:tcPr>
            <w:tcW w:type="dxa" w:w="1440"/>
            <w:vAlign w:val="top"/>
          </w:tcPr>
          <w:p>
            <w:r>
              <w:rPr>
                <w:sz w:val="13"/>
              </w:rPr>
              <w:t>periódica</w:t>
            </w:r>
          </w:p>
        </w:tc>
        <w:tc>
          <w:tcPr>
            <w:tcW w:type="dxa" w:w="936"/>
            <w:vAlign w:val="top"/>
          </w:tcPr>
          <w:p>
            <w:r>
              <w:rPr>
                <w:sz w:val="13"/>
              </w:rPr>
              <w:t>A</w:t>
            </w:r>
          </w:p>
        </w:tc>
      </w:tr>
      <w:tr>
        <w:trPr>
          <w:cantSplit/>
          <w:cantSplit/>
        </w:trPr>
        <w:tc>
          <w:tcPr>
            <w:tcW w:type="dxa" w:w="1800"/>
            <w:vAlign w:val="top"/>
          </w:tcPr>
          <w:p>
            <w:r>
              <w:rPr>
                <w:sz w:val="13"/>
              </w:rPr>
              <w:t>Aviação</w:t>
            </w:r>
          </w:p>
        </w:tc>
        <w:tc>
          <w:tcPr>
            <w:tcW w:type="dxa" w:w="1944"/>
            <w:vAlign w:val="top"/>
          </w:tcPr>
          <w:p>
            <w:r>
              <w:rPr>
                <w:sz w:val="13"/>
              </w:rPr>
              <w:t>ANAC/DECEA</w:t>
            </w:r>
          </w:p>
        </w:tc>
        <w:tc>
          <w:tcPr>
            <w:tcW w:type="dxa" w:w="3240"/>
            <w:vAlign w:val="top"/>
          </w:tcPr>
          <w:p>
            <w:r>
              <w:rPr>
                <w:sz w:val="13"/>
              </w:rPr>
              <w:t>aeródromos e condicionantes</w:t>
            </w:r>
          </w:p>
        </w:tc>
        <w:tc>
          <w:tcPr>
            <w:tcW w:type="dxa" w:w="1656"/>
            <w:vAlign w:val="top"/>
          </w:tcPr>
          <w:p>
            <w:r>
              <w:rPr>
                <w:sz w:val="13"/>
              </w:rPr>
              <w:t>dados/serviços</w:t>
            </w:r>
          </w:p>
        </w:tc>
        <w:tc>
          <w:tcPr>
            <w:tcW w:type="dxa" w:w="1440"/>
            <w:vAlign w:val="top"/>
          </w:tcPr>
          <w:p>
            <w:r>
              <w:rPr>
                <w:sz w:val="13"/>
              </w:rPr>
              <w:t>periódica</w:t>
            </w:r>
          </w:p>
        </w:tc>
        <w:tc>
          <w:tcPr>
            <w:tcW w:type="dxa" w:w="936"/>
            <w:vAlign w:val="top"/>
          </w:tcPr>
          <w:p>
            <w:r>
              <w:rPr>
                <w:sz w:val="13"/>
              </w:rPr>
              <w:t>A/C</w:t>
            </w:r>
          </w:p>
        </w:tc>
      </w:tr>
      <w:tr>
        <w:trPr>
          <w:cantSplit/>
          <w:cantSplit/>
        </w:trPr>
        <w:tc>
          <w:tcPr>
            <w:tcW w:type="dxa" w:w="1800"/>
            <w:vAlign w:val="top"/>
          </w:tcPr>
          <w:p>
            <w:r>
              <w:rPr>
                <w:sz w:val="13"/>
              </w:rPr>
              <w:t>Patrimônio</w:t>
            </w:r>
          </w:p>
        </w:tc>
        <w:tc>
          <w:tcPr>
            <w:tcW w:type="dxa" w:w="1944"/>
            <w:vAlign w:val="top"/>
          </w:tcPr>
          <w:p>
            <w:r>
              <w:rPr>
                <w:sz w:val="13"/>
              </w:rPr>
              <w:t>IPHAN + estados/municípios</w:t>
            </w:r>
          </w:p>
        </w:tc>
        <w:tc>
          <w:tcPr>
            <w:tcW w:type="dxa" w:w="3240"/>
            <w:vAlign w:val="top"/>
          </w:tcPr>
          <w:p>
            <w:r>
              <w:rPr>
                <w:sz w:val="13"/>
              </w:rPr>
              <w:t>bens protegidos, arqueologia e entornos</w:t>
            </w:r>
          </w:p>
        </w:tc>
        <w:tc>
          <w:tcPr>
            <w:tcW w:type="dxa" w:w="1656"/>
            <w:vAlign w:val="top"/>
          </w:tcPr>
          <w:p>
            <w:r>
              <w:rPr>
                <w:sz w:val="13"/>
              </w:rPr>
              <w:t>listas/GIS/processos</w:t>
            </w:r>
          </w:p>
        </w:tc>
        <w:tc>
          <w:tcPr>
            <w:tcW w:type="dxa" w:w="1440"/>
            <w:vAlign w:val="top"/>
          </w:tcPr>
          <w:p>
            <w:r>
              <w:rPr>
                <w:sz w:val="13"/>
              </w:rPr>
              <w:t>por publicação</w:t>
            </w:r>
          </w:p>
        </w:tc>
        <w:tc>
          <w:tcPr>
            <w:tcW w:type="dxa" w:w="936"/>
            <w:vAlign w:val="top"/>
          </w:tcPr>
          <w:p>
            <w:r>
              <w:rPr>
                <w:sz w:val="13"/>
              </w:rPr>
              <w:t>A/B</w:t>
            </w:r>
          </w:p>
        </w:tc>
      </w:tr>
      <w:tr>
        <w:trPr>
          <w:cantSplit/>
          <w:cantSplit/>
        </w:trPr>
        <w:tc>
          <w:tcPr>
            <w:tcW w:type="dxa" w:w="1800"/>
            <w:vAlign w:val="top"/>
          </w:tcPr>
          <w:p>
            <w:r>
              <w:rPr>
                <w:sz w:val="13"/>
              </w:rPr>
              <w:t>Educação</w:t>
            </w:r>
          </w:p>
        </w:tc>
        <w:tc>
          <w:tcPr>
            <w:tcW w:type="dxa" w:w="1944"/>
            <w:vAlign w:val="top"/>
          </w:tcPr>
          <w:p>
            <w:r>
              <w:rPr>
                <w:sz w:val="13"/>
              </w:rPr>
              <w:t>INEP</w:t>
            </w:r>
          </w:p>
        </w:tc>
        <w:tc>
          <w:tcPr>
            <w:tcW w:type="dxa" w:w="3240"/>
            <w:vAlign w:val="top"/>
          </w:tcPr>
          <w:p>
            <w:r>
              <w:rPr>
                <w:sz w:val="13"/>
              </w:rPr>
              <w:t>escolas e Censo Escolar</w:t>
            </w:r>
          </w:p>
        </w:tc>
        <w:tc>
          <w:tcPr>
            <w:tcW w:type="dxa" w:w="1656"/>
            <w:vAlign w:val="top"/>
          </w:tcPr>
          <w:p>
            <w:r>
              <w:rPr>
                <w:sz w:val="13"/>
              </w:rPr>
              <w:t>microdados/API</w:t>
            </w:r>
          </w:p>
        </w:tc>
        <w:tc>
          <w:tcPr>
            <w:tcW w:type="dxa" w:w="1440"/>
            <w:vAlign w:val="top"/>
          </w:tcPr>
          <w:p>
            <w:r>
              <w:rPr>
                <w:sz w:val="13"/>
              </w:rPr>
              <w:t>anual</w:t>
            </w:r>
          </w:p>
        </w:tc>
        <w:tc>
          <w:tcPr>
            <w:tcW w:type="dxa" w:w="936"/>
            <w:vAlign w:val="top"/>
          </w:tcPr>
          <w:p>
            <w:r>
              <w:rPr>
                <w:sz w:val="13"/>
              </w:rPr>
              <w:t>A</w:t>
            </w:r>
          </w:p>
        </w:tc>
      </w:tr>
      <w:tr>
        <w:trPr>
          <w:cantSplit/>
          <w:cantSplit/>
        </w:trPr>
        <w:tc>
          <w:tcPr>
            <w:tcW w:type="dxa" w:w="1800"/>
            <w:vAlign w:val="top"/>
          </w:tcPr>
          <w:p>
            <w:r>
              <w:rPr>
                <w:sz w:val="13"/>
              </w:rPr>
              <w:t>Saúde</w:t>
            </w:r>
          </w:p>
        </w:tc>
        <w:tc>
          <w:tcPr>
            <w:tcW w:type="dxa" w:w="1944"/>
            <w:vAlign w:val="top"/>
          </w:tcPr>
          <w:p>
            <w:r>
              <w:rPr>
                <w:sz w:val="13"/>
              </w:rPr>
              <w:t>CNES/DATASUS</w:t>
            </w:r>
          </w:p>
        </w:tc>
        <w:tc>
          <w:tcPr>
            <w:tcW w:type="dxa" w:w="3240"/>
            <w:vAlign w:val="top"/>
          </w:tcPr>
          <w:p>
            <w:r>
              <w:rPr>
                <w:sz w:val="13"/>
              </w:rPr>
              <w:t>estabelecimentos</w:t>
            </w:r>
          </w:p>
        </w:tc>
        <w:tc>
          <w:tcPr>
            <w:tcW w:type="dxa" w:w="1656"/>
            <w:vAlign w:val="top"/>
          </w:tcPr>
          <w:p>
            <w:r>
              <w:rPr>
                <w:sz w:val="13"/>
              </w:rPr>
              <w:t>API/arquivos</w:t>
            </w:r>
          </w:p>
        </w:tc>
        <w:tc>
          <w:tcPr>
            <w:tcW w:type="dxa" w:w="1440"/>
            <w:vAlign w:val="top"/>
          </w:tcPr>
          <w:p>
            <w:r>
              <w:rPr>
                <w:sz w:val="13"/>
              </w:rPr>
              <w:t>frequente</w:t>
            </w:r>
          </w:p>
        </w:tc>
        <w:tc>
          <w:tcPr>
            <w:tcW w:type="dxa" w:w="936"/>
            <w:vAlign w:val="top"/>
          </w:tcPr>
          <w:p>
            <w:r>
              <w:rPr>
                <w:sz w:val="13"/>
              </w:rPr>
              <w:t>A</w:t>
            </w:r>
          </w:p>
        </w:tc>
      </w:tr>
      <w:tr>
        <w:trPr>
          <w:cantSplit/>
          <w:cantSplit/>
        </w:trPr>
        <w:tc>
          <w:tcPr>
            <w:tcW w:type="dxa" w:w="1800"/>
            <w:vAlign w:val="top"/>
          </w:tcPr>
          <w:p>
            <w:r>
              <w:rPr>
                <w:sz w:val="13"/>
              </w:rPr>
              <w:t>Saneamento</w:t>
            </w:r>
          </w:p>
        </w:tc>
        <w:tc>
          <w:tcPr>
            <w:tcW w:type="dxa" w:w="1944"/>
            <w:vAlign w:val="top"/>
          </w:tcPr>
          <w:p>
            <w:r>
              <w:rPr>
                <w:sz w:val="13"/>
              </w:rPr>
              <w:t>SINISA/municípios/concessionárias</w:t>
            </w:r>
          </w:p>
        </w:tc>
        <w:tc>
          <w:tcPr>
            <w:tcW w:type="dxa" w:w="3240"/>
            <w:vAlign w:val="top"/>
          </w:tcPr>
          <w:p>
            <w:r>
              <w:rPr>
                <w:sz w:val="13"/>
              </w:rPr>
              <w:t>indicadores e redes quando abertas/licenciadas</w:t>
            </w:r>
          </w:p>
        </w:tc>
        <w:tc>
          <w:tcPr>
            <w:tcW w:type="dxa" w:w="1656"/>
            <w:vAlign w:val="top"/>
          </w:tcPr>
          <w:p>
            <w:r>
              <w:rPr>
                <w:sz w:val="13"/>
              </w:rPr>
              <w:t>dados abertos/GIS</w:t>
            </w:r>
          </w:p>
        </w:tc>
        <w:tc>
          <w:tcPr>
            <w:tcW w:type="dxa" w:w="1440"/>
            <w:vAlign w:val="top"/>
          </w:tcPr>
          <w:p>
            <w:r>
              <w:rPr>
                <w:sz w:val="13"/>
              </w:rPr>
              <w:t>variável</w:t>
            </w:r>
          </w:p>
        </w:tc>
        <w:tc>
          <w:tcPr>
            <w:tcW w:type="dxa" w:w="936"/>
            <w:vAlign w:val="top"/>
          </w:tcPr>
          <w:p>
            <w:r>
              <w:rPr>
                <w:sz w:val="13"/>
              </w:rPr>
              <w:t>A/B/D</w:t>
            </w:r>
          </w:p>
        </w:tc>
      </w:tr>
      <w:tr>
        <w:trPr>
          <w:cantSplit/>
          <w:cantSplit/>
        </w:trPr>
        <w:tc>
          <w:tcPr>
            <w:tcW w:type="dxa" w:w="1800"/>
            <w:vAlign w:val="top"/>
          </w:tcPr>
          <w:p>
            <w:r>
              <w:rPr>
                <w:sz w:val="13"/>
              </w:rPr>
              <w:t>Mercado imobiliário</w:t>
            </w:r>
          </w:p>
        </w:tc>
        <w:tc>
          <w:tcPr>
            <w:tcW w:type="dxa" w:w="1944"/>
            <w:vAlign w:val="top"/>
          </w:tcPr>
          <w:p>
            <w:r>
              <w:rPr>
                <w:sz w:val="13"/>
              </w:rPr>
              <w:t>ITBI aberto + parceiros licenciados + CRM cliente</w:t>
            </w:r>
          </w:p>
        </w:tc>
        <w:tc>
          <w:tcPr>
            <w:tcW w:type="dxa" w:w="3240"/>
            <w:vAlign w:val="top"/>
          </w:tcPr>
          <w:p>
            <w:r>
              <w:rPr>
                <w:sz w:val="13"/>
              </w:rPr>
              <w:t>transações públicas, listings, lançamentos, absorção e comparáveis</w:t>
            </w:r>
          </w:p>
        </w:tc>
        <w:tc>
          <w:tcPr>
            <w:tcW w:type="dxa" w:w="1656"/>
            <w:vAlign w:val="top"/>
          </w:tcPr>
          <w:p>
            <w:r>
              <w:rPr>
                <w:sz w:val="13"/>
              </w:rPr>
              <w:t>API/feeds/ETL</w:t>
            </w:r>
          </w:p>
        </w:tc>
        <w:tc>
          <w:tcPr>
            <w:tcW w:type="dxa" w:w="1440"/>
            <w:vAlign w:val="top"/>
          </w:tcPr>
          <w:p>
            <w:r>
              <w:rPr>
                <w:sz w:val="13"/>
              </w:rPr>
              <w:t>diário/semanal</w:t>
            </w:r>
          </w:p>
        </w:tc>
        <w:tc>
          <w:tcPr>
            <w:tcW w:type="dxa" w:w="936"/>
            <w:vAlign w:val="top"/>
          </w:tcPr>
          <w:p>
            <w:r>
              <w:rPr>
                <w:sz w:val="13"/>
              </w:rPr>
              <w:t>B/D/F</w:t>
            </w:r>
          </w:p>
        </w:tc>
      </w:tr>
      <w:tr>
        <w:trPr>
          <w:cantSplit/>
          <w:cantSplit/>
        </w:trPr>
        <w:tc>
          <w:tcPr>
            <w:tcW w:type="dxa" w:w="1800"/>
            <w:vAlign w:val="top"/>
          </w:tcPr>
          <w:p>
            <w:r>
              <w:rPr>
                <w:sz w:val="13"/>
              </w:rPr>
              <w:t>Mapa-base</w:t>
            </w:r>
          </w:p>
        </w:tc>
        <w:tc>
          <w:tcPr>
            <w:tcW w:type="dxa" w:w="1944"/>
            <w:vAlign w:val="top"/>
          </w:tcPr>
          <w:p>
            <w:r>
              <w:rPr>
                <w:sz w:val="13"/>
              </w:rPr>
              <w:t>OpenStreetMap + tiles próprios/licenciados</w:t>
            </w:r>
          </w:p>
        </w:tc>
        <w:tc>
          <w:tcPr>
            <w:tcW w:type="dxa" w:w="3240"/>
            <w:vAlign w:val="top"/>
          </w:tcPr>
          <w:p>
            <w:r>
              <w:rPr>
                <w:sz w:val="13"/>
              </w:rPr>
              <w:t>ruas e contexto cartográfico</w:t>
            </w:r>
          </w:p>
        </w:tc>
        <w:tc>
          <w:tcPr>
            <w:tcW w:type="dxa" w:w="1656"/>
            <w:vAlign w:val="top"/>
          </w:tcPr>
          <w:p>
            <w:r>
              <w:rPr>
                <w:sz w:val="13"/>
              </w:rPr>
              <w:t>tiles/vector</w:t>
            </w:r>
          </w:p>
        </w:tc>
        <w:tc>
          <w:tcPr>
            <w:tcW w:type="dxa" w:w="1440"/>
            <w:vAlign w:val="top"/>
          </w:tcPr>
          <w:p>
            <w:r>
              <w:rPr>
                <w:sz w:val="13"/>
              </w:rPr>
              <w:t>contínua</w:t>
            </w:r>
          </w:p>
        </w:tc>
        <w:tc>
          <w:tcPr>
            <w:tcW w:type="dxa" w:w="936"/>
            <w:vAlign w:val="top"/>
          </w:tcPr>
          <w:p>
            <w:r>
              <w:rPr>
                <w:sz w:val="13"/>
              </w:rPr>
              <w:t>A/D</w:t>
            </w:r>
          </w:p>
        </w:tc>
      </w:tr>
      <w:tr>
        <w:trPr>
          <w:cantSplit/>
          <w:cantSplit/>
        </w:trPr>
        <w:tc>
          <w:tcPr>
            <w:tcW w:type="dxa" w:w="1800"/>
            <w:vAlign w:val="top"/>
          </w:tcPr>
          <w:p>
            <w:r>
              <w:rPr>
                <w:sz w:val="13"/>
              </w:rPr>
              <w:t>Satélite/3D</w:t>
            </w:r>
          </w:p>
        </w:tc>
        <w:tc>
          <w:tcPr>
            <w:tcW w:type="dxa" w:w="1944"/>
            <w:vAlign w:val="top"/>
          </w:tcPr>
          <w:p>
            <w:r>
              <w:rPr>
                <w:sz w:val="13"/>
              </w:rPr>
              <w:t>Google Solar/3D opcional + provedores licenciados + fontes abertas</w:t>
            </w:r>
          </w:p>
        </w:tc>
        <w:tc>
          <w:tcPr>
            <w:tcW w:type="dxa" w:w="3240"/>
            <w:vAlign w:val="top"/>
          </w:tcPr>
          <w:p>
            <w:r>
              <w:rPr>
                <w:sz w:val="13"/>
              </w:rPr>
              <w:t>edifícios, DSM/solar, contexto 3D e imagens</w:t>
            </w:r>
          </w:p>
        </w:tc>
        <w:tc>
          <w:tcPr>
            <w:tcW w:type="dxa" w:w="1656"/>
            <w:vAlign w:val="top"/>
          </w:tcPr>
          <w:p>
            <w:r>
              <w:rPr>
                <w:sz w:val="13"/>
              </w:rPr>
              <w:t>API/tiles</w:t>
            </w:r>
          </w:p>
        </w:tc>
        <w:tc>
          <w:tcPr>
            <w:tcW w:type="dxa" w:w="1440"/>
            <w:vAlign w:val="top"/>
          </w:tcPr>
          <w:p>
            <w:r>
              <w:rPr>
                <w:sz w:val="13"/>
              </w:rPr>
              <w:t>conforme provider</w:t>
            </w:r>
          </w:p>
        </w:tc>
        <w:tc>
          <w:tcPr>
            <w:tcW w:type="dxa" w:w="936"/>
            <w:vAlign w:val="top"/>
          </w:tcPr>
          <w:p>
            <w:r>
              <w:rPr>
                <w:sz w:val="13"/>
              </w:rPr>
              <w:t>D/A</w:t>
            </w:r>
          </w:p>
        </w:tc>
      </w:tr>
      <w:tr>
        <w:trPr>
          <w:cantSplit/>
          <w:cantSplit/>
        </w:trPr>
        <w:tc>
          <w:tcPr>
            <w:tcW w:type="dxa" w:w="1800"/>
            <w:vAlign w:val="top"/>
          </w:tcPr>
          <w:p>
            <w:r>
              <w:rPr>
                <w:sz w:val="13"/>
              </w:rPr>
              <w:t>Condomínio</w:t>
            </w:r>
          </w:p>
        </w:tc>
        <w:tc>
          <w:tcPr>
            <w:tcW w:type="dxa" w:w="1944"/>
            <w:vAlign w:val="top"/>
          </w:tcPr>
          <w:p>
            <w:r>
              <w:rPr>
                <w:sz w:val="13"/>
              </w:rPr>
              <w:t>Usuário/administradora/síndico</w:t>
            </w:r>
          </w:p>
        </w:tc>
        <w:tc>
          <w:tcPr>
            <w:tcW w:type="dxa" w:w="3240"/>
            <w:vAlign w:val="top"/>
          </w:tcPr>
          <w:p>
            <w:r>
              <w:rPr>
                <w:sz w:val="13"/>
              </w:rPr>
              <w:t>convenção, regimento, atas, laudos, plantas</w:t>
            </w:r>
          </w:p>
        </w:tc>
        <w:tc>
          <w:tcPr>
            <w:tcW w:type="dxa" w:w="1656"/>
            <w:vAlign w:val="top"/>
          </w:tcPr>
          <w:p>
            <w:r>
              <w:rPr>
                <w:sz w:val="13"/>
              </w:rPr>
              <w:t>upload</w:t>
            </w:r>
          </w:p>
        </w:tc>
        <w:tc>
          <w:tcPr>
            <w:tcW w:type="dxa" w:w="1440"/>
            <w:vAlign w:val="top"/>
          </w:tcPr>
          <w:p>
            <w:r>
              <w:rPr>
                <w:sz w:val="13"/>
              </w:rPr>
              <w:t>evento</w:t>
            </w:r>
          </w:p>
        </w:tc>
        <w:tc>
          <w:tcPr>
            <w:tcW w:type="dxa" w:w="936"/>
            <w:vAlign w:val="top"/>
          </w:tcPr>
          <w:p>
            <w:r>
              <w:rPr>
                <w:sz w:val="13"/>
              </w:rPr>
              <w:t>F</w:t>
            </w:r>
          </w:p>
        </w:tc>
      </w:tr>
      <w:tr>
        <w:trPr>
          <w:cantSplit/>
          <w:cantSplit/>
        </w:trPr>
        <w:tc>
          <w:tcPr>
            <w:tcW w:type="dxa" w:w="1800"/>
            <w:vAlign w:val="top"/>
          </w:tcPr>
          <w:p>
            <w:r>
              <w:rPr>
                <w:sz w:val="13"/>
              </w:rPr>
              <w:t>Projeto</w:t>
            </w:r>
          </w:p>
        </w:tc>
        <w:tc>
          <w:tcPr>
            <w:tcW w:type="dxa" w:w="1944"/>
            <w:vAlign w:val="top"/>
          </w:tcPr>
          <w:p>
            <w:r>
              <w:rPr>
                <w:sz w:val="13"/>
              </w:rPr>
              <w:t>Usuário/escritório</w:t>
            </w:r>
          </w:p>
        </w:tc>
        <w:tc>
          <w:tcPr>
            <w:tcW w:type="dxa" w:w="3240"/>
            <w:vAlign w:val="top"/>
          </w:tcPr>
          <w:p>
            <w:r>
              <w:rPr>
                <w:sz w:val="13"/>
              </w:rPr>
              <w:t>KMZ/KML/DXF/DWG/IFC, topografia, sondagem, Design DNA</w:t>
            </w:r>
          </w:p>
        </w:tc>
        <w:tc>
          <w:tcPr>
            <w:tcW w:type="dxa" w:w="1656"/>
            <w:vAlign w:val="top"/>
          </w:tcPr>
          <w:p>
            <w:r>
              <w:rPr>
                <w:sz w:val="13"/>
              </w:rPr>
              <w:t>upload/integrador</w:t>
            </w:r>
          </w:p>
        </w:tc>
        <w:tc>
          <w:tcPr>
            <w:tcW w:type="dxa" w:w="1440"/>
            <w:vAlign w:val="top"/>
          </w:tcPr>
          <w:p>
            <w:r>
              <w:rPr>
                <w:sz w:val="13"/>
              </w:rPr>
              <w:t>evento</w:t>
            </w:r>
          </w:p>
        </w:tc>
        <w:tc>
          <w:tcPr>
            <w:tcW w:type="dxa" w:w="936"/>
            <w:vAlign w:val="top"/>
          </w:tcPr>
          <w:p>
            <w:r>
              <w:rPr>
                <w:sz w:val="13"/>
              </w:rPr>
              <w:t>F</w:t>
            </w:r>
          </w:p>
        </w:tc>
      </w:tr>
    </w:tbl>
    <w:p/>
    <w:p>
      <w:r>
        <w:rPr>
          <w:b w:val="0"/>
        </w:rPr>
        <w:t>Classes: A aberto nacional; B aberto variável; C autenticado/institucional; D licenciado; F fornecido pelo usuário. A classe E é reservada aos derivados calculados internamente.</w:t>
      </w:r>
    </w:p>
    <w:p>
      <w:pPr>
        <w:pStyle w:val="Heading2"/>
      </w:pPr>
      <w:r>
        <w:t>32.16 Prioridade e fallback de fontes</w:t>
      </w:r>
    </w:p>
    <w:p>
      <w:r>
        <w:rPr>
          <w:b w:val="0"/>
        </w:rPr>
        <w:t>1. Fonte primária homologada pelo órgão competente na data-base.</w:t>
      </w:r>
    </w:p>
    <w:p>
      <w:r>
        <w:rPr>
          <w:b w:val="0"/>
        </w:rPr>
        <w:t>2. Fonte oficial externa com versionamento e metadata suficiente.</w:t>
      </w:r>
    </w:p>
    <w:p>
      <w:r>
        <w:rPr>
          <w:b w:val="0"/>
        </w:rPr>
        <w:t>3. Fonte municipal/estadual pública descoberta e validada.</w:t>
      </w:r>
    </w:p>
    <w:p>
      <w:r>
        <w:rPr>
          <w:b w:val="0"/>
        </w:rPr>
        <w:t>4. Fonte licenciada quando o dado não é aberto e o contrato permite o uso.</w:t>
      </w:r>
    </w:p>
    <w:p>
      <w:r>
        <w:rPr>
          <w:b w:val="0"/>
        </w:rPr>
        <w:t>5. Documento do usuário identificado explicitamente como fornecido pelo cliente.</w:t>
      </w:r>
    </w:p>
    <w:p>
      <w:r>
        <w:rPr>
          <w:b w:val="0"/>
        </w:rPr>
        <w:t>6. Derivado calculado pelo sistema, sempre apontando para todas as entradas.</w:t>
      </w:r>
    </w:p>
    <w:p>
      <w:r>
        <w:rPr>
          <w:b w:val="0"/>
        </w:rPr>
        <w:t>7. Inferência somente quando autorizada pelo produto, rotulada como INFERIDO e nunca substituindo confirmação oficial.</w:t>
      </w:r>
    </w:p>
    <w:p>
      <w:pPr>
        <w:pStyle w:val="Heading2"/>
      </w:pPr>
      <w:r>
        <w:t>32.17 Bancos físicos e responsabilidades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2304"/>
            <w:vAlign w:val="center"/>
          </w:tcPr>
          <w:p>
            <w:r>
              <w:rPr>
                <w:b/>
                <w:sz w:val="15"/>
              </w:rPr>
              <w:t>Store</w:t>
            </w:r>
          </w:p>
        </w:tc>
        <w:tc>
          <w:tcPr>
            <w:tcW w:type="dxa" w:w="4608"/>
            <w:vAlign w:val="center"/>
          </w:tcPr>
          <w:p>
            <w:r>
              <w:rPr>
                <w:b/>
                <w:sz w:val="15"/>
              </w:rPr>
              <w:t>Conteúdo</w:t>
            </w:r>
          </w:p>
        </w:tc>
        <w:tc>
          <w:tcPr>
            <w:tcW w:type="dxa" w:w="4032"/>
            <w:vAlign w:val="center"/>
          </w:tcPr>
          <w:p>
            <w:r>
              <w:rPr>
                <w:b/>
                <w:sz w:val="15"/>
              </w:rPr>
              <w:t>Regra</w:t>
            </w:r>
          </w:p>
        </w:tc>
      </w:tr>
      <w:tr>
        <w:trPr>
          <w:cantSplit/>
          <w:cantSplit/>
        </w:trPr>
        <w:tc>
          <w:tcPr>
            <w:tcW w:type="dxa" w:w="2304"/>
            <w:vAlign w:val="top"/>
          </w:tcPr>
          <w:p>
            <w:r>
              <w:rPr>
                <w:sz w:val="15"/>
              </w:rPr>
              <w:t>platform PostgreSQL/PostGIS</w:t>
            </w:r>
          </w:p>
        </w:tc>
        <w:tc>
          <w:tcPr>
            <w:tcW w:type="dxa" w:w="4608"/>
            <w:vAlign w:val="top"/>
          </w:tcPr>
          <w:p>
            <w:r>
              <w:rPr>
                <w:sz w:val="15"/>
              </w:rPr>
              <w:t>core, geo, legal, planning, cadastre, registry, rural, infra, market, property360, condo, solar, aitec, analysis, evidence</w:t>
            </w:r>
          </w:p>
        </w:tc>
        <w:tc>
          <w:tcPr>
            <w:tcW w:type="dxa" w:w="4032"/>
            <w:vAlign w:val="top"/>
          </w:tcPr>
          <w:p>
            <w:r>
              <w:rPr>
                <w:sz w:val="15"/>
              </w:rPr>
              <w:t>Data Plane. RLS para dados privados; datasets públicos globais e versionados.</w:t>
            </w:r>
          </w:p>
        </w:tc>
      </w:tr>
      <w:tr>
        <w:trPr>
          <w:cantSplit/>
          <w:cantSplit/>
        </w:trPr>
        <w:tc>
          <w:tcPr>
            <w:tcW w:type="dxa" w:w="2304"/>
            <w:vAlign w:val="top"/>
          </w:tcPr>
          <w:p>
            <w:r>
              <w:rPr>
                <w:sz w:val="15"/>
              </w:rPr>
              <w:t>control PostgreSQL</w:t>
            </w:r>
          </w:p>
        </w:tc>
        <w:tc>
          <w:tcPr>
            <w:tcW w:type="dxa" w:w="4608"/>
            <w:vAlign w:val="top"/>
          </w:tcPr>
          <w:p>
            <w:r>
              <w:rPr>
                <w:sz w:val="15"/>
              </w:rPr>
              <w:t>admin, catalog, billing, fiscal, cms, support, ops, release</w:t>
            </w:r>
          </w:p>
        </w:tc>
        <w:tc>
          <w:tcPr>
            <w:tcW w:type="dxa" w:w="4032"/>
            <w:vAlign w:val="top"/>
          </w:tcPr>
          <w:p>
            <w:r>
              <w:rPr>
                <w:sz w:val="15"/>
              </w:rPr>
              <w:t>Control Plane separado; não acessar documentos privados sem workflow específico.</w:t>
            </w:r>
          </w:p>
        </w:tc>
      </w:tr>
      <w:tr>
        <w:trPr>
          <w:cantSplit/>
          <w:cantSplit/>
        </w:trPr>
        <w:tc>
          <w:tcPr>
            <w:tcW w:type="dxa" w:w="2304"/>
            <w:vAlign w:val="top"/>
          </w:tcPr>
          <w:p>
            <w:r>
              <w:rPr>
                <w:sz w:val="15"/>
              </w:rPr>
              <w:t>OpenSearch</w:t>
            </w:r>
          </w:p>
        </w:tc>
        <w:tc>
          <w:tcPr>
            <w:tcW w:type="dxa" w:w="4608"/>
            <w:vAlign w:val="top"/>
          </w:tcPr>
          <w:p>
            <w:r>
              <w:rPr>
                <w:sz w:val="15"/>
              </w:rPr>
              <w:t>índices jurídicos/documentais e busca híbrida</w:t>
            </w:r>
          </w:p>
        </w:tc>
        <w:tc>
          <w:tcPr>
            <w:tcW w:type="dxa" w:w="4032"/>
            <w:vAlign w:val="top"/>
          </w:tcPr>
          <w:p>
            <w:r>
              <w:rPr>
                <w:sz w:val="15"/>
              </w:rPr>
              <w:t>Derivado/reconstruível; ACL e tenant filters antes do retrieval.</w:t>
            </w:r>
          </w:p>
        </w:tc>
      </w:tr>
      <w:tr>
        <w:trPr>
          <w:cantSplit/>
          <w:cantSplit/>
        </w:trPr>
        <w:tc>
          <w:tcPr>
            <w:tcW w:type="dxa" w:w="2304"/>
            <w:vAlign w:val="top"/>
          </w:tcPr>
          <w:p>
            <w:r>
              <w:rPr>
                <w:sz w:val="15"/>
              </w:rPr>
              <w:t>S3/MinIO</w:t>
            </w:r>
          </w:p>
        </w:tc>
        <w:tc>
          <w:tcPr>
            <w:tcW w:type="dxa" w:w="4608"/>
            <w:vAlign w:val="top"/>
          </w:tcPr>
          <w:p>
            <w:r>
              <w:rPr>
                <w:sz w:val="15"/>
              </w:rPr>
              <w:t>originais, snapshots, CAD/BIM, raster, relatórios</w:t>
            </w:r>
          </w:p>
        </w:tc>
        <w:tc>
          <w:tcPr>
            <w:tcW w:type="dxa" w:w="4032"/>
            <w:vAlign w:val="top"/>
          </w:tcPr>
          <w:p>
            <w:r>
              <w:rPr>
                <w:sz w:val="15"/>
              </w:rPr>
              <w:t>Object keys por domínio/tenant; versioning e lifecycle.</w:t>
            </w:r>
          </w:p>
        </w:tc>
      </w:tr>
      <w:tr>
        <w:trPr>
          <w:cantSplit/>
          <w:cantSplit/>
        </w:trPr>
        <w:tc>
          <w:tcPr>
            <w:tcW w:type="dxa" w:w="2304"/>
            <w:vAlign w:val="top"/>
          </w:tcPr>
          <w:p>
            <w:r>
              <w:rPr>
                <w:sz w:val="15"/>
              </w:rPr>
              <w:t>Valkey</w:t>
            </w:r>
          </w:p>
        </w:tc>
        <w:tc>
          <w:tcPr>
            <w:tcW w:type="dxa" w:w="4608"/>
            <w:vAlign w:val="top"/>
          </w:tcPr>
          <w:p>
            <w:r>
              <w:rPr>
                <w:sz w:val="15"/>
              </w:rPr>
              <w:t>cache, locks, rate counters, ephemeral session state</w:t>
            </w:r>
          </w:p>
        </w:tc>
        <w:tc>
          <w:tcPr>
            <w:tcW w:type="dxa" w:w="4032"/>
            <w:vAlign w:val="top"/>
          </w:tcPr>
          <w:p>
            <w:r>
              <w:rPr>
                <w:sz w:val="15"/>
              </w:rPr>
              <w:t>Nunca fonte de verdade.</w:t>
            </w:r>
          </w:p>
        </w:tc>
      </w:tr>
      <w:tr>
        <w:trPr>
          <w:cantSplit/>
          <w:cantSplit/>
        </w:trPr>
        <w:tc>
          <w:tcPr>
            <w:tcW w:type="dxa" w:w="2304"/>
            <w:vAlign w:val="top"/>
          </w:tcPr>
          <w:p>
            <w:r>
              <w:rPr>
                <w:sz w:val="15"/>
              </w:rPr>
              <w:t>Parquet lakehouse</w:t>
            </w:r>
          </w:p>
        </w:tc>
        <w:tc>
          <w:tcPr>
            <w:tcW w:type="dxa" w:w="4608"/>
            <w:vAlign w:val="top"/>
          </w:tcPr>
          <w:p>
            <w:r>
              <w:rPr>
                <w:sz w:val="15"/>
              </w:rPr>
              <w:t>analytics e histórico de eventos agregados</w:t>
            </w:r>
          </w:p>
        </w:tc>
        <w:tc>
          <w:tcPr>
            <w:tcW w:type="dxa" w:w="4032"/>
            <w:vAlign w:val="top"/>
          </w:tcPr>
          <w:p>
            <w:r>
              <w:rPr>
                <w:sz w:val="15"/>
              </w:rPr>
              <w:t>PII minimizada; dbt contracts.</w:t>
            </w:r>
          </w:p>
        </w:tc>
      </w:tr>
    </w:tbl>
    <w:p/>
    <w:p>
      <w:r>
        <w:drawing>
          <wp:inline xmlns:a="http://schemas.openxmlformats.org/drawingml/2006/main" xmlns:pic="http://schemas.openxmlformats.org/drawingml/2006/picture">
            <wp:extent cx="6172200" cy="3819681"/>
            <wp:docPr id="20" name="Picture 20" descr="Figura — Domínios do banco e separação entre dados de cliente, fatos oficiais, análises e Control Plane." title="Figura — Domínios do banco e separação entre dados de cliente, fatos oficiais, análises e Control Plane."/>
            <wp:cNvGraphicFramePr>
              <a:graphicFrameLocks noChangeAspect="1"/>
            </wp:cNvGraphicFramePr>
            <a:graphic>
              <a:graphicData uri="http://schemas.openxmlformats.org/drawingml/2006/picture">
                <pic:pic>
                  <pic:nvPicPr>
                    <pic:cNvPr id="0" name="database_domains_v20.png"/>
                    <pic:cNvPicPr/>
                  </pic:nvPicPr>
                  <pic:blipFill>
                    <a:blip r:embed="rId30"/>
                    <a:stretch>
                      <a:fillRect/>
                    </a:stretch>
                  </pic:blipFill>
                  <pic:spPr>
                    <a:xfrm>
                      <a:off x="0" y="0"/>
                      <a:ext cx="6172200" cy="3819681"/>
                    </a:xfrm>
                    <a:prstGeom prst="rect"/>
                  </pic:spPr>
                </pic:pic>
              </a:graphicData>
            </a:graphic>
          </wp:inline>
        </w:drawing>
      </w:r>
    </w:p>
    <w:p>
      <w:pPr>
        <w:pStyle w:val="CaptionLD"/>
        <w:jc w:val="center"/>
      </w:pPr>
      <w:r>
        <w:t>Figura — Domínios do banco e separação entre dados de cliente, fatos oficiais, análises e Control Plane.</w:t>
      </w:r>
    </w:p>
    <w:p>
      <w:pPr>
        <w:pStyle w:val="Heading2"/>
      </w:pPr>
      <w:r>
        <w:t>32.18 Schemas e tabelas — data dictionary de referência</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1800"/>
            <w:vAlign w:val="center"/>
          </w:tcPr>
          <w:p>
            <w:r>
              <w:rPr>
                <w:b/>
                <w:sz w:val="13"/>
              </w:rPr>
              <w:t>Schema</w:t>
            </w:r>
          </w:p>
        </w:tc>
        <w:tc>
          <w:tcPr>
            <w:tcW w:type="dxa" w:w="5688"/>
            <w:vAlign w:val="center"/>
          </w:tcPr>
          <w:p>
            <w:r>
              <w:rPr>
                <w:b/>
                <w:sz w:val="13"/>
              </w:rPr>
              <w:t>Tabelas principais</w:t>
            </w:r>
          </w:p>
        </w:tc>
        <w:tc>
          <w:tcPr>
            <w:tcW w:type="dxa" w:w="3456"/>
            <w:vAlign w:val="center"/>
          </w:tcPr>
          <w:p>
            <w:r>
              <w:rPr>
                <w:b/>
                <w:sz w:val="13"/>
              </w:rPr>
              <w:t>Ownership</w:t>
            </w:r>
          </w:p>
        </w:tc>
      </w:tr>
      <w:tr>
        <w:trPr>
          <w:cantSplit/>
          <w:cantSplit/>
        </w:trPr>
        <w:tc>
          <w:tcPr>
            <w:tcW w:type="dxa" w:w="1800"/>
            <w:vAlign w:val="top"/>
          </w:tcPr>
          <w:p>
            <w:r>
              <w:rPr>
                <w:sz w:val="13"/>
              </w:rPr>
              <w:t>iam</w:t>
            </w:r>
          </w:p>
        </w:tc>
        <w:tc>
          <w:tcPr>
            <w:tcW w:type="dxa" w:w="5688"/>
            <w:vAlign w:val="top"/>
          </w:tcPr>
          <w:p>
            <w:r>
              <w:rPr>
                <w:sz w:val="13"/>
              </w:rPr>
              <w:t>organization, user_profile, membership, role, permission, service_account, api_key_ref, session_audit</w:t>
            </w:r>
          </w:p>
        </w:tc>
        <w:tc>
          <w:tcPr>
            <w:tcW w:type="dxa" w:w="3456"/>
            <w:vAlign w:val="top"/>
          </w:tcPr>
          <w:p>
            <w:r>
              <w:rPr>
                <w:sz w:val="13"/>
              </w:rPr>
              <w:t>Identidade de produto e organização; autenticação primária permanece no Keycloak.</w:t>
            </w:r>
          </w:p>
        </w:tc>
      </w:tr>
      <w:tr>
        <w:trPr>
          <w:cantSplit/>
          <w:cantSplit/>
        </w:trPr>
        <w:tc>
          <w:tcPr>
            <w:tcW w:type="dxa" w:w="1800"/>
            <w:vAlign w:val="top"/>
          </w:tcPr>
          <w:p>
            <w:r>
              <w:rPr>
                <w:sz w:val="13"/>
              </w:rPr>
              <w:t>core</w:t>
            </w:r>
          </w:p>
        </w:tc>
        <w:tc>
          <w:tcPr>
            <w:tcW w:type="dxa" w:w="5688"/>
            <w:vAlign w:val="top"/>
          </w:tcPr>
          <w:p>
            <w:r>
              <w:rPr>
                <w:sz w:val="13"/>
              </w:rPr>
              <w:t>state, municipality, asset, asset_identifier, entity_link, address, workspace, source_registry, source_endpoint, source_license, source_coverage, source_snapshot</w:t>
            </w:r>
          </w:p>
        </w:tc>
        <w:tc>
          <w:tcPr>
            <w:tcW w:type="dxa" w:w="3456"/>
            <w:vAlign w:val="top"/>
          </w:tcPr>
          <w:p>
            <w:r>
              <w:rPr>
                <w:sz w:val="13"/>
              </w:rPr>
              <w:t>Âncoras e catálogo de fontes.</w:t>
            </w:r>
          </w:p>
        </w:tc>
      </w:tr>
      <w:tr>
        <w:trPr>
          <w:cantSplit/>
          <w:cantSplit/>
        </w:trPr>
        <w:tc>
          <w:tcPr>
            <w:tcW w:type="dxa" w:w="1800"/>
            <w:vAlign w:val="top"/>
          </w:tcPr>
          <w:p>
            <w:r>
              <w:rPr>
                <w:sz w:val="13"/>
              </w:rPr>
              <w:t>geo</w:t>
            </w:r>
          </w:p>
        </w:tc>
        <w:tc>
          <w:tcPr>
            <w:tcW w:type="dxa" w:w="5688"/>
            <w:vAlign w:val="top"/>
          </w:tcPr>
          <w:p>
            <w:r>
              <w:rPr>
                <w:sz w:val="13"/>
              </w:rPr>
              <w:t>parcel_record, geometry_version, municipality_boundary, layer, layer_version, feature, raster_asset, terrain_model, address_point, spatial_relation, tile_config</w:t>
            </w:r>
          </w:p>
        </w:tc>
        <w:tc>
          <w:tcPr>
            <w:tcW w:type="dxa" w:w="3456"/>
            <w:vAlign w:val="top"/>
          </w:tcPr>
          <w:p>
            <w:r>
              <w:rPr>
                <w:sz w:val="13"/>
              </w:rPr>
              <w:t>Geografia versionada e relações espaciais.</w:t>
            </w:r>
          </w:p>
        </w:tc>
      </w:tr>
      <w:tr>
        <w:trPr>
          <w:cantSplit/>
          <w:cantSplit/>
        </w:trPr>
        <w:tc>
          <w:tcPr>
            <w:tcW w:type="dxa" w:w="1800"/>
            <w:vAlign w:val="top"/>
          </w:tcPr>
          <w:p>
            <w:r>
              <w:rPr>
                <w:sz w:val="13"/>
              </w:rPr>
              <w:t>legal</w:t>
            </w:r>
          </w:p>
        </w:tc>
        <w:tc>
          <w:tcPr>
            <w:tcW w:type="dxa" w:w="5688"/>
            <w:vAlign w:val="top"/>
          </w:tcPr>
          <w:p>
            <w:r>
              <w:rPr>
                <w:sz w:val="13"/>
              </w:rPr>
              <w:t>document, document_version, legal_relation, article, clause, annex, legal_table, map_document, rule, rule_condition, rule_set, legal_evidence</w:t>
            </w:r>
          </w:p>
        </w:tc>
        <w:tc>
          <w:tcPr>
            <w:tcW w:type="dxa" w:w="3456"/>
            <w:vAlign w:val="top"/>
          </w:tcPr>
          <w:p>
            <w:r>
              <w:rPr>
                <w:sz w:val="13"/>
              </w:rPr>
              <w:t>Normas, estrutura e regras temporais.</w:t>
            </w:r>
          </w:p>
        </w:tc>
      </w:tr>
      <w:tr>
        <w:trPr>
          <w:cantSplit/>
          <w:cantSplit/>
        </w:trPr>
        <w:tc>
          <w:tcPr>
            <w:tcW w:type="dxa" w:w="1800"/>
            <w:vAlign w:val="top"/>
          </w:tcPr>
          <w:p>
            <w:r>
              <w:rPr>
                <w:sz w:val="13"/>
              </w:rPr>
              <w:t>planning</w:t>
            </w:r>
          </w:p>
        </w:tc>
        <w:tc>
          <w:tcPr>
            <w:tcW w:type="dxa" w:w="5688"/>
            <w:vAlign w:val="top"/>
          </w:tcPr>
          <w:p>
            <w:r>
              <w:rPr>
                <w:sz w:val="13"/>
              </w:rPr>
              <w:t>zone, zone_geometry_version, urban_parameter, land_use_class, zone_use_permission, urban_instrument, operation_area, building_envelope_rule</w:t>
            </w:r>
          </w:p>
        </w:tc>
        <w:tc>
          <w:tcPr>
            <w:tcW w:type="dxa" w:w="3456"/>
            <w:vAlign w:val="top"/>
          </w:tcPr>
          <w:p>
            <w:r>
              <w:rPr>
                <w:sz w:val="13"/>
              </w:rPr>
              <w:t>Planejamento/zoneamento.</w:t>
            </w:r>
          </w:p>
        </w:tc>
      </w:tr>
      <w:tr>
        <w:trPr>
          <w:cantSplit/>
          <w:cantSplit/>
        </w:trPr>
        <w:tc>
          <w:tcPr>
            <w:tcW w:type="dxa" w:w="1800"/>
            <w:vAlign w:val="top"/>
          </w:tcPr>
          <w:p>
            <w:r>
              <w:rPr>
                <w:sz w:val="13"/>
              </w:rPr>
              <w:t>cadastre</w:t>
            </w:r>
          </w:p>
        </w:tc>
        <w:tc>
          <w:tcPr>
            <w:tcW w:type="dxa" w:w="5688"/>
            <w:vAlign w:val="top"/>
          </w:tcPr>
          <w:p>
            <w:r>
              <w:rPr>
                <w:sz w:val="13"/>
              </w:rPr>
              <w:t>municipal_property, tax_assessment, iptu_snapshot, pgvu_rule, itbi_public_observation, building_record, cib_reference</w:t>
            </w:r>
          </w:p>
        </w:tc>
        <w:tc>
          <w:tcPr>
            <w:tcW w:type="dxa" w:w="3456"/>
            <w:vAlign w:val="top"/>
          </w:tcPr>
          <w:p>
            <w:r>
              <w:rPr>
                <w:sz w:val="13"/>
              </w:rPr>
              <w:t>Cadastro fiscal municipal e referências.</w:t>
            </w:r>
          </w:p>
        </w:tc>
      </w:tr>
      <w:tr>
        <w:trPr>
          <w:cantSplit/>
          <w:cantSplit/>
        </w:trPr>
        <w:tc>
          <w:tcPr>
            <w:tcW w:type="dxa" w:w="1800"/>
            <w:vAlign w:val="top"/>
          </w:tcPr>
          <w:p>
            <w:r>
              <w:rPr>
                <w:sz w:val="13"/>
              </w:rPr>
              <w:t>registry</w:t>
            </w:r>
          </w:p>
        </w:tc>
        <w:tc>
          <w:tcPr>
            <w:tcW w:type="dxa" w:w="5688"/>
            <w:vAlign w:val="top"/>
          </w:tcPr>
          <w:p>
            <w:r>
              <w:rPr>
                <w:sz w:val="13"/>
              </w:rPr>
              <w:t>registry_reference, matricula_reference, certificate_reference, encumbrance_summary, authorized_access_log</w:t>
            </w:r>
          </w:p>
        </w:tc>
        <w:tc>
          <w:tcPr>
            <w:tcW w:type="dxa" w:w="3456"/>
            <w:vAlign w:val="top"/>
          </w:tcPr>
          <w:p>
            <w:r>
              <w:rPr>
                <w:sz w:val="13"/>
              </w:rPr>
              <w:t>Registro imobiliário somente como referência/integração autorizada.</w:t>
            </w:r>
          </w:p>
        </w:tc>
      </w:tr>
      <w:tr>
        <w:trPr>
          <w:cantSplit/>
          <w:cantSplit/>
        </w:trPr>
        <w:tc>
          <w:tcPr>
            <w:tcW w:type="dxa" w:w="1800"/>
            <w:vAlign w:val="top"/>
          </w:tcPr>
          <w:p>
            <w:r>
              <w:rPr>
                <w:sz w:val="13"/>
              </w:rPr>
              <w:t>environment</w:t>
            </w:r>
          </w:p>
        </w:tc>
        <w:tc>
          <w:tcPr>
            <w:tcW w:type="dxa" w:w="5688"/>
            <w:vAlign w:val="top"/>
          </w:tcPr>
          <w:p>
            <w:r>
              <w:rPr>
                <w:sz w:val="13"/>
              </w:rPr>
              <w:t>protected_area, app_feature, vegetation, embargo, contaminated_site, car_reference, environmental_license</w:t>
            </w:r>
          </w:p>
        </w:tc>
        <w:tc>
          <w:tcPr>
            <w:tcW w:type="dxa" w:w="3456"/>
            <w:vAlign w:val="top"/>
          </w:tcPr>
          <w:p>
            <w:r>
              <w:rPr>
                <w:sz w:val="13"/>
              </w:rPr>
              <w:t>Meio ambiente.</w:t>
            </w:r>
          </w:p>
        </w:tc>
      </w:tr>
      <w:tr>
        <w:trPr>
          <w:cantSplit/>
          <w:cantSplit/>
        </w:trPr>
        <w:tc>
          <w:tcPr>
            <w:tcW w:type="dxa" w:w="1800"/>
            <w:vAlign w:val="top"/>
          </w:tcPr>
          <w:p>
            <w:r>
              <w:rPr>
                <w:sz w:val="13"/>
              </w:rPr>
              <w:t>risk</w:t>
            </w:r>
          </w:p>
        </w:tc>
        <w:tc>
          <w:tcPr>
            <w:tcW w:type="dxa" w:w="5688"/>
            <w:vAlign w:val="top"/>
          </w:tcPr>
          <w:p>
            <w:r>
              <w:rPr>
                <w:sz w:val="13"/>
              </w:rPr>
              <w:t>flood_zone, landslide_zone, susceptibility, geotechnical_zone, dam_influence, climate_indicator</w:t>
            </w:r>
          </w:p>
        </w:tc>
        <w:tc>
          <w:tcPr>
            <w:tcW w:type="dxa" w:w="3456"/>
            <w:vAlign w:val="top"/>
          </w:tcPr>
          <w:p>
            <w:r>
              <w:rPr>
                <w:sz w:val="13"/>
              </w:rPr>
              <w:t>Riscos.</w:t>
            </w:r>
          </w:p>
        </w:tc>
      </w:tr>
      <w:tr>
        <w:trPr>
          <w:cantSplit/>
          <w:cantSplit/>
        </w:trPr>
        <w:tc>
          <w:tcPr>
            <w:tcW w:type="dxa" w:w="1800"/>
            <w:vAlign w:val="top"/>
          </w:tcPr>
          <w:p>
            <w:r>
              <w:rPr>
                <w:sz w:val="13"/>
              </w:rPr>
              <w:t>infra</w:t>
            </w:r>
          </w:p>
        </w:tc>
        <w:tc>
          <w:tcPr>
            <w:tcW w:type="dxa" w:w="5688"/>
            <w:vAlign w:val="top"/>
          </w:tcPr>
          <w:p>
            <w:r>
              <w:rPr>
                <w:sz w:val="13"/>
              </w:rPr>
              <w:t>electric_asset, gas_asset, water_asset, sewer_asset, drainage_asset, telecom_indicator, utility_service_area</w:t>
            </w:r>
          </w:p>
        </w:tc>
        <w:tc>
          <w:tcPr>
            <w:tcW w:type="dxa" w:w="3456"/>
            <w:vAlign w:val="top"/>
          </w:tcPr>
          <w:p>
            <w:r>
              <w:rPr>
                <w:sz w:val="13"/>
              </w:rPr>
              <w:t>Infraestrutura e utilities.</w:t>
            </w:r>
          </w:p>
        </w:tc>
      </w:tr>
      <w:tr>
        <w:trPr>
          <w:cantSplit/>
          <w:cantSplit/>
        </w:trPr>
        <w:tc>
          <w:tcPr>
            <w:tcW w:type="dxa" w:w="1800"/>
            <w:vAlign w:val="top"/>
          </w:tcPr>
          <w:p>
            <w:r>
              <w:rPr>
                <w:sz w:val="13"/>
              </w:rPr>
              <w:t>mobility</w:t>
            </w:r>
          </w:p>
        </w:tc>
        <w:tc>
          <w:tcPr>
            <w:tcW w:type="dxa" w:w="5688"/>
            <w:vAlign w:val="top"/>
          </w:tcPr>
          <w:p>
            <w:r>
              <w:rPr>
                <w:sz w:val="13"/>
              </w:rPr>
              <w:t>road_segment, official_alignment, planned_road, transit_stop, transit_route, bike_network, access_constraint</w:t>
            </w:r>
          </w:p>
        </w:tc>
        <w:tc>
          <w:tcPr>
            <w:tcW w:type="dxa" w:w="3456"/>
            <w:vAlign w:val="top"/>
          </w:tcPr>
          <w:p>
            <w:r>
              <w:rPr>
                <w:sz w:val="13"/>
              </w:rPr>
              <w:t>Mobilidade.</w:t>
            </w:r>
          </w:p>
        </w:tc>
      </w:tr>
      <w:tr>
        <w:trPr>
          <w:cantSplit/>
          <w:cantSplit/>
        </w:trPr>
        <w:tc>
          <w:tcPr>
            <w:tcW w:type="dxa" w:w="1800"/>
            <w:vAlign w:val="top"/>
          </w:tcPr>
          <w:p>
            <w:r>
              <w:rPr>
                <w:sz w:val="13"/>
              </w:rPr>
              <w:t>heritage</w:t>
            </w:r>
          </w:p>
        </w:tc>
        <w:tc>
          <w:tcPr>
            <w:tcW w:type="dxa" w:w="5688"/>
            <w:vAlign w:val="top"/>
          </w:tcPr>
          <w:p>
            <w:r>
              <w:rPr>
                <w:sz w:val="13"/>
              </w:rPr>
              <w:t>protected_asset, protection_area, archaeological_reference, heritage_rule</w:t>
            </w:r>
          </w:p>
        </w:tc>
        <w:tc>
          <w:tcPr>
            <w:tcW w:type="dxa" w:w="3456"/>
            <w:vAlign w:val="top"/>
          </w:tcPr>
          <w:p>
            <w:r>
              <w:rPr>
                <w:sz w:val="13"/>
              </w:rPr>
              <w:t>Patrimônio.</w:t>
            </w:r>
          </w:p>
        </w:tc>
      </w:tr>
      <w:tr>
        <w:trPr>
          <w:cantSplit/>
          <w:cantSplit/>
        </w:trPr>
        <w:tc>
          <w:tcPr>
            <w:tcW w:type="dxa" w:w="1800"/>
            <w:vAlign w:val="top"/>
          </w:tcPr>
          <w:p>
            <w:r>
              <w:rPr>
                <w:sz w:val="13"/>
              </w:rPr>
              <w:t>market</w:t>
            </w:r>
          </w:p>
        </w:tc>
        <w:tc>
          <w:tcPr>
            <w:tcW w:type="dxa" w:w="5688"/>
            <w:vAlign w:val="top"/>
          </w:tcPr>
          <w:p>
            <w:r>
              <w:rPr>
                <w:sz w:val="13"/>
              </w:rPr>
              <w:t>listing_observation, transaction_observation, launch, launch_typology, sales_flow, market_index, comparable_set, market_metric</w:t>
            </w:r>
          </w:p>
        </w:tc>
        <w:tc>
          <w:tcPr>
            <w:tcW w:type="dxa" w:w="3456"/>
            <w:vAlign w:val="top"/>
          </w:tcPr>
          <w:p>
            <w:r>
              <w:rPr>
                <w:sz w:val="13"/>
              </w:rPr>
              <w:t>Mercado e comparáveis.</w:t>
            </w:r>
          </w:p>
        </w:tc>
      </w:tr>
      <w:tr>
        <w:trPr>
          <w:cantSplit/>
          <w:cantSplit/>
        </w:trPr>
        <w:tc>
          <w:tcPr>
            <w:tcW w:type="dxa" w:w="1800"/>
            <w:vAlign w:val="top"/>
          </w:tcPr>
          <w:p>
            <w:r>
              <w:rPr>
                <w:sz w:val="13"/>
              </w:rPr>
              <w:t>licensing</w:t>
            </w:r>
          </w:p>
        </w:tc>
        <w:tc>
          <w:tcPr>
            <w:tcW w:type="dxa" w:w="5688"/>
            <w:vAlign w:val="top"/>
          </w:tcPr>
          <w:p>
            <w:r>
              <w:rPr>
                <w:sz w:val="13"/>
              </w:rPr>
              <w:t>permit, process, inspection, violation, approval_requirement, certificate</w:t>
            </w:r>
          </w:p>
        </w:tc>
        <w:tc>
          <w:tcPr>
            <w:tcW w:type="dxa" w:w="3456"/>
            <w:vAlign w:val="top"/>
          </w:tcPr>
          <w:p>
            <w:r>
              <w:rPr>
                <w:sz w:val="13"/>
              </w:rPr>
              <w:t>Licenciamento e histórico.</w:t>
            </w:r>
          </w:p>
        </w:tc>
      </w:tr>
      <w:tr>
        <w:trPr>
          <w:cantSplit/>
          <w:cantSplit/>
        </w:trPr>
        <w:tc>
          <w:tcPr>
            <w:tcW w:type="dxa" w:w="1800"/>
            <w:vAlign w:val="top"/>
          </w:tcPr>
          <w:p>
            <w:r>
              <w:rPr>
                <w:sz w:val="13"/>
              </w:rPr>
              <w:t>property360</w:t>
            </w:r>
          </w:p>
        </w:tc>
        <w:tc>
          <w:tcPr>
            <w:tcW w:type="dxa" w:w="5688"/>
            <w:vAlign w:val="top"/>
          </w:tcPr>
          <w:p>
            <w:r>
              <w:rPr>
                <w:sz w:val="13"/>
              </w:rPr>
              <w:t>property, property_parcel_link, property_document, property_tag, property_note, property_event, development, development_property, development_mass, explorer_project, saved_place, report_template, report_share</w:t>
            </w:r>
          </w:p>
        </w:tc>
        <w:tc>
          <w:tcPr>
            <w:tcW w:type="dxa" w:w="3456"/>
            <w:vAlign w:val="top"/>
          </w:tcPr>
          <w:p>
            <w:r>
              <w:rPr>
                <w:sz w:val="13"/>
              </w:rPr>
              <w:t>Fluxos Imóvel 360.</w:t>
            </w:r>
          </w:p>
        </w:tc>
      </w:tr>
      <w:tr>
        <w:trPr>
          <w:cantSplit/>
          <w:cantSplit/>
        </w:trPr>
        <w:tc>
          <w:tcPr>
            <w:tcW w:type="dxa" w:w="1800"/>
            <w:vAlign w:val="top"/>
          </w:tcPr>
          <w:p>
            <w:r>
              <w:rPr>
                <w:sz w:val="13"/>
              </w:rPr>
              <w:t>crm</w:t>
            </w:r>
          </w:p>
        </w:tc>
        <w:tc>
          <w:tcPr>
            <w:tcW w:type="dxa" w:w="5688"/>
            <w:vAlign w:val="top"/>
          </w:tcPr>
          <w:p>
            <w:r>
              <w:rPr>
                <w:sz w:val="13"/>
              </w:rPr>
              <w:t>person, organization_contact, contact_point, relationship, team, assignment, task, due_diligence</w:t>
            </w:r>
          </w:p>
        </w:tc>
        <w:tc>
          <w:tcPr>
            <w:tcW w:type="dxa" w:w="3456"/>
            <w:vAlign w:val="top"/>
          </w:tcPr>
          <w:p>
            <w:r>
              <w:rPr>
                <w:sz w:val="13"/>
              </w:rPr>
              <w:t>CRM do cliente, separado de registros oficiais.</w:t>
            </w:r>
          </w:p>
        </w:tc>
      </w:tr>
      <w:tr>
        <w:trPr>
          <w:cantSplit/>
          <w:cantSplit/>
        </w:trPr>
        <w:tc>
          <w:tcPr>
            <w:tcW w:type="dxa" w:w="1800"/>
            <w:vAlign w:val="top"/>
          </w:tcPr>
          <w:p>
            <w:r>
              <w:rPr>
                <w:sz w:val="13"/>
              </w:rPr>
              <w:t>rural</w:t>
            </w:r>
          </w:p>
        </w:tc>
        <w:tc>
          <w:tcPr>
            <w:tcW w:type="dxa" w:w="5688"/>
            <w:vAlign w:val="top"/>
          </w:tcPr>
          <w:p>
            <w:r>
              <w:rPr>
                <w:sz w:val="13"/>
              </w:rPr>
              <w:t>registry_record, registry_identifier, geometry_version, person_entity_ref, person_role, document, overlap, monitor, event, credit_operation, source_quality</w:t>
            </w:r>
          </w:p>
        </w:tc>
        <w:tc>
          <w:tcPr>
            <w:tcW w:type="dxa" w:w="3456"/>
            <w:vAlign w:val="top"/>
          </w:tcPr>
          <w:p>
            <w:r>
              <w:rPr>
                <w:sz w:val="13"/>
              </w:rPr>
              <w:t>RE Rural e grafo de identidades.</w:t>
            </w:r>
          </w:p>
        </w:tc>
      </w:tr>
      <w:tr>
        <w:trPr>
          <w:cantSplit/>
          <w:cantSplit/>
        </w:trPr>
        <w:tc>
          <w:tcPr>
            <w:tcW w:type="dxa" w:w="1800"/>
            <w:vAlign w:val="top"/>
          </w:tcPr>
          <w:p>
            <w:r>
              <w:rPr>
                <w:sz w:val="13"/>
              </w:rPr>
              <w:t>condo</w:t>
            </w:r>
          </w:p>
        </w:tc>
        <w:tc>
          <w:tcPr>
            <w:tcW w:type="dxa" w:w="5688"/>
            <w:vAlign w:val="top"/>
          </w:tcPr>
          <w:p>
            <w:r>
              <w:rPr>
                <w:sz w:val="13"/>
              </w:rPr>
              <w:t>condominium, block, unit, common_area, document, document_version, rule, rule_relation, assembly, agenda_item, vote, occurrence, maintenance_item, vendor, audit_event</w:t>
            </w:r>
          </w:p>
        </w:tc>
        <w:tc>
          <w:tcPr>
            <w:tcW w:type="dxa" w:w="3456"/>
            <w:vAlign w:val="top"/>
          </w:tcPr>
          <w:p>
            <w:r>
              <w:rPr>
                <w:sz w:val="13"/>
              </w:rPr>
              <w:t>Condomínio e suas regras privadas.</w:t>
            </w:r>
          </w:p>
        </w:tc>
      </w:tr>
      <w:tr>
        <w:trPr>
          <w:cantSplit/>
          <w:cantSplit/>
        </w:trPr>
        <w:tc>
          <w:tcPr>
            <w:tcW w:type="dxa" w:w="1800"/>
            <w:vAlign w:val="top"/>
          </w:tcPr>
          <w:p>
            <w:r>
              <w:rPr>
                <w:sz w:val="13"/>
              </w:rPr>
              <w:t>solar</w:t>
            </w:r>
          </w:p>
        </w:tc>
        <w:tc>
          <w:tcPr>
            <w:tcW w:type="dxa" w:w="5688"/>
            <w:vAlign w:val="top"/>
          </w:tcPr>
          <w:p>
            <w:r>
              <w:rPr>
                <w:sz w:val="13"/>
              </w:rPr>
              <w:t>site, surface, solar_resource_snapshot, equipment_catalog, panel_model, inverter_model, battery_model, layout, scenario, generation_series, tariff_snapshot, bill_snapshot, financial_result</w:t>
            </w:r>
          </w:p>
        </w:tc>
        <w:tc>
          <w:tcPr>
            <w:tcW w:type="dxa" w:w="3456"/>
            <w:vAlign w:val="top"/>
          </w:tcPr>
          <w:p>
            <w:r>
              <w:rPr>
                <w:sz w:val="13"/>
              </w:rPr>
              <w:t>Energia Solar.</w:t>
            </w:r>
          </w:p>
        </w:tc>
      </w:tr>
      <w:tr>
        <w:trPr>
          <w:cantSplit/>
          <w:cantSplit/>
        </w:trPr>
        <w:tc>
          <w:tcPr>
            <w:tcW w:type="dxa" w:w="1800"/>
            <w:vAlign w:val="top"/>
          </w:tcPr>
          <w:p>
            <w:r>
              <w:rPr>
                <w:sz w:val="13"/>
              </w:rPr>
              <w:t>aitec</w:t>
            </w:r>
          </w:p>
        </w:tc>
        <w:tc>
          <w:tcPr>
            <w:tcW w:type="dxa" w:w="5688"/>
            <w:vAlign w:val="top"/>
          </w:tcPr>
          <w:p>
            <w:r>
              <w:rPr>
                <w:sz w:val="13"/>
              </w:rPr>
              <w:t>project, input_asset, program, design_dna, component_library, constraint_spec, scenario, generated_geometry, parking_solution, unit_mix, floorplan, analysis_metric, pareto_rank, export_job</w:t>
            </w:r>
          </w:p>
        </w:tc>
        <w:tc>
          <w:tcPr>
            <w:tcW w:type="dxa" w:w="3456"/>
            <w:vAlign w:val="top"/>
          </w:tcPr>
          <w:p>
            <w:r>
              <w:rPr>
                <w:sz w:val="13"/>
              </w:rPr>
              <w:t>A.I TEC.</w:t>
            </w:r>
          </w:p>
        </w:tc>
      </w:tr>
      <w:tr>
        <w:trPr>
          <w:cantSplit/>
          <w:cantSplit/>
        </w:trPr>
        <w:tc>
          <w:tcPr>
            <w:tcW w:type="dxa" w:w="1800"/>
            <w:vAlign w:val="top"/>
          </w:tcPr>
          <w:p>
            <w:r>
              <w:rPr>
                <w:sz w:val="13"/>
              </w:rPr>
              <w:t>municipality</w:t>
            </w:r>
          </w:p>
        </w:tc>
        <w:tc>
          <w:tcPr>
            <w:tcW w:type="dxa" w:w="5688"/>
            <w:vAlign w:val="top"/>
          </w:tcPr>
          <w:p>
            <w:r>
              <w:rPr>
                <w:sz w:val="13"/>
              </w:rPr>
              <w:t>tenant_config, user_role, document, document_version, norm, layer, parcel, unit, building, tax_rule, permit, infrastructure, sinter_job, publication, audit_event</w:t>
            </w:r>
          </w:p>
        </w:tc>
        <w:tc>
          <w:tcPr>
            <w:tcW w:type="dxa" w:w="3456"/>
            <w:vAlign w:val="top"/>
          </w:tcPr>
          <w:p>
            <w:r>
              <w:rPr>
                <w:sz w:val="13"/>
              </w:rPr>
              <w:t>Workspace institucional Prefeitura.</w:t>
            </w:r>
          </w:p>
        </w:tc>
      </w:tr>
      <w:tr>
        <w:trPr>
          <w:cantSplit/>
          <w:cantSplit/>
        </w:trPr>
        <w:tc>
          <w:tcPr>
            <w:tcW w:type="dxa" w:w="1800"/>
            <w:vAlign w:val="top"/>
          </w:tcPr>
          <w:p>
            <w:r>
              <w:rPr>
                <w:sz w:val="13"/>
              </w:rPr>
              <w:t>analysis</w:t>
            </w:r>
          </w:p>
        </w:tc>
        <w:tc>
          <w:tcPr>
            <w:tcW w:type="dxa" w:w="5688"/>
            <w:vAlign w:val="top"/>
          </w:tcPr>
          <w:p>
            <w:r>
              <w:rPr>
                <w:sz w:val="13"/>
              </w:rPr>
              <w:t>analysis_run, analysis_input, finding, calculation, scenario_link, report, report_section, report_snapshot</w:t>
            </w:r>
          </w:p>
        </w:tc>
        <w:tc>
          <w:tcPr>
            <w:tcW w:type="dxa" w:w="3456"/>
            <w:vAlign w:val="top"/>
          </w:tcPr>
          <w:p>
            <w:r>
              <w:rPr>
                <w:sz w:val="13"/>
              </w:rPr>
              <w:t>Execuções reproduzíveis.</w:t>
            </w:r>
          </w:p>
        </w:tc>
      </w:tr>
      <w:tr>
        <w:trPr>
          <w:cantSplit/>
          <w:cantSplit/>
        </w:trPr>
        <w:tc>
          <w:tcPr>
            <w:tcW w:type="dxa" w:w="1800"/>
            <w:vAlign w:val="top"/>
          </w:tcPr>
          <w:p>
            <w:r>
              <w:rPr>
                <w:sz w:val="13"/>
              </w:rPr>
              <w:t>evidence</w:t>
            </w:r>
          </w:p>
        </w:tc>
        <w:tc>
          <w:tcPr>
            <w:tcW w:type="dxa" w:w="5688"/>
            <w:vAlign w:val="top"/>
          </w:tcPr>
          <w:p>
            <w:r>
              <w:rPr>
                <w:sz w:val="13"/>
              </w:rPr>
              <w:t>evidence, citation, quality_assessment, conflict, provenance_link</w:t>
            </w:r>
          </w:p>
        </w:tc>
        <w:tc>
          <w:tcPr>
            <w:tcW w:type="dxa" w:w="3456"/>
            <w:vAlign w:val="top"/>
          </w:tcPr>
          <w:p>
            <w:r>
              <w:rPr>
                <w:sz w:val="13"/>
              </w:rPr>
              <w:t>Evidência comum a todos os módulos.</w:t>
            </w:r>
          </w:p>
        </w:tc>
      </w:tr>
      <w:tr>
        <w:trPr>
          <w:cantSplit/>
          <w:cantSplit/>
        </w:trPr>
        <w:tc>
          <w:tcPr>
            <w:tcW w:type="dxa" w:w="1800"/>
            <w:vAlign w:val="top"/>
          </w:tcPr>
          <w:p>
            <w:r>
              <w:rPr>
                <w:sz w:val="13"/>
              </w:rPr>
              <w:t>ai</w:t>
            </w:r>
          </w:p>
        </w:tc>
        <w:tc>
          <w:tcPr>
            <w:tcW w:type="dxa" w:w="5688"/>
            <w:vAlign w:val="top"/>
          </w:tcPr>
          <w:p>
            <w:r>
              <w:rPr>
                <w:sz w:val="13"/>
              </w:rPr>
              <w:t>model_registry, prompt_version, tool_registry, retrieval_trace, ai_trace, eval_dataset, eval_run, safety_event, budget</w:t>
            </w:r>
          </w:p>
        </w:tc>
        <w:tc>
          <w:tcPr>
            <w:tcW w:type="dxa" w:w="3456"/>
            <w:vAlign w:val="top"/>
          </w:tcPr>
          <w:p>
            <w:r>
              <w:rPr>
                <w:sz w:val="13"/>
              </w:rPr>
              <w:t>AI Core / Ops.</w:t>
            </w:r>
          </w:p>
        </w:tc>
      </w:tr>
      <w:tr>
        <w:trPr>
          <w:cantSplit/>
          <w:cantSplit/>
        </w:trPr>
        <w:tc>
          <w:tcPr>
            <w:tcW w:type="dxa" w:w="1800"/>
            <w:vAlign w:val="top"/>
          </w:tcPr>
          <w:p>
            <w:r>
              <w:rPr>
                <w:sz w:val="13"/>
              </w:rPr>
              <w:t>audit</w:t>
            </w:r>
          </w:p>
        </w:tc>
        <w:tc>
          <w:tcPr>
            <w:tcW w:type="dxa" w:w="5688"/>
            <w:vAlign w:val="top"/>
          </w:tcPr>
          <w:p>
            <w:r>
              <w:rPr>
                <w:sz w:val="13"/>
              </w:rPr>
              <w:t>access_event, export_log, change_event, security_event</w:t>
            </w:r>
          </w:p>
        </w:tc>
        <w:tc>
          <w:tcPr>
            <w:tcW w:type="dxa" w:w="3456"/>
            <w:vAlign w:val="top"/>
          </w:tcPr>
          <w:p>
            <w:r>
              <w:rPr>
                <w:sz w:val="13"/>
              </w:rPr>
              <w:t>Auditoria transversal.</w:t>
            </w:r>
          </w:p>
        </w:tc>
      </w:tr>
      <w:tr>
        <w:trPr>
          <w:cantSplit/>
          <w:cantSplit/>
        </w:trPr>
        <w:tc>
          <w:tcPr>
            <w:tcW w:type="dxa" w:w="1800"/>
            <w:vAlign w:val="top"/>
          </w:tcPr>
          <w:p>
            <w:r>
              <w:rPr>
                <w:sz w:val="13"/>
              </w:rPr>
              <w:t>billing/control</w:t>
            </w:r>
          </w:p>
        </w:tc>
        <w:tc>
          <w:tcPr>
            <w:tcW w:type="dxa" w:w="5688"/>
            <w:vAlign w:val="top"/>
          </w:tcPr>
          <w:p>
            <w:r>
              <w:rPr>
                <w:sz w:val="13"/>
              </w:rPr>
              <w:t>customer, plan_version, price, subscription, invoice_cycle, payment, refund, dispute, credit, webhook_event, ledger_entry, reconciliation</w:t>
            </w:r>
          </w:p>
        </w:tc>
        <w:tc>
          <w:tcPr>
            <w:tcW w:type="dxa" w:w="3456"/>
            <w:vAlign w:val="top"/>
          </w:tcPr>
          <w:p>
            <w:r>
              <w:rPr>
                <w:sz w:val="13"/>
              </w:rPr>
              <w:t>No banco Control Plane.</w:t>
            </w:r>
          </w:p>
        </w:tc>
      </w:tr>
      <w:tr>
        <w:trPr>
          <w:cantSplit/>
          <w:cantSplit/>
        </w:trPr>
        <w:tc>
          <w:tcPr>
            <w:tcW w:type="dxa" w:w="1800"/>
            <w:vAlign w:val="top"/>
          </w:tcPr>
          <w:p>
            <w:r>
              <w:rPr>
                <w:sz w:val="13"/>
              </w:rPr>
              <w:t>cms/control</w:t>
            </w:r>
          </w:p>
        </w:tc>
        <w:tc>
          <w:tcPr>
            <w:tcW w:type="dxa" w:w="5688"/>
            <w:vAlign w:val="top"/>
          </w:tcPr>
          <w:p>
            <w:r>
              <w:rPr>
                <w:sz w:val="13"/>
              </w:rPr>
              <w:t>page, page_version, block, media, menu, redirect, campaign, form</w:t>
            </w:r>
          </w:p>
        </w:tc>
        <w:tc>
          <w:tcPr>
            <w:tcW w:type="dxa" w:w="3456"/>
            <w:vAlign w:val="top"/>
          </w:tcPr>
          <w:p>
            <w:r>
              <w:rPr>
                <w:sz w:val="13"/>
              </w:rPr>
              <w:t>Site institucional no Control Plane.</w:t>
            </w:r>
          </w:p>
        </w:tc>
      </w:tr>
      <w:tr>
        <w:trPr>
          <w:cantSplit/>
          <w:cantSplit/>
        </w:trPr>
        <w:tc>
          <w:tcPr>
            <w:tcW w:type="dxa" w:w="1800"/>
            <w:vAlign w:val="top"/>
          </w:tcPr>
          <w:p>
            <w:r>
              <w:rPr>
                <w:sz w:val="13"/>
              </w:rPr>
              <w:t>ops/control</w:t>
            </w:r>
          </w:p>
        </w:tc>
        <w:tc>
          <w:tcPr>
            <w:tcW w:type="dxa" w:w="5688"/>
            <w:vAlign w:val="top"/>
          </w:tcPr>
          <w:p>
            <w:r>
              <w:rPr>
                <w:sz w:val="13"/>
              </w:rPr>
              <w:t>job, job_run, incident, service_health, maintenance, backup_status, release, artifact, deployment, approval, migration</w:t>
            </w:r>
          </w:p>
        </w:tc>
        <w:tc>
          <w:tcPr>
            <w:tcW w:type="dxa" w:w="3456"/>
            <w:vAlign w:val="top"/>
          </w:tcPr>
          <w:p>
            <w:r>
              <w:rPr>
                <w:sz w:val="13"/>
              </w:rPr>
              <w:t>Operação e releases.</w:t>
            </w:r>
          </w:p>
        </w:tc>
      </w:tr>
    </w:tbl>
    <w:p/>
    <w:p>
      <w:pPr>
        <w:pStyle w:val="Heading2"/>
      </w:pPr>
      <w:r>
        <w:t>32.19 Convenções de banco obrigatórias</w:t>
      </w:r>
    </w:p>
    <w:p>
      <w:pPr>
        <w:pStyle w:val="ListBullet"/>
      </w:pPr>
      <w:r>
        <w:rPr>
          <w:b w:val="0"/>
        </w:rPr>
        <w:t>IDs internos: UUIDv7; identificadores oficiais preservados como strings, sem assumir formato numérico.</w:t>
      </w:r>
    </w:p>
    <w:p>
      <w:pPr>
        <w:pStyle w:val="ListBullet"/>
      </w:pPr>
      <w:r>
        <w:rPr>
          <w:b w:val="0"/>
        </w:rPr>
        <w:t>Timestamps UTC (`timestamptz`); UI converte para timezone do usuário/município.</w:t>
      </w:r>
    </w:p>
    <w:p>
      <w:pPr>
        <w:pStyle w:val="ListBullet"/>
      </w:pPr>
      <w:r>
        <w:rPr>
          <w:b w:val="0"/>
        </w:rPr>
        <w:t>Dinheiro: `numeric`/centavos; nunca float.</w:t>
      </w:r>
    </w:p>
    <w:p>
      <w:pPr>
        <w:pStyle w:val="ListBullet"/>
      </w:pPr>
      <w:r>
        <w:rPr>
          <w:b w:val="0"/>
        </w:rPr>
        <w:t>Geometria fonte em SRID original + versão normalizada 4326 quando necessário; cálculos de área/distância usam projeção/geography apropriada e registram método.</w:t>
      </w:r>
    </w:p>
    <w:p>
      <w:pPr>
        <w:pStyle w:val="ListBullet"/>
      </w:pPr>
      <w:r>
        <w:rPr>
          <w:b w:val="0"/>
        </w:rPr>
        <w:t>Tabelas privadas carregam `tenant_id`; RLS obrigatória em domínios de cliente e prefeitura/condomínio.</w:t>
      </w:r>
    </w:p>
    <w:p>
      <w:pPr>
        <w:pStyle w:val="ListBullet"/>
      </w:pPr>
      <w:r>
        <w:rPr>
          <w:b w:val="0"/>
        </w:rPr>
        <w:t>`valid_from/valid_to` descrevem mundo real; `recorded_at/superseded_at` descrevem o conhecimento do sistema.</w:t>
      </w:r>
    </w:p>
    <w:p>
      <w:pPr>
        <w:pStyle w:val="ListBullet"/>
      </w:pPr>
      <w:r>
        <w:rPr>
          <w:b w:val="0"/>
        </w:rPr>
        <w:t>Nenhum generic soft-delete em fonte oficial; usar estados e versionamento. Dados de cliente seguem retention/LGPD.</w:t>
      </w:r>
    </w:p>
    <w:p>
      <w:pPr>
        <w:pStyle w:val="ListBullet"/>
      </w:pPr>
      <w:r>
        <w:rPr>
          <w:b w:val="0"/>
        </w:rPr>
        <w:t>JSONB somente para atributos realmente variáveis; campos usados em regra, filtro ou join devem ser colunas tipadas.</w:t>
      </w:r>
    </w:p>
    <w:p>
      <w:pPr>
        <w:pStyle w:val="ListBullet"/>
      </w:pPr>
      <w:r>
        <w:rPr>
          <w:b w:val="0"/>
        </w:rPr>
        <w:t>Índices GIST/SP-GiST/BTREE/GIN conforme consulta; todo endpoint de mapa deve ter bbox/query plan testado.</w:t>
      </w:r>
    </w:p>
    <w:p>
      <w:pPr>
        <w:pStyle w:val="Heading2"/>
      </w:pPr>
      <w:r>
        <w:t>32.20 Contratos de API definitivos</w:t>
      </w:r>
    </w:p>
    <w:p>
      <w:r>
        <w:rPr>
          <w:b w:val="0"/>
        </w:rPr>
        <w:t>Padrão externo: `/api/v1`. GraphQL atende composição do app/compatibilidade funcional do Imóvel 360; REST atende uploads, webhooks, jobs, exports e integrações; MVT atende mapas; SSE/WebSocket informa jobs longos.</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3168"/>
            <w:vAlign w:val="center"/>
          </w:tcPr>
          <w:p>
            <w:r>
              <w:rPr>
                <w:b/>
                <w:sz w:val="15"/>
              </w:rPr>
              <w:t>Superfície</w:t>
            </w:r>
          </w:p>
        </w:tc>
        <w:tc>
          <w:tcPr>
            <w:tcW w:type="dxa" w:w="7200"/>
            <w:vAlign w:val="center"/>
          </w:tcPr>
          <w:p>
            <w:r>
              <w:rPr>
                <w:b/>
                <w:sz w:val="15"/>
              </w:rPr>
              <w:t>Exemplos</w:t>
            </w:r>
          </w:p>
        </w:tc>
      </w:tr>
      <w:tr>
        <w:trPr>
          <w:cantSplit/>
          <w:cantSplit/>
        </w:trPr>
        <w:tc>
          <w:tcPr>
            <w:tcW w:type="dxa" w:w="3168"/>
            <w:vAlign w:val="top"/>
          </w:tcPr>
          <w:p>
            <w:r>
              <w:rPr>
                <w:sz w:val="15"/>
              </w:rPr>
              <w:t>GraphQL `/graphql`</w:t>
            </w:r>
          </w:p>
        </w:tc>
        <w:tc>
          <w:tcPr>
            <w:tcW w:type="dxa" w:w="7200"/>
            <w:vAlign w:val="top"/>
          </w:tcPr>
          <w:p>
            <w:r>
              <w:rPr>
                <w:sz w:val="15"/>
              </w:rPr>
              <w:t>property, development, explorer, market, CRM, coverage, findings, entitlements.</w:t>
            </w:r>
          </w:p>
        </w:tc>
      </w:tr>
      <w:tr>
        <w:trPr>
          <w:cantSplit/>
          <w:cantSplit/>
        </w:trPr>
        <w:tc>
          <w:tcPr>
            <w:tcW w:type="dxa" w:w="3168"/>
            <w:vAlign w:val="top"/>
          </w:tcPr>
          <w:p>
            <w:r>
              <w:rPr>
                <w:sz w:val="15"/>
              </w:rPr>
              <w:t>REST `/api/v1/parcel/*`</w:t>
            </w:r>
          </w:p>
        </w:tc>
        <w:tc>
          <w:tcPr>
            <w:tcW w:type="dxa" w:w="7200"/>
            <w:vAlign w:val="top"/>
          </w:tcPr>
          <w:p>
            <w:r>
              <w:rPr>
                <w:sz w:val="15"/>
              </w:rPr>
              <w:t>resolve, intersections, nearby, analysis.</w:t>
            </w:r>
          </w:p>
        </w:tc>
      </w:tr>
      <w:tr>
        <w:trPr>
          <w:cantSplit/>
          <w:cantSplit/>
        </w:trPr>
        <w:tc>
          <w:tcPr>
            <w:tcW w:type="dxa" w:w="3168"/>
            <w:vAlign w:val="top"/>
          </w:tcPr>
          <w:p>
            <w:r>
              <w:rPr>
                <w:sz w:val="15"/>
              </w:rPr>
              <w:t>REST `/api/v1/legal/*`</w:t>
            </w:r>
          </w:p>
        </w:tc>
        <w:tc>
          <w:tcPr>
            <w:tcW w:type="dxa" w:w="7200"/>
            <w:vAlign w:val="top"/>
          </w:tcPr>
          <w:p>
            <w:r>
              <w:rPr>
                <w:sz w:val="15"/>
              </w:rPr>
              <w:t>search, rules/effective, evidence.</w:t>
            </w:r>
          </w:p>
        </w:tc>
      </w:tr>
      <w:tr>
        <w:trPr>
          <w:cantSplit/>
          <w:cantSplit/>
        </w:trPr>
        <w:tc>
          <w:tcPr>
            <w:tcW w:type="dxa" w:w="3168"/>
            <w:vAlign w:val="top"/>
          </w:tcPr>
          <w:p>
            <w:r>
              <w:rPr>
                <w:sz w:val="15"/>
              </w:rPr>
              <w:t>REST `/api/v1/rural/*`</w:t>
            </w:r>
          </w:p>
        </w:tc>
        <w:tc>
          <w:tcPr>
            <w:tcW w:type="dxa" w:w="7200"/>
            <w:vAlign w:val="top"/>
          </w:tcPr>
          <w:p>
            <w:r>
              <w:rPr>
                <w:sz w:val="15"/>
              </w:rPr>
              <w:t>search, registry records, overlaps, monitoring.</w:t>
            </w:r>
          </w:p>
        </w:tc>
      </w:tr>
      <w:tr>
        <w:trPr>
          <w:cantSplit/>
          <w:cantSplit/>
        </w:trPr>
        <w:tc>
          <w:tcPr>
            <w:tcW w:type="dxa" w:w="3168"/>
            <w:vAlign w:val="top"/>
          </w:tcPr>
          <w:p>
            <w:r>
              <w:rPr>
                <w:sz w:val="15"/>
              </w:rPr>
              <w:t>REST `/api/v1/condos/*`</w:t>
            </w:r>
          </w:p>
        </w:tc>
        <w:tc>
          <w:tcPr>
            <w:tcW w:type="dxa" w:w="7200"/>
            <w:vAlign w:val="top"/>
          </w:tcPr>
          <w:p>
            <w:r>
              <w:rPr>
                <w:sz w:val="15"/>
              </w:rPr>
              <w:t>documents, rules, assemblies, chat sessions.</w:t>
            </w:r>
          </w:p>
        </w:tc>
      </w:tr>
      <w:tr>
        <w:trPr>
          <w:cantSplit/>
          <w:cantSplit/>
        </w:trPr>
        <w:tc>
          <w:tcPr>
            <w:tcW w:type="dxa" w:w="3168"/>
            <w:vAlign w:val="top"/>
          </w:tcPr>
          <w:p>
            <w:r>
              <w:rPr>
                <w:sz w:val="15"/>
              </w:rPr>
              <w:t>REST `/api/v1/solar/*`</w:t>
            </w:r>
          </w:p>
        </w:tc>
        <w:tc>
          <w:tcPr>
            <w:tcW w:type="dxa" w:w="7200"/>
            <w:vAlign w:val="top"/>
          </w:tcPr>
          <w:p>
            <w:r>
              <w:rPr>
                <w:sz w:val="15"/>
              </w:rPr>
              <w:t>site, scenario, simulate, report.</w:t>
            </w:r>
          </w:p>
        </w:tc>
      </w:tr>
      <w:tr>
        <w:trPr>
          <w:cantSplit/>
          <w:cantSplit/>
        </w:trPr>
        <w:tc>
          <w:tcPr>
            <w:tcW w:type="dxa" w:w="3168"/>
            <w:vAlign w:val="top"/>
          </w:tcPr>
          <w:p>
            <w:r>
              <w:rPr>
                <w:sz w:val="15"/>
              </w:rPr>
              <w:t>REST `/api/v1/aitec/*`</w:t>
            </w:r>
          </w:p>
        </w:tc>
        <w:tc>
          <w:tcPr>
            <w:tcW w:type="dxa" w:w="7200"/>
            <w:vAlign w:val="top"/>
          </w:tcPr>
          <w:p>
            <w:r>
              <w:rPr>
                <w:sz w:val="15"/>
              </w:rPr>
              <w:t>projects, constraints, generate, scenarios, exports.</w:t>
            </w:r>
          </w:p>
        </w:tc>
      </w:tr>
      <w:tr>
        <w:trPr>
          <w:cantSplit/>
          <w:cantSplit/>
        </w:trPr>
        <w:tc>
          <w:tcPr>
            <w:tcW w:type="dxa" w:w="3168"/>
            <w:vAlign w:val="top"/>
          </w:tcPr>
          <w:p>
            <w:r>
              <w:rPr>
                <w:sz w:val="15"/>
              </w:rPr>
              <w:t>REST `/api/v1/municipality/*`</w:t>
            </w:r>
          </w:p>
        </w:tc>
        <w:tc>
          <w:tcPr>
            <w:tcW w:type="dxa" w:w="7200"/>
            <w:vAlign w:val="top"/>
          </w:tcPr>
          <w:p>
            <w:r>
              <w:rPr>
                <w:sz w:val="15"/>
              </w:rPr>
              <w:t>documents, CTM, publications, SINTER jobs.</w:t>
            </w:r>
          </w:p>
        </w:tc>
      </w:tr>
      <w:tr>
        <w:trPr>
          <w:cantSplit/>
          <w:cantSplit/>
        </w:trPr>
        <w:tc>
          <w:tcPr>
            <w:tcW w:type="dxa" w:w="3168"/>
            <w:vAlign w:val="top"/>
          </w:tcPr>
          <w:p>
            <w:r>
              <w:rPr>
                <w:sz w:val="15"/>
              </w:rPr>
              <w:t>REST `/webhooks/mercadopago`</w:t>
            </w:r>
          </w:p>
        </w:tc>
        <w:tc>
          <w:tcPr>
            <w:tcW w:type="dxa" w:w="7200"/>
            <w:vAlign w:val="top"/>
          </w:tcPr>
          <w:p>
            <w:r>
              <w:rPr>
                <w:sz w:val="15"/>
              </w:rPr>
              <w:t>inbox idempotente e validação de origem.</w:t>
            </w:r>
          </w:p>
        </w:tc>
      </w:tr>
      <w:tr>
        <w:trPr>
          <w:cantSplit/>
          <w:cantSplit/>
        </w:trPr>
        <w:tc>
          <w:tcPr>
            <w:tcW w:type="dxa" w:w="3168"/>
            <w:vAlign w:val="top"/>
          </w:tcPr>
          <w:p>
            <w:r>
              <w:rPr>
                <w:sz w:val="15"/>
              </w:rPr>
              <w:t>MVT `/tiles/{layer}/{z}/{x}/{y}.pbf`</w:t>
            </w:r>
          </w:p>
        </w:tc>
        <w:tc>
          <w:tcPr>
            <w:tcW w:type="dxa" w:w="7200"/>
            <w:vAlign w:val="top"/>
          </w:tcPr>
          <w:p>
            <w:r>
              <w:rPr>
                <w:sz w:val="15"/>
              </w:rPr>
              <w:t>views seguras do Martin/PostGIS.</w:t>
            </w:r>
          </w:p>
        </w:tc>
      </w:tr>
      <w:tr>
        <w:trPr>
          <w:cantSplit/>
          <w:cantSplit/>
        </w:trPr>
        <w:tc>
          <w:tcPr>
            <w:tcW w:type="dxa" w:w="3168"/>
            <w:vAlign w:val="top"/>
          </w:tcPr>
          <w:p>
            <w:r>
              <w:rPr>
                <w:sz w:val="15"/>
              </w:rPr>
              <w:t>SSE `/events/jobs/{id}`</w:t>
            </w:r>
          </w:p>
        </w:tc>
        <w:tc>
          <w:tcPr>
            <w:tcW w:type="dxa" w:w="7200"/>
            <w:vAlign w:val="top"/>
          </w:tcPr>
          <w:p>
            <w:r>
              <w:rPr>
                <w:sz w:val="15"/>
              </w:rPr>
              <w:t>progress, warnings, completed/failed.</w:t>
            </w:r>
          </w:p>
        </w:tc>
      </w:tr>
      <w:tr>
        <w:trPr>
          <w:cantSplit/>
          <w:cantSplit/>
        </w:trPr>
        <w:tc>
          <w:tcPr>
            <w:tcW w:type="dxa" w:w="3168"/>
            <w:vAlign w:val="top"/>
          </w:tcPr>
          <w:p>
            <w:r>
              <w:rPr>
                <w:sz w:val="15"/>
              </w:rPr>
              <w:t>Admin `/admin/api/v1/*`</w:t>
            </w:r>
          </w:p>
        </w:tc>
        <w:tc>
          <w:tcPr>
            <w:tcW w:type="dxa" w:w="7200"/>
            <w:vAlign w:val="top"/>
          </w:tcPr>
          <w:p>
            <w:r>
              <w:rPr>
                <w:sz w:val="15"/>
              </w:rPr>
              <w:t>tenants, billing, CMS, releases, jobs, audit.</w:t>
            </w:r>
          </w:p>
        </w:tc>
      </w:tr>
    </w:tbl>
    <w:p/>
    <w:p>
      <w:pPr>
        <w:pStyle w:val="ListBullet"/>
      </w:pPr>
      <w:r>
        <w:rPr>
          <w:b w:val="0"/>
        </w:rPr>
        <w:t>OpenAPI gerado para REST; schema GraphQL versionado e contract tests.</w:t>
      </w:r>
    </w:p>
    <w:p>
      <w:pPr>
        <w:pStyle w:val="ListBullet"/>
      </w:pPr>
      <w:r>
        <w:rPr>
          <w:b w:val="0"/>
        </w:rPr>
        <w:t>Idempotency-Key em comandos financeiros, geração pesada e integrações que possam repetir.</w:t>
      </w:r>
    </w:p>
    <w:p>
      <w:pPr>
        <w:pStyle w:val="ListBullet"/>
      </w:pPr>
      <w:r>
        <w:rPr>
          <w:b w:val="0"/>
        </w:rPr>
        <w:t>request_id/trace_id em toda resposta.</w:t>
      </w:r>
    </w:p>
    <w:p>
      <w:pPr>
        <w:pStyle w:val="ListBullet"/>
      </w:pPr>
      <w:r>
        <w:rPr>
          <w:b w:val="0"/>
        </w:rPr>
        <w:t>Paginação cursor-based em listas grandes.</w:t>
      </w:r>
    </w:p>
    <w:p>
      <w:pPr>
        <w:pStyle w:val="ListBullet"/>
      </w:pPr>
      <w:r>
        <w:rPr>
          <w:b w:val="0"/>
        </w:rPr>
        <w:t>Erros padronizados: code, message, fields, trace_id e retryable.</w:t>
      </w:r>
    </w:p>
    <w:p>
      <w:pPr>
        <w:pStyle w:val="Heading2"/>
      </w:pPr>
      <w:r>
        <w:t>32.21 Estrutura de pastas do monorepo</w:t>
      </w:r>
    </w:p>
    <w:p>
      <w:r>
        <w:rPr>
          <w:rFonts w:ascii="Consolas" w:hAnsi="Consolas"/>
          <w:sz w:val="14"/>
        </w:rPr>
        <w:t>/lotediretor</w:t>
        <w:br/>
        <w:t xml:space="preserve">  /apps</w:t>
        <w:br/>
        <w:t xml:space="preserve">    /site-web              # Next.js marketing + login shell</w:t>
        <w:br/>
        <w:t xml:space="preserve">    /client-web            # Next.js app do cliente</w:t>
        <w:br/>
        <w:t xml:space="preserve">    /admin-web             # Next.js Control Plane</w:t>
        <w:br/>
        <w:t xml:space="preserve">  /services</w:t>
        <w:br/>
        <w:t xml:space="preserve">    /platform-api          # NestJS modular monolith / Data Plane</w:t>
        <w:br/>
        <w:t xml:space="preserve">      /src/modules/{iam,core,geo,legal,planning,cadastre,registry,market,property360,rural,condo,municipality,analysis,report}</w:t>
        <w:br/>
        <w:t xml:space="preserve">    /control-api           # admin, catalog, billing, fiscal, cms, support, ops, release</w:t>
        <w:br/>
        <w:t xml:space="preserve">    /ai-gateway            # routing, policy, model adapters, tools, traces</w:t>
        <w:br/>
        <w:t xml:space="preserve">    /solar-engine          # API de simulação / orchestration</w:t>
        <w:br/>
        <w:t xml:space="preserve">    /aitec-engine          # API de projetos, constraints, scenarios</w:t>
        <w:br/>
        <w:t xml:space="preserve">  /workers</w:t>
        <w:br/>
        <w:t xml:space="preserve">    /data-pipelines        # Dagster assets/schedules/sensors</w:t>
        <w:br/>
        <w:t xml:space="preserve">    /geo                   # GDAL, raster, topology, tile prep</w:t>
        <w:br/>
        <w:t xml:space="preserve">    /documents             # parsing, OCR, legal extraction</w:t>
        <w:br/>
        <w:t xml:space="preserve">    /ai-ingest             # chunking, embeddings, indexing, eval prep</w:t>
        <w:br/>
        <w:t xml:space="preserve">    /reports               # PDF/DOCX/exports</w:t>
        <w:br/>
        <w:t xml:space="preserve">    /solar                 # physics/financial jobs</w:t>
        <w:br/>
        <w:t xml:space="preserve">    /aitec                 # solvers CPU/GPU, CAD/BIM, optimization</w:t>
        <w:br/>
        <w:t xml:space="preserve">  /packages</w:t>
        <w:br/>
        <w:t xml:space="preserve">    /ui                    # componentes compartilhados</w:t>
        <w:br/>
        <w:t xml:space="preserve">    /design-tokens         # verde/branco/preto + typography + spacing</w:t>
        <w:br/>
        <w:t xml:space="preserve">    /contracts             # OpenAPI/GraphQL/generated types</w:t>
        <w:br/>
        <w:t xml:space="preserve">    /auth                  # OIDC/BFF helpers</w:t>
        <w:br/>
        <w:t xml:space="preserve">    /maps                  # MapLibre/deck.gl components</w:t>
        <w:br/>
        <w:t xml:space="preserve">    /domain-types          # enums/value objects compartilhados</w:t>
        <w:br/>
        <w:t xml:space="preserve">    /observability         # tracing/logging helpers</w:t>
        <w:br/>
        <w:t xml:space="preserve">    /testing               # fixtures/factories/contract tests</w:t>
        <w:br/>
        <w:t xml:space="preserve">  /db</w:t>
        <w:br/>
        <w:t xml:space="preserve">    /platform/migrations</w:t>
        <w:br/>
        <w:t xml:space="preserve">    /control/migrations</w:t>
        <w:br/>
        <w:t xml:space="preserve">    /views                 # MVT e leitura segura</w:t>
        <w:br/>
        <w:t xml:space="preserve">    /seeds                 # somente demo/teste</w:t>
        <w:br/>
        <w:t xml:space="preserve">  /data</w:t>
        <w:br/>
        <w:t xml:space="preserve">    /dbt                   # modelos analíticos</w:t>
        <w:br/>
        <w:t xml:space="preserve">    /schemas               # contracts de datasets externos</w:t>
        <w:br/>
        <w:t xml:space="preserve">  /infra</w:t>
        <w:br/>
        <w:t xml:space="preserve">    /docker                # compose local</w:t>
        <w:br/>
        <w:t xml:space="preserve">    /terraform             # IaC</w:t>
        <w:br/>
        <w:t xml:space="preserve">    /kubernetes            # produção quando necessário</w:t>
        <w:br/>
        <w:t xml:space="preserve">    /caddy                 # edge config</w:t>
        <w:br/>
        <w:t xml:space="preserve">    /observability         # Prom/Grafana/Loki/OTel</w:t>
        <w:br/>
        <w:t xml:space="preserve">    /runbooks              # incident/DR/release</w:t>
        <w:br/>
        <w:t xml:space="preserve">  /docs</w:t>
        <w:br/>
        <w:t xml:space="preserve">    /architecture</w:t>
        <w:br/>
        <w:t xml:space="preserve">    /adr                   # Architecture Decision Records</w:t>
        <w:br/>
        <w:t xml:space="preserve">    /sources</w:t>
        <w:br/>
        <w:t xml:space="preserve">    /api</w:t>
        <w:br/>
        <w:t xml:space="preserve">    /security</w:t>
        <w:br/>
        <w:t xml:space="preserve">  /tests</w:t>
        <w:br/>
        <w:t xml:space="preserve">    /e2e</w:t>
        <w:br/>
        <w:t xml:space="preserve">    /integration</w:t>
        <w:br/>
        <w:t xml:space="preserve">    /security</w:t>
        <w:br/>
        <w:t xml:space="preserve">    /ai-evals</w:t>
        <w:br/>
      </w:r>
    </w:p>
    <w:p>
      <w:pPr>
        <w:pStyle w:val="Heading2"/>
      </w:pPr>
      <w:r>
        <w:t>32.22 Regras de dependência do código</w:t>
      </w:r>
    </w:p>
    <w:p>
      <w:pPr>
        <w:pStyle w:val="ListBullet"/>
      </w:pPr>
      <w:r>
        <w:rPr>
          <w:b w:val="0"/>
        </w:rPr>
        <w:t>Frontend depende de contracts/packages, nunca acessa banco diretamente.</w:t>
      </w:r>
    </w:p>
    <w:p>
      <w:pPr>
        <w:pStyle w:val="ListBullet"/>
      </w:pPr>
      <w:r>
        <w:rPr>
          <w:b w:val="0"/>
        </w:rPr>
        <w:t>Platform modules não importam Control Plane internals; entitlements chegam por interface/cache/event.</w:t>
      </w:r>
    </w:p>
    <w:p>
      <w:pPr>
        <w:pStyle w:val="ListBullet"/>
      </w:pPr>
      <w:r>
        <w:rPr>
          <w:b w:val="0"/>
        </w:rPr>
        <w:t>Workers escrevem por repositórios/commands definidos; jobs de ingestão não alteram regra CONFIRMED sem workflow.</w:t>
      </w:r>
    </w:p>
    <w:p>
      <w:pPr>
        <w:pStyle w:val="ListBullet"/>
      </w:pPr>
      <w:r>
        <w:rPr>
          <w:b w:val="0"/>
        </w:rPr>
        <w:t>A.I TEC e Solar recebem constraints e snapshots por API/contract; não consultam tabelas jurídicas ad hoc.</w:t>
      </w:r>
    </w:p>
    <w:p>
      <w:pPr>
        <w:pStyle w:val="ListBullet"/>
      </w:pPr>
      <w:r>
        <w:rPr>
          <w:b w:val="0"/>
        </w:rPr>
        <w:t>Admin não possui caminho direto para “editar SQL” ou modificar produção fora de migrations/jobs registrados.</w:t>
      </w:r>
    </w:p>
    <w:p>
      <w:pPr>
        <w:pStyle w:val="ListBullet"/>
      </w:pPr>
      <w:r>
        <w:rPr>
          <w:b w:val="0"/>
        </w:rPr>
        <w:t>Código de source connector fica isolado por provider/fonte e possui fixture de resposta + schema contract + health check.</w:t>
      </w:r>
    </w:p>
    <w:p>
      <w:pPr>
        <w:pStyle w:val="Heading2"/>
      </w:pPr>
      <w:r>
        <w:t>32.23 Segurança multi-tenant</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304"/>
            <w:vAlign w:val="center"/>
          </w:tcPr>
          <w:p>
            <w:r>
              <w:rPr>
                <w:b/>
                <w:sz w:val="15"/>
              </w:rPr>
              <w:t>Camada</w:t>
            </w:r>
          </w:p>
        </w:tc>
        <w:tc>
          <w:tcPr>
            <w:tcW w:type="dxa" w:w="8064"/>
            <w:vAlign w:val="center"/>
          </w:tcPr>
          <w:p>
            <w:r>
              <w:rPr>
                <w:b/>
                <w:sz w:val="15"/>
              </w:rPr>
              <w:t>Controle</w:t>
            </w:r>
          </w:p>
        </w:tc>
      </w:tr>
      <w:tr>
        <w:trPr>
          <w:cantSplit/>
          <w:cantSplit/>
        </w:trPr>
        <w:tc>
          <w:tcPr>
            <w:tcW w:type="dxa" w:w="2304"/>
            <w:vAlign w:val="top"/>
          </w:tcPr>
          <w:p>
            <w:r>
              <w:rPr>
                <w:sz w:val="15"/>
              </w:rPr>
              <w:t>IAM</w:t>
            </w:r>
          </w:p>
        </w:tc>
        <w:tc>
          <w:tcPr>
            <w:tcW w:type="dxa" w:w="8064"/>
            <w:vAlign w:val="top"/>
          </w:tcPr>
          <w:p>
            <w:r>
              <w:rPr>
                <w:sz w:val="15"/>
              </w:rPr>
              <w:t>Keycloak OIDC, MFA, clientes separados e claims mínimos.</w:t>
            </w:r>
          </w:p>
        </w:tc>
      </w:tr>
      <w:tr>
        <w:trPr>
          <w:cantSplit/>
          <w:cantSplit/>
        </w:trPr>
        <w:tc>
          <w:tcPr>
            <w:tcW w:type="dxa" w:w="2304"/>
            <w:vAlign w:val="top"/>
          </w:tcPr>
          <w:p>
            <w:r>
              <w:rPr>
                <w:sz w:val="15"/>
              </w:rPr>
              <w:t>Aplicação</w:t>
            </w:r>
          </w:p>
        </w:tc>
        <w:tc>
          <w:tcPr>
            <w:tcW w:type="dxa" w:w="8064"/>
            <w:vAlign w:val="top"/>
          </w:tcPr>
          <w:p>
            <w:r>
              <w:rPr>
                <w:sz w:val="15"/>
              </w:rPr>
              <w:t>tenant context resolvido no servidor; autorização por policy, não por parâmetro confiado do browser.</w:t>
            </w:r>
          </w:p>
        </w:tc>
      </w:tr>
      <w:tr>
        <w:trPr>
          <w:cantSplit/>
          <w:cantSplit/>
        </w:trPr>
        <w:tc>
          <w:tcPr>
            <w:tcW w:type="dxa" w:w="2304"/>
            <w:vAlign w:val="top"/>
          </w:tcPr>
          <w:p>
            <w:r>
              <w:rPr>
                <w:sz w:val="15"/>
              </w:rPr>
              <w:t>PostgreSQL</w:t>
            </w:r>
          </w:p>
        </w:tc>
        <w:tc>
          <w:tcPr>
            <w:tcW w:type="dxa" w:w="8064"/>
            <w:vAlign w:val="top"/>
          </w:tcPr>
          <w:p>
            <w:r>
              <w:rPr>
                <w:sz w:val="15"/>
              </w:rPr>
              <w:t>RLS nas tabelas privadas + service roles separados.</w:t>
            </w:r>
          </w:p>
        </w:tc>
      </w:tr>
      <w:tr>
        <w:trPr>
          <w:cantSplit/>
          <w:cantSplit/>
        </w:trPr>
        <w:tc>
          <w:tcPr>
            <w:tcW w:type="dxa" w:w="2304"/>
            <w:vAlign w:val="top"/>
          </w:tcPr>
          <w:p>
            <w:r>
              <w:rPr>
                <w:sz w:val="15"/>
              </w:rPr>
              <w:t>OpenSearch</w:t>
            </w:r>
          </w:p>
        </w:tc>
        <w:tc>
          <w:tcPr>
            <w:tcW w:type="dxa" w:w="8064"/>
            <w:vAlign w:val="top"/>
          </w:tcPr>
          <w:p>
            <w:r>
              <w:rPr>
                <w:sz w:val="15"/>
              </w:rPr>
              <w:t>tenant/ACL filter aplicado antes do retrieval.</w:t>
            </w:r>
          </w:p>
        </w:tc>
      </w:tr>
      <w:tr>
        <w:trPr>
          <w:cantSplit/>
          <w:cantSplit/>
        </w:trPr>
        <w:tc>
          <w:tcPr>
            <w:tcW w:type="dxa" w:w="2304"/>
            <w:vAlign w:val="top"/>
          </w:tcPr>
          <w:p>
            <w:r>
              <w:rPr>
                <w:sz w:val="15"/>
              </w:rPr>
              <w:t>Object Storage</w:t>
            </w:r>
          </w:p>
        </w:tc>
        <w:tc>
          <w:tcPr>
            <w:tcW w:type="dxa" w:w="8064"/>
            <w:vAlign w:val="top"/>
          </w:tcPr>
          <w:p>
            <w:r>
              <w:rPr>
                <w:sz w:val="15"/>
              </w:rPr>
              <w:t>prefix/bucket policy + signed URLs curtas; sem bucket público para documentos privados.</w:t>
            </w:r>
          </w:p>
        </w:tc>
      </w:tr>
      <w:tr>
        <w:trPr>
          <w:cantSplit/>
          <w:cantSplit/>
        </w:trPr>
        <w:tc>
          <w:tcPr>
            <w:tcW w:type="dxa" w:w="2304"/>
            <w:vAlign w:val="top"/>
          </w:tcPr>
          <w:p>
            <w:r>
              <w:rPr>
                <w:sz w:val="15"/>
              </w:rPr>
              <w:t>Jobs</w:t>
            </w:r>
          </w:p>
        </w:tc>
        <w:tc>
          <w:tcPr>
            <w:tcW w:type="dxa" w:w="8064"/>
            <w:vAlign w:val="top"/>
          </w:tcPr>
          <w:p>
            <w:r>
              <w:rPr>
                <w:sz w:val="15"/>
              </w:rPr>
              <w:t>tenant_id/source_scope no payload e validação antes da execução.</w:t>
            </w:r>
          </w:p>
        </w:tc>
      </w:tr>
      <w:tr>
        <w:trPr>
          <w:cantSplit/>
          <w:cantSplit/>
        </w:trPr>
        <w:tc>
          <w:tcPr>
            <w:tcW w:type="dxa" w:w="2304"/>
            <w:vAlign w:val="top"/>
          </w:tcPr>
          <w:p>
            <w:r>
              <w:rPr>
                <w:sz w:val="15"/>
              </w:rPr>
              <w:t>AI</w:t>
            </w:r>
          </w:p>
        </w:tc>
        <w:tc>
          <w:tcPr>
            <w:tcW w:type="dxa" w:w="8064"/>
            <w:vAlign w:val="top"/>
          </w:tcPr>
          <w:p>
            <w:r>
              <w:rPr>
                <w:sz w:val="15"/>
              </w:rPr>
              <w:t>tool allowlist + retrieval ACL + redaction + traces protegidos.</w:t>
            </w:r>
          </w:p>
        </w:tc>
      </w:tr>
      <w:tr>
        <w:trPr>
          <w:cantSplit/>
          <w:cantSplit/>
        </w:trPr>
        <w:tc>
          <w:tcPr>
            <w:tcW w:type="dxa" w:w="2304"/>
            <w:vAlign w:val="top"/>
          </w:tcPr>
          <w:p>
            <w:r>
              <w:rPr>
                <w:sz w:val="15"/>
              </w:rPr>
              <w:t>Admin support</w:t>
            </w:r>
          </w:p>
        </w:tc>
        <w:tc>
          <w:tcPr>
            <w:tcW w:type="dxa" w:w="8064"/>
            <w:vAlign w:val="top"/>
          </w:tcPr>
          <w:p>
            <w:r>
              <w:rPr>
                <w:sz w:val="15"/>
              </w:rPr>
              <w:t>support session temporária/read-only por padrão; reason e audit.</w:t>
            </w:r>
          </w:p>
        </w:tc>
      </w:tr>
    </w:tbl>
    <w:p/>
    <w:p>
      <w:pPr>
        <w:pStyle w:val="Heading2"/>
      </w:pPr>
      <w:r>
        <w:t>32.24 Autenticação, autorização e entitlements</w:t>
      </w:r>
    </w:p>
    <w:p>
      <w:r>
        <w:rPr>
          <w:b w:val="0"/>
        </w:rPr>
        <w:t>Autenticação responde “quem é”; autorização responde “o que pode fazer”; entitlement responde “o que o contrato permite”; feature flag responde “se a implementação está liberada”. São quatro conceitos diferentes e não devem ser misturados.</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304"/>
            <w:vAlign w:val="center"/>
          </w:tcPr>
          <w:p>
            <w:r>
              <w:rPr>
                <w:b/>
                <w:sz w:val="15"/>
              </w:rPr>
              <w:t>Conceito</w:t>
            </w:r>
          </w:p>
        </w:tc>
        <w:tc>
          <w:tcPr>
            <w:tcW w:type="dxa" w:w="8064"/>
            <w:vAlign w:val="center"/>
          </w:tcPr>
          <w:p>
            <w:r>
              <w:rPr>
                <w:b/>
                <w:sz w:val="15"/>
              </w:rPr>
              <w:t>Exemplo</w:t>
            </w:r>
          </w:p>
        </w:tc>
      </w:tr>
      <w:tr>
        <w:trPr>
          <w:cantSplit/>
          <w:cantSplit/>
        </w:trPr>
        <w:tc>
          <w:tcPr>
            <w:tcW w:type="dxa" w:w="2304"/>
            <w:vAlign w:val="top"/>
          </w:tcPr>
          <w:p>
            <w:r>
              <w:rPr>
                <w:sz w:val="15"/>
              </w:rPr>
              <w:t>Authentication</w:t>
            </w:r>
          </w:p>
        </w:tc>
        <w:tc>
          <w:tcPr>
            <w:tcW w:type="dxa" w:w="8064"/>
            <w:vAlign w:val="top"/>
          </w:tcPr>
          <w:p>
            <w:r>
              <w:rPr>
                <w:sz w:val="15"/>
              </w:rPr>
              <w:t>Usuário autenticado via Keycloak.</w:t>
            </w:r>
          </w:p>
        </w:tc>
      </w:tr>
      <w:tr>
        <w:trPr>
          <w:cantSplit/>
          <w:cantSplit/>
        </w:trPr>
        <w:tc>
          <w:tcPr>
            <w:tcW w:type="dxa" w:w="2304"/>
            <w:vAlign w:val="top"/>
          </w:tcPr>
          <w:p>
            <w:r>
              <w:rPr>
                <w:sz w:val="15"/>
              </w:rPr>
              <w:t>RBAC/ABAC</w:t>
            </w:r>
          </w:p>
        </w:tc>
        <w:tc>
          <w:tcPr>
            <w:tcW w:type="dxa" w:w="8064"/>
            <w:vAlign w:val="top"/>
          </w:tcPr>
          <w:p>
            <w:r>
              <w:rPr>
                <w:sz w:val="15"/>
              </w:rPr>
              <w:t>Usuário é editor do condomínio X, mas leitor do condomínio Y.</w:t>
            </w:r>
          </w:p>
        </w:tc>
      </w:tr>
      <w:tr>
        <w:trPr>
          <w:cantSplit/>
          <w:cantSplit/>
        </w:trPr>
        <w:tc>
          <w:tcPr>
            <w:tcW w:type="dxa" w:w="2304"/>
            <w:vAlign w:val="top"/>
          </w:tcPr>
          <w:p>
            <w:r>
              <w:rPr>
                <w:sz w:val="15"/>
              </w:rPr>
              <w:t>Entitlement</w:t>
            </w:r>
          </w:p>
        </w:tc>
        <w:tc>
          <w:tcPr>
            <w:tcW w:type="dxa" w:w="8064"/>
            <w:vAlign w:val="top"/>
          </w:tcPr>
          <w:p>
            <w:r>
              <w:rPr>
                <w:sz w:val="15"/>
              </w:rPr>
              <w:t>Tenant contratou A.I TEC com 20 gerações/mês.</w:t>
            </w:r>
          </w:p>
        </w:tc>
      </w:tr>
      <w:tr>
        <w:trPr>
          <w:cantSplit/>
          <w:cantSplit/>
        </w:trPr>
        <w:tc>
          <w:tcPr>
            <w:tcW w:type="dxa" w:w="2304"/>
            <w:vAlign w:val="top"/>
          </w:tcPr>
          <w:p>
            <w:r>
              <w:rPr>
                <w:sz w:val="15"/>
              </w:rPr>
              <w:t>Quota</w:t>
            </w:r>
          </w:p>
        </w:tc>
        <w:tc>
          <w:tcPr>
            <w:tcW w:type="dxa" w:w="8064"/>
            <w:vAlign w:val="top"/>
          </w:tcPr>
          <w:p>
            <w:r>
              <w:rPr>
                <w:sz w:val="15"/>
              </w:rPr>
              <w:t>Restam 7 gerações no ciclo.</w:t>
            </w:r>
          </w:p>
        </w:tc>
      </w:tr>
      <w:tr>
        <w:trPr>
          <w:cantSplit/>
          <w:cantSplit/>
        </w:trPr>
        <w:tc>
          <w:tcPr>
            <w:tcW w:type="dxa" w:w="2304"/>
            <w:vAlign w:val="top"/>
          </w:tcPr>
          <w:p>
            <w:r>
              <w:rPr>
                <w:sz w:val="15"/>
              </w:rPr>
              <w:t>Feature flag</w:t>
            </w:r>
          </w:p>
        </w:tc>
        <w:tc>
          <w:tcPr>
            <w:tcW w:type="dxa" w:w="8064"/>
            <w:vAlign w:val="top"/>
          </w:tcPr>
          <w:p>
            <w:r>
              <w:rPr>
                <w:sz w:val="15"/>
              </w:rPr>
              <w:t>Novo solver de garagem está em canary para 10% dos tenants.</w:t>
            </w:r>
          </w:p>
        </w:tc>
      </w:tr>
      <w:tr>
        <w:trPr>
          <w:cantSplit/>
          <w:cantSplit/>
        </w:trPr>
        <w:tc>
          <w:tcPr>
            <w:tcW w:type="dxa" w:w="2304"/>
            <w:vAlign w:val="top"/>
          </w:tcPr>
          <w:p>
            <w:r>
              <w:rPr>
                <w:sz w:val="15"/>
              </w:rPr>
              <w:t>Kill switch</w:t>
            </w:r>
          </w:p>
        </w:tc>
        <w:tc>
          <w:tcPr>
            <w:tcW w:type="dxa" w:w="8064"/>
            <w:vAlign w:val="top"/>
          </w:tcPr>
          <w:p>
            <w:r>
              <w:rPr>
                <w:sz w:val="15"/>
              </w:rPr>
              <w:t>Desligar export IFC por incidente sem alterar contrato.</w:t>
            </w:r>
          </w:p>
        </w:tc>
      </w:tr>
    </w:tbl>
    <w:p/>
    <w:p>
      <w:pPr>
        <w:pStyle w:val="Heading2"/>
      </w:pPr>
      <w:r>
        <w:t>32.25 IA: três assistentes, uma plataforma</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blHeader w:val="true"/>
          <w:cantSplit/>
        </w:trPr>
        <w:tc>
          <w:tcPr>
            <w:tcW w:type="dxa" w:w="2232"/>
            <w:vAlign w:val="center"/>
          </w:tcPr>
          <w:p>
            <w:r>
              <w:rPr>
                <w:b/>
                <w:sz w:val="14"/>
              </w:rPr>
              <w:t>Assistente</w:t>
            </w:r>
          </w:p>
        </w:tc>
        <w:tc>
          <w:tcPr>
            <w:tcW w:type="dxa" w:w="2736"/>
            <w:vAlign w:val="center"/>
          </w:tcPr>
          <w:p>
            <w:r>
              <w:rPr>
                <w:b/>
                <w:sz w:val="14"/>
              </w:rPr>
              <w:t>Entrada</w:t>
            </w:r>
          </w:p>
        </w:tc>
        <w:tc>
          <w:tcPr>
            <w:tcW w:type="dxa" w:w="3888"/>
            <w:vAlign w:val="center"/>
          </w:tcPr>
          <w:p>
            <w:r>
              <w:rPr>
                <w:b/>
                <w:sz w:val="14"/>
              </w:rPr>
              <w:t>Grounding/ferramentas</w:t>
            </w:r>
          </w:p>
        </w:tc>
        <w:tc>
          <w:tcPr>
            <w:tcW w:type="dxa" w:w="1800"/>
            <w:vAlign w:val="center"/>
          </w:tcPr>
          <w:p>
            <w:r>
              <w:rPr>
                <w:b/>
                <w:sz w:val="14"/>
              </w:rPr>
              <w:t>Saída</w:t>
            </w:r>
          </w:p>
        </w:tc>
      </w:tr>
      <w:tr>
        <w:trPr>
          <w:cantSplit/>
          <w:cantSplit/>
        </w:trPr>
        <w:tc>
          <w:tcPr>
            <w:tcW w:type="dxa" w:w="2232"/>
            <w:vAlign w:val="top"/>
          </w:tcPr>
          <w:p>
            <w:r>
              <w:rPr>
                <w:sz w:val="14"/>
              </w:rPr>
              <w:t>A.I Cidades</w:t>
            </w:r>
          </w:p>
        </w:tc>
        <w:tc>
          <w:tcPr>
            <w:tcW w:type="dxa" w:w="2736"/>
            <w:vAlign w:val="top"/>
          </w:tcPr>
          <w:p>
            <w:r>
              <w:rPr>
                <w:sz w:val="14"/>
              </w:rPr>
              <w:t>pergunta + imóvel + data-base</w:t>
            </w:r>
          </w:p>
        </w:tc>
        <w:tc>
          <w:tcPr>
            <w:tcW w:type="dxa" w:w="3888"/>
            <w:vAlign w:val="top"/>
          </w:tcPr>
          <w:p>
            <w:r>
              <w:rPr>
                <w:sz w:val="14"/>
              </w:rPr>
              <w:t>legal RAG, rule engine, PostGIS, cadastro/infra</w:t>
            </w:r>
          </w:p>
        </w:tc>
        <w:tc>
          <w:tcPr>
            <w:tcW w:type="dxa" w:w="1800"/>
            <w:vAlign w:val="top"/>
          </w:tcPr>
          <w:p>
            <w:r>
              <w:rPr>
                <w:sz w:val="14"/>
              </w:rPr>
              <w:t>status + explicação + artigos/mapas + conditions.</w:t>
            </w:r>
          </w:p>
        </w:tc>
      </w:tr>
      <w:tr>
        <w:trPr>
          <w:cantSplit/>
          <w:cantSplit/>
        </w:trPr>
        <w:tc>
          <w:tcPr>
            <w:tcW w:type="dxa" w:w="2232"/>
            <w:vAlign w:val="top"/>
          </w:tcPr>
          <w:p>
            <w:r>
              <w:rPr>
                <w:sz w:val="14"/>
              </w:rPr>
              <w:t>A.I Condomínio</w:t>
            </w:r>
          </w:p>
        </w:tc>
        <w:tc>
          <w:tcPr>
            <w:tcW w:type="dxa" w:w="2736"/>
            <w:vAlign w:val="top"/>
          </w:tcPr>
          <w:p>
            <w:r>
              <w:rPr>
                <w:sz w:val="14"/>
              </w:rPr>
              <w:t>pergunta + condomínio + data</w:t>
            </w:r>
          </w:p>
        </w:tc>
        <w:tc>
          <w:tcPr>
            <w:tcW w:type="dxa" w:w="3888"/>
            <w:vAlign w:val="top"/>
          </w:tcPr>
          <w:p>
            <w:r>
              <w:rPr>
                <w:sz w:val="14"/>
              </w:rPr>
              <w:t>RAG privado, hierarquia de documentos, regras externas</w:t>
            </w:r>
          </w:p>
        </w:tc>
        <w:tc>
          <w:tcPr>
            <w:tcW w:type="dxa" w:w="1800"/>
            <w:vAlign w:val="top"/>
          </w:tcPr>
          <w:p>
            <w:r>
              <w:rPr>
                <w:sz w:val="14"/>
              </w:rPr>
              <w:t>permitido/proibido/condicionado/não determinado + cláusulas.</w:t>
            </w:r>
          </w:p>
        </w:tc>
      </w:tr>
      <w:tr>
        <w:trPr>
          <w:cantSplit/>
          <w:cantSplit/>
        </w:trPr>
        <w:tc>
          <w:tcPr>
            <w:tcW w:type="dxa" w:w="2232"/>
            <w:vAlign w:val="top"/>
          </w:tcPr>
          <w:p>
            <w:r>
              <w:rPr>
                <w:sz w:val="14"/>
              </w:rPr>
              <w:t>A.I TEC</w:t>
            </w:r>
          </w:p>
        </w:tc>
        <w:tc>
          <w:tcPr>
            <w:tcW w:type="dxa" w:w="2736"/>
            <w:vAlign w:val="top"/>
          </w:tcPr>
          <w:p>
            <w:r>
              <w:rPr>
                <w:sz w:val="14"/>
              </w:rPr>
              <w:t>briefing + terreno + constraints</w:t>
            </w:r>
          </w:p>
        </w:tc>
        <w:tc>
          <w:tcPr>
            <w:tcW w:type="dxa" w:w="3888"/>
            <w:vAlign w:val="top"/>
          </w:tcPr>
          <w:p>
            <w:r>
              <w:rPr>
                <w:sz w:val="14"/>
              </w:rPr>
              <w:t>solvers, CAD/BIM, mercado, solar, regras verificadas</w:t>
            </w:r>
          </w:p>
        </w:tc>
        <w:tc>
          <w:tcPr>
            <w:tcW w:type="dxa" w:w="1800"/>
            <w:vAlign w:val="top"/>
          </w:tcPr>
          <w:p>
            <w:r>
              <w:rPr>
                <w:sz w:val="14"/>
              </w:rPr>
              <w:t>cenários geométricos, Pareto, métricas e exports.</w:t>
            </w:r>
          </w:p>
        </w:tc>
      </w:tr>
    </w:tbl>
    <w:p/>
    <w:p>
      <w:pPr>
        <w:pStyle w:val="ListBullet"/>
      </w:pPr>
      <w:r>
        <w:rPr>
          <w:b w:val="0"/>
        </w:rPr>
        <w:t>Novo PDF de cidade/condomínio = ingestão/indexação/versionamento, não fine-tuning do conhecimento jurídico.</w:t>
      </w:r>
    </w:p>
    <w:p>
      <w:pPr>
        <w:pStyle w:val="ListBullet"/>
      </w:pPr>
      <w:r>
        <w:rPr>
          <w:b w:val="0"/>
        </w:rPr>
        <w:t>RAG híbrido = BM25 + vector + metadata + rerank + temporal graph.</w:t>
      </w:r>
    </w:p>
    <w:p>
      <w:pPr>
        <w:pStyle w:val="ListBullet"/>
      </w:pPr>
      <w:r>
        <w:rPr>
          <w:b w:val="0"/>
        </w:rPr>
        <w:t>Prompt injection: documentos recuperados são dados, nunca instruções com autoridade de tool call.</w:t>
      </w:r>
    </w:p>
    <w:p>
      <w:pPr>
        <w:pStyle w:val="ListBullet"/>
      </w:pPr>
      <w:r>
        <w:rPr>
          <w:b w:val="0"/>
        </w:rPr>
        <w:t>Trace guarda modelo, prompt, fontes, tools, rule_set, custos e hash.</w:t>
      </w:r>
    </w:p>
    <w:p>
      <w:pPr>
        <w:pStyle w:val="ListBullet"/>
      </w:pPr>
      <w:r>
        <w:rPr>
          <w:b w:val="0"/>
        </w:rPr>
        <w:t>Evals bloqueiam mudança de modelo/prompt/retrieval se houver regressão.</w:t>
      </w:r>
    </w:p>
    <w:p>
      <w:pPr>
        <w:pStyle w:val="Heading2"/>
      </w:pPr>
      <w:r>
        <w:t>32.26 Pipeline documental jurídico e condominial</w:t>
      </w:r>
    </w:p>
    <w:p>
      <w:r>
        <w:rPr>
          <w:b w:val="0"/>
        </w:rPr>
        <w:t>1. Upload/descoberta → quarantine + malware/MIME/size.</w:t>
      </w:r>
    </w:p>
    <w:p>
      <w:r>
        <w:rPr>
          <w:b w:val="0"/>
        </w:rPr>
        <w:t>2. Object Storage original + SHA-256.</w:t>
      </w:r>
    </w:p>
    <w:p>
      <w:r>
        <w:rPr>
          <w:b w:val="0"/>
        </w:rPr>
        <w:t>3. Extração nativa; OCR somente fallback/scan.</w:t>
      </w:r>
    </w:p>
    <w:p>
      <w:r>
        <w:rPr>
          <w:b w:val="0"/>
        </w:rPr>
        <w:t>4. Layout parser: páginas, artigos/cláusulas, tabelas, anexos e mapas.</w:t>
      </w:r>
    </w:p>
    <w:p>
      <w:r>
        <w:rPr>
          <w:b w:val="0"/>
        </w:rPr>
        <w:t>5. Classificação + metadados: município/condomínio, tipo, número, datas, autoridade.</w:t>
      </w:r>
    </w:p>
    <w:p>
      <w:r>
        <w:rPr>
          <w:b w:val="0"/>
        </w:rPr>
        <w:t>6. Chunk semântico por estrutura; page_number/bbox/parent/ACL/validity preservados.</w:t>
      </w:r>
    </w:p>
    <w:p>
      <w:r>
        <w:rPr>
          <w:b w:val="0"/>
        </w:rPr>
        <w:t>7. Busca lexical + vector index.</w:t>
      </w:r>
    </w:p>
    <w:p>
      <w:r>
        <w:rPr>
          <w:b w:val="0"/>
        </w:rPr>
        <w:t>8. Extração de regras candidatas.</w:t>
      </w:r>
    </w:p>
    <w:p>
      <w:r>
        <w:rPr>
          <w:b w:val="0"/>
        </w:rPr>
        <w:t>9. Revisão/homologação quando crítica.</w:t>
      </w:r>
    </w:p>
    <w:p>
      <w:r>
        <w:rPr>
          <w:b w:val="0"/>
        </w:rPr>
        <w:t>10. Publicação de snapshot + invalidation events + golden tests.</w:t>
      </w:r>
    </w:p>
    <w:p>
      <w:pPr>
        <w:pStyle w:val="Heading2"/>
      </w:pPr>
      <w:r>
        <w:t>32.27 A.I TEC e Solar: pipeline de compute</w:t>
      </w:r>
    </w:p>
    <w:p>
      <w:r>
        <w:rPr>
          <w:b w:val="0"/>
        </w:rPr>
        <w:t>1. Job criado no API com snapshot de inputs e idempotency key.</w:t>
      </w:r>
    </w:p>
    <w:p>
      <w:r>
        <w:rPr>
          <w:b w:val="0"/>
        </w:rPr>
        <w:t>2. Evento NATS entra em fila adequada ao tipo/recursos.</w:t>
      </w:r>
    </w:p>
    <w:p>
      <w:r>
        <w:rPr>
          <w:b w:val="0"/>
        </w:rPr>
        <w:t>3. Worker carrega terreno, constraints e versão dos catálogos/equipamentos.</w:t>
      </w:r>
    </w:p>
    <w:p>
      <w:r>
        <w:rPr>
          <w:b w:val="0"/>
        </w:rPr>
        <w:t>4. Solver/simulação executa com seed e solver_version persistidos.</w:t>
      </w:r>
    </w:p>
    <w:p>
      <w:r>
        <w:rPr>
          <w:b w:val="0"/>
        </w:rPr>
        <w:t>5. Outputs brutos e métricas são persistidos antes de ranking/síntese IA.</w:t>
      </w:r>
    </w:p>
    <w:p>
      <w:r>
        <w:rPr>
          <w:b w:val="0"/>
        </w:rPr>
        <w:t>6. Validator elimina cenário que viola constraint dura.</w:t>
      </w:r>
    </w:p>
    <w:p>
      <w:r>
        <w:rPr>
          <w:b w:val="0"/>
        </w:rPr>
        <w:t>7. Resultado final publica evento e UI recebe progresso via SSE.</w:t>
      </w:r>
    </w:p>
    <w:p>
      <w:r>
        <w:rPr>
          <w:b w:val="0"/>
        </w:rPr>
        <w:t>8. Export é job separado e reproduzível.</w:t>
      </w:r>
    </w:p>
    <w:p>
      <w:pPr>
        <w:pStyle w:val="Heading2"/>
      </w:pPr>
      <w:r>
        <w:t>32.28 Billing SaaS e Mercado Pago</w:t>
      </w:r>
    </w:p>
    <w:p>
      <w:r>
        <w:rPr>
          <w:b w:val="0"/>
        </w:rPr>
        <w:t>Mercado Pago é provider, nunca source of truth de acesso. O ledger interno determina assinatura e métricas; webhooks são inbox idempotente; entitlement é derivado do contrato/assinatura válida.</w:t>
      </w:r>
    </w:p>
    <w:p>
      <w:pPr>
        <w:pStyle w:val="ListBullet"/>
      </w:pPr>
      <w:r>
        <w:rPr>
          <w:b w:val="0"/>
        </w:rPr>
        <w:t>`billing.plan_version` e `price` são imutáveis por versão; mudanças futuras usam nova versão.</w:t>
      </w:r>
    </w:p>
    <w:p>
      <w:pPr>
        <w:pStyle w:val="ListBullet"/>
      </w:pPr>
      <w:r>
        <w:rPr>
          <w:b w:val="0"/>
        </w:rPr>
        <w:t>Webhook: validar → persistir raw → dedupe → queue → consultar provider → transição idempotente.</w:t>
      </w:r>
    </w:p>
    <w:p>
      <w:pPr>
        <w:pStyle w:val="ListBullet"/>
      </w:pPr>
      <w:r>
        <w:rPr>
          <w:b w:val="0"/>
        </w:rPr>
        <w:t>PAST_DUE e tenant access são estados diferentes; grace period é regra de negócio.</w:t>
      </w:r>
    </w:p>
    <w:p>
      <w:pPr>
        <w:pStyle w:val="ListBullet"/>
      </w:pPr>
      <w:r>
        <w:rPr>
          <w:b w:val="0"/>
        </w:rPr>
        <w:t>Refund/chargeback são lançamentos, nunca deleção do pagamento original.</w:t>
      </w:r>
    </w:p>
    <w:p>
      <w:pPr>
        <w:pStyle w:val="ListBullet"/>
      </w:pPr>
      <w:r>
        <w:rPr>
          <w:b w:val="0"/>
        </w:rPr>
        <w:t>Conciliação diária compara ledger com relatórios do Mercado Pago.</w:t>
      </w:r>
    </w:p>
    <w:p>
      <w:pPr>
        <w:pStyle w:val="ListBullet"/>
      </w:pPr>
      <w:r>
        <w:rPr>
          <w:b w:val="0"/>
        </w:rPr>
        <w:t>Prefeituras/enterprise podem usar contrato/fatura sem recorrência de cartão, mantendo o mesmo entitlement service.</w:t>
      </w:r>
    </w:p>
    <w:p>
      <w:pPr>
        <w:pStyle w:val="Heading2"/>
      </w:pPr>
      <w:r>
        <w:t>32.29 CMS e site sem deploy</w:t>
      </w:r>
    </w:p>
    <w:p>
      <w:pPr>
        <w:pStyle w:val="ListBullet"/>
      </w:pPr>
      <w:r>
        <w:rPr>
          <w:b w:val="0"/>
        </w:rPr>
        <w:t>Páginas compostas por blocos registrados; sem JS/HTML arbitrário.</w:t>
      </w:r>
    </w:p>
    <w:p>
      <w:pPr>
        <w:pStyle w:val="ListBullet"/>
      </w:pPr>
      <w:r>
        <w:rPr>
          <w:b w:val="0"/>
        </w:rPr>
        <w:t>Mídia com upload, crop, alt, WebP/AVIF, tags, lineage e substituição.</w:t>
      </w:r>
    </w:p>
    <w:p>
      <w:pPr>
        <w:pStyle w:val="ListBullet"/>
      </w:pPr>
      <w:r>
        <w:rPr>
          <w:b w:val="0"/>
        </w:rPr>
        <w:t>Draft → review → preview → schedule/publish → rollback.</w:t>
      </w:r>
    </w:p>
    <w:p>
      <w:pPr>
        <w:pStyle w:val="ListBullet"/>
      </w:pPr>
      <w:r>
        <w:rPr>
          <w:b w:val="0"/>
        </w:rPr>
        <w:t>Menus, redirects, canonical, sitemap, OpenGraph e structured data.</w:t>
      </w:r>
    </w:p>
    <w:p>
      <w:pPr>
        <w:pStyle w:val="ListBullet"/>
      </w:pPr>
      <w:r>
        <w:rPr>
          <w:b w:val="0"/>
        </w:rPr>
        <w:t>Planos/pricing puxam do catálogo comercial; não duplicar preço manual no CMS.</w:t>
      </w:r>
    </w:p>
    <w:p>
      <w:pPr>
        <w:pStyle w:val="ListBullet"/>
      </w:pPr>
      <w:r>
        <w:rPr>
          <w:b w:val="0"/>
        </w:rPr>
        <w:t>Formulários usam schemas e destinos registrados; proteção anti-spam e consentimento.</w:t>
      </w:r>
    </w:p>
    <w:p>
      <w:pPr>
        <w:pStyle w:val="Heading2"/>
      </w:pPr>
      <w:r>
        <w:t>32.30 Observabilidade e SLO</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304"/>
            <w:vAlign w:val="center"/>
          </w:tcPr>
          <w:p>
            <w:r>
              <w:rPr>
                <w:b/>
                <w:sz w:val="15"/>
              </w:rPr>
              <w:t>Sinal</w:t>
            </w:r>
          </w:p>
        </w:tc>
        <w:tc>
          <w:tcPr>
            <w:tcW w:type="dxa" w:w="8064"/>
            <w:vAlign w:val="center"/>
          </w:tcPr>
          <w:p>
            <w:r>
              <w:rPr>
                <w:b/>
                <w:sz w:val="15"/>
              </w:rPr>
              <w:t>Obrigatório</w:t>
            </w:r>
          </w:p>
        </w:tc>
      </w:tr>
      <w:tr>
        <w:trPr>
          <w:cantSplit/>
          <w:cantSplit/>
        </w:trPr>
        <w:tc>
          <w:tcPr>
            <w:tcW w:type="dxa" w:w="2304"/>
            <w:vAlign w:val="top"/>
          </w:tcPr>
          <w:p>
            <w:r>
              <w:rPr>
                <w:sz w:val="15"/>
              </w:rPr>
              <w:t>Traces</w:t>
            </w:r>
          </w:p>
        </w:tc>
        <w:tc>
          <w:tcPr>
            <w:tcW w:type="dxa" w:w="8064"/>
            <w:vAlign w:val="top"/>
          </w:tcPr>
          <w:p>
            <w:r>
              <w:rPr>
                <w:sz w:val="15"/>
              </w:rPr>
              <w:t>request_id, tenant, service, DB/search/tool spans, external providers.</w:t>
            </w:r>
          </w:p>
        </w:tc>
      </w:tr>
      <w:tr>
        <w:trPr>
          <w:cantSplit/>
          <w:cantSplit/>
        </w:trPr>
        <w:tc>
          <w:tcPr>
            <w:tcW w:type="dxa" w:w="2304"/>
            <w:vAlign w:val="top"/>
          </w:tcPr>
          <w:p>
            <w:r>
              <w:rPr>
                <w:sz w:val="15"/>
              </w:rPr>
              <w:t>Metrics</w:t>
            </w:r>
          </w:p>
        </w:tc>
        <w:tc>
          <w:tcPr>
            <w:tcW w:type="dxa" w:w="8064"/>
            <w:vAlign w:val="top"/>
          </w:tcPr>
          <w:p>
            <w:r>
              <w:rPr>
                <w:sz w:val="15"/>
              </w:rPr>
              <w:t>RPS, errors, P95/P99, queue age, DB locks, cache hit, MVT latency, AI cost.</w:t>
            </w:r>
          </w:p>
        </w:tc>
      </w:tr>
      <w:tr>
        <w:trPr>
          <w:cantSplit/>
          <w:cantSplit/>
        </w:trPr>
        <w:tc>
          <w:tcPr>
            <w:tcW w:type="dxa" w:w="2304"/>
            <w:vAlign w:val="top"/>
          </w:tcPr>
          <w:p>
            <w:r>
              <w:rPr>
                <w:sz w:val="15"/>
              </w:rPr>
              <w:t>Logs</w:t>
            </w:r>
          </w:p>
        </w:tc>
        <w:tc>
          <w:tcPr>
            <w:tcW w:type="dxa" w:w="8064"/>
            <w:vAlign w:val="top"/>
          </w:tcPr>
          <w:p>
            <w:r>
              <w:rPr>
                <w:sz w:val="15"/>
              </w:rPr>
              <w:t>JSON estruturado, sem segredos/PII desnecessária, correlation id.</w:t>
            </w:r>
          </w:p>
        </w:tc>
      </w:tr>
      <w:tr>
        <w:trPr>
          <w:cantSplit/>
          <w:cantSplit/>
        </w:trPr>
        <w:tc>
          <w:tcPr>
            <w:tcW w:type="dxa" w:w="2304"/>
            <w:vAlign w:val="top"/>
          </w:tcPr>
          <w:p>
            <w:r>
              <w:rPr>
                <w:sz w:val="15"/>
              </w:rPr>
              <w:t>Data freshness</w:t>
            </w:r>
          </w:p>
        </w:tc>
        <w:tc>
          <w:tcPr>
            <w:tcW w:type="dxa" w:w="8064"/>
            <w:vAlign w:val="top"/>
          </w:tcPr>
          <w:p>
            <w:r>
              <w:rPr>
                <w:sz w:val="15"/>
              </w:rPr>
              <w:t>last_source_update, last_ingestion, SLA breach e schema drift.</w:t>
            </w:r>
          </w:p>
        </w:tc>
      </w:tr>
      <w:tr>
        <w:trPr>
          <w:cantSplit/>
          <w:cantSplit/>
        </w:trPr>
        <w:tc>
          <w:tcPr>
            <w:tcW w:type="dxa" w:w="2304"/>
            <w:vAlign w:val="top"/>
          </w:tcPr>
          <w:p>
            <w:r>
              <w:rPr>
                <w:sz w:val="15"/>
              </w:rPr>
              <w:t>Business</w:t>
            </w:r>
          </w:p>
        </w:tc>
        <w:tc>
          <w:tcPr>
            <w:tcW w:type="dxa" w:w="8064"/>
            <w:vAlign w:val="top"/>
          </w:tcPr>
          <w:p>
            <w:r>
              <w:rPr>
                <w:sz w:val="15"/>
              </w:rPr>
              <w:t>MRR/NRR/churn, payment success, activation, module adoption.</w:t>
            </w:r>
          </w:p>
        </w:tc>
      </w:tr>
      <w:tr>
        <w:trPr>
          <w:cantSplit/>
          <w:cantSplit/>
        </w:trPr>
        <w:tc>
          <w:tcPr>
            <w:tcW w:type="dxa" w:w="2304"/>
            <w:vAlign w:val="top"/>
          </w:tcPr>
          <w:p>
            <w:r>
              <w:rPr>
                <w:sz w:val="15"/>
              </w:rPr>
              <w:t>AI</w:t>
            </w:r>
          </w:p>
        </w:tc>
        <w:tc>
          <w:tcPr>
            <w:tcW w:type="dxa" w:w="8064"/>
            <w:vAlign w:val="top"/>
          </w:tcPr>
          <w:p>
            <w:r>
              <w:rPr>
                <w:sz w:val="15"/>
              </w:rPr>
              <w:t>retrieval recall, citation correctness, abstention, cost, safety.</w:t>
            </w:r>
          </w:p>
        </w:tc>
      </w:tr>
    </w:tbl>
    <w:p/>
    <w:p>
      <w:pPr>
        <w:pStyle w:val="Heading2"/>
      </w:pPr>
      <w:r>
        <w:t>32.31 Ambientes e deploy</w:t>
      </w:r>
    </w:p>
    <w:p>
      <w:r>
        <w:drawing>
          <wp:inline xmlns:a="http://schemas.openxmlformats.org/drawingml/2006/main" xmlns:pic="http://schemas.openxmlformats.org/drawingml/2006/picture">
            <wp:extent cx="6172200" cy="3124044"/>
            <wp:docPr id="21" name="Picture 21" descr="Figura — Dev/staging/prod isolados e software promovido por CI/CD, nunca por upload arbitrário no Admin." title="Figura — Dev/staging/prod isolados e software promovido por CI/CD, nunca por upload arbitrário no Admin."/>
            <wp:cNvGraphicFramePr>
              <a:graphicFrameLocks noChangeAspect="1"/>
            </wp:cNvGraphicFramePr>
            <a:graphic>
              <a:graphicData uri="http://schemas.openxmlformats.org/drawingml/2006/picture">
                <pic:pic>
                  <pic:nvPicPr>
                    <pic:cNvPr id="0" name="deployment_v20.png"/>
                    <pic:cNvPicPr/>
                  </pic:nvPicPr>
                  <pic:blipFill>
                    <a:blip r:embed="rId31"/>
                    <a:stretch>
                      <a:fillRect/>
                    </a:stretch>
                  </pic:blipFill>
                  <pic:spPr>
                    <a:xfrm>
                      <a:off x="0" y="0"/>
                      <a:ext cx="6172200" cy="3124044"/>
                    </a:xfrm>
                    <a:prstGeom prst="rect"/>
                  </pic:spPr>
                </pic:pic>
              </a:graphicData>
            </a:graphic>
          </wp:inline>
        </w:drawing>
      </w:r>
    </w:p>
    <w:p>
      <w:pPr>
        <w:pStyle w:val="CaptionLD"/>
        <w:jc w:val="center"/>
      </w:pPr>
      <w:r>
        <w:t>Figura — Dev/staging/prod isolados e software promovido por CI/CD, nunca por upload arbitrário no Admin.</w:t>
      </w:r>
    </w:p>
    <w:p>
      <w:pPr>
        <w:pStyle w:val="ListBullet"/>
      </w:pPr>
      <w:r>
        <w:rPr>
          <w:b w:val="0"/>
        </w:rPr>
        <w:t>Local: Docker Compose reproduz arquitetura essencial e usa dados demo/sanitizados.</w:t>
      </w:r>
    </w:p>
    <w:p>
      <w:pPr>
        <w:pStyle w:val="ListBullet"/>
      </w:pPr>
      <w:r>
        <w:rPr>
          <w:b w:val="0"/>
        </w:rPr>
        <w:t>Dev/Staging/Prod têm bancos, buckets, Keycloak clients, Mercado Pago credentials e secrets separados.</w:t>
      </w:r>
    </w:p>
    <w:p>
      <w:pPr>
        <w:pStyle w:val="ListBullet"/>
      </w:pPr>
      <w:r>
        <w:rPr>
          <w:b w:val="0"/>
        </w:rPr>
        <w:t>Infra as Code via Terraform; containers imutáveis e registry privado.</w:t>
      </w:r>
    </w:p>
    <w:p>
      <w:pPr>
        <w:pStyle w:val="ListBullet"/>
      </w:pPr>
      <w:r>
        <w:rPr>
          <w:b w:val="0"/>
        </w:rPr>
        <w:t>Produção pode começar em VMs/containers gerenciados; Kubernetes entra quando autoscaling/HA justificar.</w:t>
      </w:r>
    </w:p>
    <w:p>
      <w:pPr>
        <w:pStyle w:val="ListBullet"/>
      </w:pPr>
      <w:r>
        <w:rPr>
          <w:b w:val="0"/>
        </w:rPr>
        <w:t>Deploy canary + health gates + migration checks + AI evals + rollback.</w:t>
      </w:r>
    </w:p>
    <w:p>
      <w:pPr>
        <w:pStyle w:val="ListBullet"/>
      </w:pPr>
      <w:r>
        <w:rPr>
          <w:b w:val="0"/>
        </w:rPr>
        <w:t>PostgreSQL: backups + PITR; restore test periódico é requisito, não apenas existência do backup.</w:t>
      </w:r>
    </w:p>
    <w:p>
      <w:pPr>
        <w:pStyle w:val="Heading2"/>
      </w:pPr>
      <w:r>
        <w:t>32.32 Estratégia de testes</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160"/>
            <w:vAlign w:val="center"/>
          </w:tcPr>
          <w:p>
            <w:r>
              <w:rPr>
                <w:b/>
                <w:sz w:val="15"/>
              </w:rPr>
              <w:t>Teste</w:t>
            </w:r>
          </w:p>
        </w:tc>
        <w:tc>
          <w:tcPr>
            <w:tcW w:type="dxa" w:w="8208"/>
            <w:vAlign w:val="center"/>
          </w:tcPr>
          <w:p>
            <w:r>
              <w:rPr>
                <w:b/>
                <w:sz w:val="15"/>
              </w:rPr>
              <w:t>Cobertura</w:t>
            </w:r>
          </w:p>
        </w:tc>
      </w:tr>
      <w:tr>
        <w:trPr>
          <w:cantSplit/>
          <w:cantSplit/>
        </w:trPr>
        <w:tc>
          <w:tcPr>
            <w:tcW w:type="dxa" w:w="2160"/>
            <w:vAlign w:val="top"/>
          </w:tcPr>
          <w:p>
            <w:r>
              <w:rPr>
                <w:sz w:val="15"/>
              </w:rPr>
              <w:t>Unit</w:t>
            </w:r>
          </w:p>
        </w:tc>
        <w:tc>
          <w:tcPr>
            <w:tcW w:type="dxa" w:w="8208"/>
            <w:vAlign w:val="top"/>
          </w:tcPr>
          <w:p>
            <w:r>
              <w:rPr>
                <w:sz w:val="15"/>
              </w:rPr>
              <w:t>regras puras, value objects, parsers, calculations, entitlement logic.</w:t>
            </w:r>
          </w:p>
        </w:tc>
      </w:tr>
      <w:tr>
        <w:trPr>
          <w:cantSplit/>
          <w:cantSplit/>
        </w:trPr>
        <w:tc>
          <w:tcPr>
            <w:tcW w:type="dxa" w:w="2160"/>
            <w:vAlign w:val="top"/>
          </w:tcPr>
          <w:p>
            <w:r>
              <w:rPr>
                <w:sz w:val="15"/>
              </w:rPr>
              <w:t>Integration</w:t>
            </w:r>
          </w:p>
        </w:tc>
        <w:tc>
          <w:tcPr>
            <w:tcW w:type="dxa" w:w="8208"/>
            <w:vAlign w:val="top"/>
          </w:tcPr>
          <w:p>
            <w:r>
              <w:rPr>
                <w:sz w:val="15"/>
              </w:rPr>
              <w:t>PostgreSQL/PostGIS, OpenSearch, NATS, Mercado Pago sandbox, object store.</w:t>
            </w:r>
          </w:p>
        </w:tc>
      </w:tr>
      <w:tr>
        <w:trPr>
          <w:cantSplit/>
          <w:cantSplit/>
        </w:trPr>
        <w:tc>
          <w:tcPr>
            <w:tcW w:type="dxa" w:w="2160"/>
            <w:vAlign w:val="top"/>
          </w:tcPr>
          <w:p>
            <w:r>
              <w:rPr>
                <w:sz w:val="15"/>
              </w:rPr>
              <w:t>Contract</w:t>
            </w:r>
          </w:p>
        </w:tc>
        <w:tc>
          <w:tcPr>
            <w:tcW w:type="dxa" w:w="8208"/>
            <w:vAlign w:val="top"/>
          </w:tcPr>
          <w:p>
            <w:r>
              <w:rPr>
                <w:sz w:val="15"/>
              </w:rPr>
              <w:t>conectores externos, OpenAPI, GraphQL schema, dataset schemas.</w:t>
            </w:r>
          </w:p>
        </w:tc>
      </w:tr>
      <w:tr>
        <w:trPr>
          <w:cantSplit/>
          <w:cantSplit/>
        </w:trPr>
        <w:tc>
          <w:tcPr>
            <w:tcW w:type="dxa" w:w="2160"/>
            <w:vAlign w:val="top"/>
          </w:tcPr>
          <w:p>
            <w:r>
              <w:rPr>
                <w:sz w:val="15"/>
              </w:rPr>
              <w:t>E2E</w:t>
            </w:r>
          </w:p>
        </w:tc>
        <w:tc>
          <w:tcPr>
            <w:tcW w:type="dxa" w:w="8208"/>
            <w:vAlign w:val="top"/>
          </w:tcPr>
          <w:p>
            <w:r>
              <w:rPr>
                <w:sz w:val="15"/>
              </w:rPr>
              <w:t>login → análise → relatório; billing → entitlement; upload condo → chat; A.I TEC job.</w:t>
            </w:r>
          </w:p>
        </w:tc>
      </w:tr>
      <w:tr>
        <w:trPr>
          <w:cantSplit/>
          <w:cantSplit/>
        </w:trPr>
        <w:tc>
          <w:tcPr>
            <w:tcW w:type="dxa" w:w="2160"/>
            <w:vAlign w:val="top"/>
          </w:tcPr>
          <w:p>
            <w:r>
              <w:rPr>
                <w:sz w:val="15"/>
              </w:rPr>
              <w:t>GIS golden</w:t>
            </w:r>
          </w:p>
        </w:tc>
        <w:tc>
          <w:tcPr>
            <w:tcW w:type="dxa" w:w="8208"/>
            <w:vAlign w:val="top"/>
          </w:tcPr>
          <w:p>
            <w:r>
              <w:rPr>
                <w:sz w:val="15"/>
              </w:rPr>
              <w:t>parcel resolve, intersection/area/distance e fixtures de municípios.</w:t>
            </w:r>
          </w:p>
        </w:tc>
      </w:tr>
      <w:tr>
        <w:trPr>
          <w:cantSplit/>
          <w:cantSplit/>
        </w:trPr>
        <w:tc>
          <w:tcPr>
            <w:tcW w:type="dxa" w:w="2160"/>
            <w:vAlign w:val="top"/>
          </w:tcPr>
          <w:p>
            <w:r>
              <w:rPr>
                <w:sz w:val="15"/>
              </w:rPr>
              <w:t>Legal golden</w:t>
            </w:r>
          </w:p>
        </w:tc>
        <w:tc>
          <w:tcPr>
            <w:tcW w:type="dxa" w:w="8208"/>
            <w:vAlign w:val="top"/>
          </w:tcPr>
          <w:p>
            <w:r>
              <w:rPr>
                <w:sz w:val="15"/>
              </w:rPr>
              <w:t>vigência, alteração/revogação, tabela/anexo e conflitos.</w:t>
            </w:r>
          </w:p>
        </w:tc>
      </w:tr>
      <w:tr>
        <w:trPr>
          <w:cantSplit/>
          <w:cantSplit/>
        </w:trPr>
        <w:tc>
          <w:tcPr>
            <w:tcW w:type="dxa" w:w="2160"/>
            <w:vAlign w:val="top"/>
          </w:tcPr>
          <w:p>
            <w:r>
              <w:rPr>
                <w:sz w:val="15"/>
              </w:rPr>
              <w:t>AI evals</w:t>
            </w:r>
          </w:p>
        </w:tc>
        <w:tc>
          <w:tcPr>
            <w:tcW w:type="dxa" w:w="8208"/>
            <w:vAlign w:val="top"/>
          </w:tcPr>
          <w:p>
            <w:r>
              <w:rPr>
                <w:sz w:val="15"/>
              </w:rPr>
              <w:t>retrieval, citations, abstention, tenant isolation, prompt injection.</w:t>
            </w:r>
          </w:p>
        </w:tc>
      </w:tr>
      <w:tr>
        <w:trPr>
          <w:cantSplit/>
          <w:cantSplit/>
        </w:trPr>
        <w:tc>
          <w:tcPr>
            <w:tcW w:type="dxa" w:w="2160"/>
            <w:vAlign w:val="top"/>
          </w:tcPr>
          <w:p>
            <w:r>
              <w:rPr>
                <w:sz w:val="15"/>
              </w:rPr>
              <w:t>Performance</w:t>
            </w:r>
          </w:p>
        </w:tc>
        <w:tc>
          <w:tcPr>
            <w:tcW w:type="dxa" w:w="8208"/>
            <w:vAlign w:val="top"/>
          </w:tcPr>
          <w:p>
            <w:r>
              <w:rPr>
                <w:sz w:val="15"/>
              </w:rPr>
              <w:t>MVT, bbox queries, bulk analysis, job concurrency, P95.</w:t>
            </w:r>
          </w:p>
        </w:tc>
      </w:tr>
      <w:tr>
        <w:trPr>
          <w:cantSplit/>
          <w:cantSplit/>
        </w:trPr>
        <w:tc>
          <w:tcPr>
            <w:tcW w:type="dxa" w:w="2160"/>
            <w:vAlign w:val="top"/>
          </w:tcPr>
          <w:p>
            <w:r>
              <w:rPr>
                <w:sz w:val="15"/>
              </w:rPr>
              <w:t>DR</w:t>
            </w:r>
          </w:p>
        </w:tc>
        <w:tc>
          <w:tcPr>
            <w:tcW w:type="dxa" w:w="8208"/>
            <w:vAlign w:val="top"/>
          </w:tcPr>
          <w:p>
            <w:r>
              <w:rPr>
                <w:sz w:val="15"/>
              </w:rPr>
              <w:t>restore DB/bucket, provider outage, queue replay e rollback.</w:t>
            </w:r>
          </w:p>
        </w:tc>
      </w:tr>
    </w:tbl>
    <w:p/>
    <w:p>
      <w:pPr>
        <w:pStyle w:val="Heading2"/>
      </w:pPr>
      <w:r>
        <w:t>32.33 Fluxos de negócio críticos</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304"/>
            <w:vAlign w:val="center"/>
          </w:tcPr>
          <w:p>
            <w:r>
              <w:rPr>
                <w:b/>
                <w:sz w:val="15"/>
              </w:rPr>
              <w:t>Fluxo</w:t>
            </w:r>
          </w:p>
        </w:tc>
        <w:tc>
          <w:tcPr>
            <w:tcW w:type="dxa" w:w="8064"/>
            <w:vAlign w:val="center"/>
          </w:tcPr>
          <w:p>
            <w:r>
              <w:rPr>
                <w:b/>
                <w:sz w:val="15"/>
              </w:rPr>
              <w:t>Estado mínimo / regra</w:t>
            </w:r>
          </w:p>
        </w:tc>
      </w:tr>
      <w:tr>
        <w:trPr>
          <w:cantSplit/>
          <w:cantSplit/>
        </w:trPr>
        <w:tc>
          <w:tcPr>
            <w:tcW w:type="dxa" w:w="2304"/>
            <w:vAlign w:val="top"/>
          </w:tcPr>
          <w:p>
            <w:r>
              <w:rPr>
                <w:sz w:val="15"/>
              </w:rPr>
              <w:t>Cadastro SaaS</w:t>
            </w:r>
          </w:p>
        </w:tc>
        <w:tc>
          <w:tcPr>
            <w:tcW w:type="dxa" w:w="8064"/>
            <w:vAlign w:val="top"/>
          </w:tcPr>
          <w:p>
            <w:r>
              <w:rPr>
                <w:sz w:val="15"/>
              </w:rPr>
              <w:t>lead/trial → tenant → verification → plan → entitlement → onboarding.</w:t>
            </w:r>
          </w:p>
        </w:tc>
      </w:tr>
      <w:tr>
        <w:trPr>
          <w:cantSplit/>
          <w:cantSplit/>
        </w:trPr>
        <w:tc>
          <w:tcPr>
            <w:tcW w:type="dxa" w:w="2304"/>
            <w:vAlign w:val="top"/>
          </w:tcPr>
          <w:p>
            <w:r>
              <w:rPr>
                <w:sz w:val="15"/>
              </w:rPr>
              <w:t>Assinatura</w:t>
            </w:r>
          </w:p>
        </w:tc>
        <w:tc>
          <w:tcPr>
            <w:tcW w:type="dxa" w:w="8064"/>
            <w:vAlign w:val="top"/>
          </w:tcPr>
          <w:p>
            <w:r>
              <w:rPr>
                <w:sz w:val="15"/>
              </w:rPr>
              <w:t>pending → active → past_due → grace/restricted → cancelled; provider e tenant access separados.</w:t>
            </w:r>
          </w:p>
        </w:tc>
      </w:tr>
      <w:tr>
        <w:trPr>
          <w:cantSplit/>
          <w:cantSplit/>
        </w:trPr>
        <w:tc>
          <w:tcPr>
            <w:tcW w:type="dxa" w:w="2304"/>
            <w:vAlign w:val="top"/>
          </w:tcPr>
          <w:p>
            <w:r>
              <w:rPr>
                <w:sz w:val="15"/>
              </w:rPr>
              <w:t>Análise territorial</w:t>
            </w:r>
          </w:p>
        </w:tc>
        <w:tc>
          <w:tcPr>
            <w:tcW w:type="dxa" w:w="8064"/>
            <w:vAlign w:val="top"/>
          </w:tcPr>
          <w:p>
            <w:r>
              <w:rPr>
                <w:sz w:val="15"/>
              </w:rPr>
              <w:t>queued → resolving → enriching → calculating → verified → completed/needs_review/failed.</w:t>
            </w:r>
          </w:p>
        </w:tc>
      </w:tr>
      <w:tr>
        <w:trPr>
          <w:cantSplit/>
          <w:cantSplit/>
        </w:trPr>
        <w:tc>
          <w:tcPr>
            <w:tcW w:type="dxa" w:w="2304"/>
            <w:vAlign w:val="top"/>
          </w:tcPr>
          <w:p>
            <w:r>
              <w:rPr>
                <w:sz w:val="15"/>
              </w:rPr>
              <w:t>Documento legal</w:t>
            </w:r>
          </w:p>
        </w:tc>
        <w:tc>
          <w:tcPr>
            <w:tcW w:type="dxa" w:w="8064"/>
            <w:vAlign w:val="top"/>
          </w:tcPr>
          <w:p>
            <w:r>
              <w:rPr>
                <w:sz w:val="15"/>
              </w:rPr>
              <w:t>draft/raw → parsed → review → homologated → published → superseded/revoked.</w:t>
            </w:r>
          </w:p>
        </w:tc>
      </w:tr>
      <w:tr>
        <w:trPr>
          <w:cantSplit/>
          <w:cantSplit/>
        </w:trPr>
        <w:tc>
          <w:tcPr>
            <w:tcW w:type="dxa" w:w="2304"/>
            <w:vAlign w:val="top"/>
          </w:tcPr>
          <w:p>
            <w:r>
              <w:rPr>
                <w:sz w:val="15"/>
              </w:rPr>
              <w:t>Fonte ETL</w:t>
            </w:r>
          </w:p>
        </w:tc>
        <w:tc>
          <w:tcPr>
            <w:tcW w:type="dxa" w:w="8064"/>
            <w:vAlign w:val="top"/>
          </w:tcPr>
          <w:p>
            <w:r>
              <w:rPr>
                <w:sz w:val="15"/>
              </w:rPr>
              <w:t>healthy/degraded/broken/manual + snapshot published only after QA.</w:t>
            </w:r>
          </w:p>
        </w:tc>
      </w:tr>
      <w:tr>
        <w:trPr>
          <w:cantSplit/>
          <w:cantSplit/>
        </w:trPr>
        <w:tc>
          <w:tcPr>
            <w:tcW w:type="dxa" w:w="2304"/>
            <w:vAlign w:val="top"/>
          </w:tcPr>
          <w:p>
            <w:r>
              <w:rPr>
                <w:sz w:val="15"/>
              </w:rPr>
              <w:t>Condomínio</w:t>
            </w:r>
          </w:p>
        </w:tc>
        <w:tc>
          <w:tcPr>
            <w:tcW w:type="dxa" w:w="8064"/>
            <w:vAlign w:val="top"/>
          </w:tcPr>
          <w:p>
            <w:r>
              <w:rPr>
                <w:sz w:val="15"/>
              </w:rPr>
              <w:t>document upload → parse → rule candidates → review → searchable → answer with evidence.</w:t>
            </w:r>
          </w:p>
        </w:tc>
      </w:tr>
      <w:tr>
        <w:trPr>
          <w:cantSplit/>
          <w:cantSplit/>
        </w:trPr>
        <w:tc>
          <w:tcPr>
            <w:tcW w:type="dxa" w:w="2304"/>
            <w:vAlign w:val="top"/>
          </w:tcPr>
          <w:p>
            <w:r>
              <w:rPr>
                <w:sz w:val="15"/>
              </w:rPr>
              <w:t>A.I TEC</w:t>
            </w:r>
          </w:p>
        </w:tc>
        <w:tc>
          <w:tcPr>
            <w:tcW w:type="dxa" w:w="8064"/>
            <w:vAlign w:val="top"/>
          </w:tcPr>
          <w:p>
            <w:r>
              <w:rPr>
                <w:sz w:val="15"/>
              </w:rPr>
              <w:t>draft → constraints_ready → generating → validating → ranked → selected → exported.</w:t>
            </w:r>
          </w:p>
        </w:tc>
      </w:tr>
      <w:tr>
        <w:trPr>
          <w:cantSplit/>
          <w:cantSplit/>
        </w:trPr>
        <w:tc>
          <w:tcPr>
            <w:tcW w:type="dxa" w:w="2304"/>
            <w:vAlign w:val="top"/>
          </w:tcPr>
          <w:p>
            <w:r>
              <w:rPr>
                <w:sz w:val="15"/>
              </w:rPr>
              <w:t>Solar</w:t>
            </w:r>
          </w:p>
        </w:tc>
        <w:tc>
          <w:tcPr>
            <w:tcW w:type="dxa" w:w="8064"/>
            <w:vAlign w:val="top"/>
          </w:tcPr>
          <w:p>
            <w:r>
              <w:rPr>
                <w:sz w:val="15"/>
              </w:rPr>
              <w:t>site_ready → layout → simulate → tariff/financial → verified → report.</w:t>
            </w:r>
          </w:p>
        </w:tc>
      </w:tr>
      <w:tr>
        <w:trPr>
          <w:cantSplit/>
          <w:cantSplit/>
        </w:trPr>
        <w:tc>
          <w:tcPr>
            <w:tcW w:type="dxa" w:w="2304"/>
            <w:vAlign w:val="top"/>
          </w:tcPr>
          <w:p>
            <w:r>
              <w:rPr>
                <w:sz w:val="15"/>
              </w:rPr>
              <w:t>Prefeitura</w:t>
            </w:r>
          </w:p>
        </w:tc>
        <w:tc>
          <w:tcPr>
            <w:tcW w:type="dxa" w:w="8064"/>
            <w:vAlign w:val="top"/>
          </w:tcPr>
          <w:p>
            <w:r>
              <w:rPr>
                <w:sz w:val="15"/>
              </w:rPr>
              <w:t>OFF → PILOT → ACTIVE → SUSPENDED → CLOSED; public snapshots survive status changes.</w:t>
            </w:r>
          </w:p>
        </w:tc>
      </w:tr>
      <w:tr>
        <w:trPr>
          <w:cantSplit/>
          <w:cantSplit/>
        </w:trPr>
        <w:tc>
          <w:tcPr>
            <w:tcW w:type="dxa" w:w="2304"/>
            <w:vAlign w:val="top"/>
          </w:tcPr>
          <w:p>
            <w:r>
              <w:rPr>
                <w:sz w:val="15"/>
              </w:rPr>
              <w:t>Release</w:t>
            </w:r>
          </w:p>
        </w:tc>
        <w:tc>
          <w:tcPr>
            <w:tcW w:type="dxa" w:w="8064"/>
            <w:vAlign w:val="top"/>
          </w:tcPr>
          <w:p>
            <w:r>
              <w:rPr>
                <w:sz w:val="15"/>
              </w:rPr>
              <w:t>built → tested → staging → approved → canary → production → rollback if required.</w:t>
            </w:r>
          </w:p>
        </w:tc>
      </w:tr>
    </w:tbl>
    <w:p/>
    <w:p>
      <w:pPr>
        <w:pStyle w:val="Heading2"/>
      </w:pPr>
      <w:r>
        <w:t>32.34 Regras de produto transversais</w:t>
      </w:r>
    </w:p>
    <w:p>
      <w:pPr>
        <w:pStyle w:val="ListBullet"/>
      </w:pPr>
      <w:r>
        <w:rPr>
          <w:b w:val="0"/>
        </w:rPr>
        <w:t>“Pode construir” nunca é produzido só por IA ou só pelo Plano Diretor; exige composição de regras/camadas e evidência.</w:t>
      </w:r>
    </w:p>
    <w:p>
      <w:pPr>
        <w:pStyle w:val="ListBullet"/>
      </w:pPr>
      <w:r>
        <w:rPr>
          <w:b w:val="0"/>
        </w:rPr>
        <w:t>Potencial urbanístico máximo não é área vendável nem garantia de aprovação.</w:t>
      </w:r>
    </w:p>
    <w:p>
      <w:pPr>
        <w:pStyle w:val="ListBullet"/>
      </w:pPr>
      <w:r>
        <w:rPr>
          <w:b w:val="0"/>
        </w:rPr>
        <w:t>Matrícula/registro, cadastro fiscal, CAR, SIGEF, CIB e geometry sources mantêm naturezas jurídicas distintas.</w:t>
      </w:r>
    </w:p>
    <w:p>
      <w:pPr>
        <w:pStyle w:val="ListBullet"/>
      </w:pPr>
      <w:r>
        <w:rPr>
          <w:b w:val="0"/>
        </w:rPr>
        <w:t>Fonte com conflito permanece visível; o sistema não escolhe silenciosamente a versão conveniente.</w:t>
      </w:r>
    </w:p>
    <w:p>
      <w:pPr>
        <w:pStyle w:val="ListBullet"/>
      </w:pPr>
      <w:r>
        <w:rPr>
          <w:b w:val="0"/>
        </w:rPr>
        <w:t>Estado CONFIRMADO exige critérios definidos; OCR/inferência não vira confirmação automática.</w:t>
      </w:r>
    </w:p>
    <w:p>
      <w:pPr>
        <w:pStyle w:val="ListBullet"/>
      </w:pPr>
      <w:r>
        <w:rPr>
          <w:b w:val="0"/>
        </w:rPr>
        <w:t>A.I TEC só classifica cenário como válido após validator de constraints duras.</w:t>
      </w:r>
    </w:p>
    <w:p>
      <w:pPr>
        <w:pStyle w:val="ListBullet"/>
      </w:pPr>
      <w:r>
        <w:rPr>
          <w:b w:val="0"/>
        </w:rPr>
        <w:t>Solar diferencia estimativa preliminar, simulação calibrada e projeto executivo.</w:t>
      </w:r>
    </w:p>
    <w:p>
      <w:pPr>
        <w:pStyle w:val="ListBullet"/>
      </w:pPr>
      <w:r>
        <w:rPr>
          <w:b w:val="0"/>
        </w:rPr>
        <w:t>Condomínio diferencia regra interna, lei externa, deliberação e orientação profissional.</w:t>
      </w:r>
    </w:p>
    <w:p>
      <w:pPr>
        <w:pStyle w:val="ListBullet"/>
      </w:pPr>
      <w:r>
        <w:rPr>
          <w:b w:val="0"/>
        </w:rPr>
        <w:t>Prefeitura homologada tem prioridade municipal, mas não substitui Registro de Imóveis.</w:t>
      </w:r>
    </w:p>
    <w:p>
      <w:pPr>
        <w:pStyle w:val="ListBullet"/>
      </w:pPr>
      <w:r>
        <w:rPr>
          <w:b w:val="0"/>
        </w:rPr>
        <w:t>Admin não vê documento privado do cliente sem permissão/workflow de suporte.</w:t>
      </w:r>
    </w:p>
    <w:p>
      <w:pPr>
        <w:pStyle w:val="Heading2"/>
      </w:pPr>
      <w:r>
        <w:t>32.35 Performance e escalabilidade</w:t>
      </w:r>
    </w:p>
    <w:p>
      <w:pPr>
        <w:pStyle w:val="ListBullet"/>
      </w:pPr>
      <w:r>
        <w:rPr>
          <w:b w:val="0"/>
        </w:rPr>
        <w:t>Mapas: bbox + MVT, simplificação por zoom e views materializadas quando necessário; nunca enviar GeoJSON nacional ao browser.</w:t>
      </w:r>
    </w:p>
    <w:p>
      <w:pPr>
        <w:pStyle w:val="ListBullet"/>
      </w:pPr>
      <w:r>
        <w:rPr>
          <w:b w:val="0"/>
        </w:rPr>
        <w:t>PostGIS: particionamento por dataset/tempo apenas quando query plans comprovarem benefício.</w:t>
      </w:r>
    </w:p>
    <w:p>
      <w:pPr>
        <w:pStyle w:val="ListBullet"/>
      </w:pPr>
      <w:r>
        <w:rPr>
          <w:b w:val="0"/>
        </w:rPr>
        <w:t>OpenSearch: índices por domínio e rollover; alias para troca atômica de versão.</w:t>
      </w:r>
    </w:p>
    <w:p>
      <w:pPr>
        <w:pStyle w:val="ListBullet"/>
      </w:pPr>
      <w:r>
        <w:rPr>
          <w:b w:val="0"/>
        </w:rPr>
        <w:t>Object Storage: lifecycle para derivados temporários; originais/evidências com retenção adequada.</w:t>
      </w:r>
    </w:p>
    <w:p>
      <w:pPr>
        <w:pStyle w:val="ListBullet"/>
      </w:pPr>
      <w:r>
        <w:rPr>
          <w:b w:val="0"/>
        </w:rPr>
        <w:t>Workers: filas separadas por classe CPU/GPU/IO; concurrency e budgets por tenant.</w:t>
      </w:r>
    </w:p>
    <w:p>
      <w:pPr>
        <w:pStyle w:val="ListBullet"/>
      </w:pPr>
      <w:r>
        <w:rPr>
          <w:b w:val="0"/>
        </w:rPr>
        <w:t>AI: model routing, caching por snapshot e budgets; provider fallback somente entre versões avaliadas.</w:t>
      </w:r>
    </w:p>
    <w:p>
      <w:pPr>
        <w:pStyle w:val="ListBullet"/>
      </w:pPr>
      <w:r>
        <w:rPr>
          <w:b w:val="0"/>
        </w:rPr>
        <w:t>Analytics: eventos para Parquet/dbt; dashboards não fazem joins pesados no OLTP.</w:t>
      </w:r>
    </w:p>
    <w:p>
      <w:pPr>
        <w:pStyle w:val="Heading2"/>
      </w:pPr>
      <w:r>
        <w:t>32.36 Privacidade, LGPD e classificação de dados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blHeader w:val="true"/>
          <w:cantSplit/>
        </w:trPr>
        <w:tc>
          <w:tcPr>
            <w:tcW w:type="dxa" w:w="2232"/>
            <w:vAlign w:val="center"/>
          </w:tcPr>
          <w:p>
            <w:r>
              <w:rPr>
                <w:b/>
                <w:sz w:val="15"/>
              </w:rPr>
              <w:t>Classe</w:t>
            </w:r>
          </w:p>
        </w:tc>
        <w:tc>
          <w:tcPr>
            <w:tcW w:type="dxa" w:w="3312"/>
            <w:vAlign w:val="center"/>
          </w:tcPr>
          <w:p>
            <w:r>
              <w:rPr>
                <w:b/>
                <w:sz w:val="15"/>
              </w:rPr>
              <w:t>Exemplo</w:t>
            </w:r>
          </w:p>
        </w:tc>
        <w:tc>
          <w:tcPr>
            <w:tcW w:type="dxa" w:w="4824"/>
            <w:vAlign w:val="center"/>
          </w:tcPr>
          <w:p>
            <w:r>
              <w:rPr>
                <w:b/>
                <w:sz w:val="15"/>
              </w:rPr>
              <w:t>Tratamento</w:t>
            </w:r>
          </w:p>
        </w:tc>
      </w:tr>
      <w:tr>
        <w:trPr>
          <w:cantSplit/>
          <w:cantSplit/>
        </w:trPr>
        <w:tc>
          <w:tcPr>
            <w:tcW w:type="dxa" w:w="2232"/>
            <w:vAlign w:val="top"/>
          </w:tcPr>
          <w:p>
            <w:r>
              <w:rPr>
                <w:sz w:val="15"/>
              </w:rPr>
              <w:t>Público</w:t>
            </w:r>
          </w:p>
        </w:tc>
        <w:tc>
          <w:tcPr>
            <w:tcW w:type="dxa" w:w="3312"/>
            <w:vAlign w:val="top"/>
          </w:tcPr>
          <w:p>
            <w:r>
              <w:rPr>
                <w:sz w:val="15"/>
              </w:rPr>
              <w:t>leis, mapas oficiais abertos, indicadores agregados</w:t>
            </w:r>
          </w:p>
        </w:tc>
        <w:tc>
          <w:tcPr>
            <w:tcW w:type="dxa" w:w="4824"/>
            <w:vAlign w:val="top"/>
          </w:tcPr>
          <w:p>
            <w:r>
              <w:rPr>
                <w:sz w:val="15"/>
              </w:rPr>
              <w:t>cache/CDN permitido conforme licença.</w:t>
            </w:r>
          </w:p>
        </w:tc>
      </w:tr>
      <w:tr>
        <w:trPr>
          <w:cantSplit/>
          <w:cantSplit/>
        </w:trPr>
        <w:tc>
          <w:tcPr>
            <w:tcW w:type="dxa" w:w="2232"/>
            <w:vAlign w:val="top"/>
          </w:tcPr>
          <w:p>
            <w:r>
              <w:rPr>
                <w:sz w:val="15"/>
              </w:rPr>
              <w:t>Institucional</w:t>
            </w:r>
          </w:p>
        </w:tc>
        <w:tc>
          <w:tcPr>
            <w:tcW w:type="dxa" w:w="3312"/>
            <w:vAlign w:val="top"/>
          </w:tcPr>
          <w:p>
            <w:r>
              <w:rPr>
                <w:sz w:val="15"/>
              </w:rPr>
              <w:t>dados de prefeitura em revisão, integrações, qualidade</w:t>
            </w:r>
          </w:p>
        </w:tc>
        <w:tc>
          <w:tcPr>
            <w:tcW w:type="dxa" w:w="4824"/>
            <w:vAlign w:val="top"/>
          </w:tcPr>
          <w:p>
            <w:r>
              <w:rPr>
                <w:sz w:val="15"/>
              </w:rPr>
              <w:t>somente perfis autorizados; não publicar antes de homologação.</w:t>
            </w:r>
          </w:p>
        </w:tc>
      </w:tr>
      <w:tr>
        <w:trPr>
          <w:cantSplit/>
          <w:cantSplit/>
        </w:trPr>
        <w:tc>
          <w:tcPr>
            <w:tcW w:type="dxa" w:w="2232"/>
            <w:vAlign w:val="top"/>
          </w:tcPr>
          <w:p>
            <w:r>
              <w:rPr>
                <w:sz w:val="15"/>
              </w:rPr>
              <w:t>Cliente privado</w:t>
            </w:r>
          </w:p>
        </w:tc>
        <w:tc>
          <w:tcPr>
            <w:tcW w:type="dxa" w:w="3312"/>
            <w:vAlign w:val="top"/>
          </w:tcPr>
          <w:p>
            <w:r>
              <w:rPr>
                <w:sz w:val="15"/>
              </w:rPr>
              <w:t>documentos, projetos, CRM, Design DNA</w:t>
            </w:r>
          </w:p>
        </w:tc>
        <w:tc>
          <w:tcPr>
            <w:tcW w:type="dxa" w:w="4824"/>
            <w:vAlign w:val="top"/>
          </w:tcPr>
          <w:p>
            <w:r>
              <w:rPr>
                <w:sz w:val="15"/>
              </w:rPr>
              <w:t>tenant isolation, encryption, audit e retention.</w:t>
            </w:r>
          </w:p>
        </w:tc>
      </w:tr>
      <w:tr>
        <w:trPr>
          <w:cantSplit/>
          <w:cantSplit/>
        </w:trPr>
        <w:tc>
          <w:tcPr>
            <w:tcW w:type="dxa" w:w="2232"/>
            <w:vAlign w:val="top"/>
          </w:tcPr>
          <w:p>
            <w:r>
              <w:rPr>
                <w:sz w:val="15"/>
              </w:rPr>
              <w:t>Pessoal</w:t>
            </w:r>
          </w:p>
        </w:tc>
        <w:tc>
          <w:tcPr>
            <w:tcW w:type="dxa" w:w="3312"/>
            <w:vAlign w:val="top"/>
          </w:tcPr>
          <w:p>
            <w:r>
              <w:rPr>
                <w:sz w:val="15"/>
              </w:rPr>
              <w:t>contatos, proprietários autorizados, dados de unidade</w:t>
            </w:r>
          </w:p>
        </w:tc>
        <w:tc>
          <w:tcPr>
            <w:tcW w:type="dxa" w:w="4824"/>
            <w:vAlign w:val="top"/>
          </w:tcPr>
          <w:p>
            <w:r>
              <w:rPr>
                <w:sz w:val="15"/>
              </w:rPr>
              <w:t>minimização, finalidade, RBAC/ABAC, redaction em logs/AI.</w:t>
            </w:r>
          </w:p>
        </w:tc>
      </w:tr>
      <w:tr>
        <w:trPr>
          <w:cantSplit/>
          <w:cantSplit/>
        </w:trPr>
        <w:tc>
          <w:tcPr>
            <w:tcW w:type="dxa" w:w="2232"/>
            <w:vAlign w:val="top"/>
          </w:tcPr>
          <w:p>
            <w:r>
              <w:rPr>
                <w:sz w:val="15"/>
              </w:rPr>
              <w:t>Fiscal/registral restrito</w:t>
            </w:r>
          </w:p>
        </w:tc>
        <w:tc>
          <w:tcPr>
            <w:tcW w:type="dxa" w:w="3312"/>
            <w:vAlign w:val="top"/>
          </w:tcPr>
          <w:p>
            <w:r>
              <w:rPr>
                <w:sz w:val="15"/>
              </w:rPr>
              <w:t>débitos, certidões, consultas autenticadas</w:t>
            </w:r>
          </w:p>
        </w:tc>
        <w:tc>
          <w:tcPr>
            <w:tcW w:type="dxa" w:w="4824"/>
            <w:vAlign w:val="top"/>
          </w:tcPr>
          <w:p>
            <w:r>
              <w:rPr>
                <w:sz w:val="15"/>
              </w:rPr>
              <w:t>acesso estrito e trilha de finalidade; sem analytics aberto.</w:t>
            </w:r>
          </w:p>
        </w:tc>
      </w:tr>
      <w:tr>
        <w:trPr>
          <w:cantSplit/>
          <w:cantSplit/>
        </w:trPr>
        <w:tc>
          <w:tcPr>
            <w:tcW w:type="dxa" w:w="2232"/>
            <w:vAlign w:val="top"/>
          </w:tcPr>
          <w:p>
            <w:r>
              <w:rPr>
                <w:sz w:val="15"/>
              </w:rPr>
              <w:t>Segredo</w:t>
            </w:r>
          </w:p>
        </w:tc>
        <w:tc>
          <w:tcPr>
            <w:tcW w:type="dxa" w:w="3312"/>
            <w:vAlign w:val="top"/>
          </w:tcPr>
          <w:p>
            <w:r>
              <w:rPr>
                <w:sz w:val="15"/>
              </w:rPr>
              <w:t>tokens, chaves, credenciais</w:t>
            </w:r>
          </w:p>
        </w:tc>
        <w:tc>
          <w:tcPr>
            <w:tcW w:type="dxa" w:w="4824"/>
            <w:vAlign w:val="top"/>
          </w:tcPr>
          <w:p>
            <w:r>
              <w:rPr>
                <w:sz w:val="15"/>
              </w:rPr>
              <w:t>Vault/KMS; nunca em DB/CMS/log ou frontend.</w:t>
            </w:r>
          </w:p>
        </w:tc>
      </w:tr>
    </w:tbl>
    <w:p/>
    <w:p>
      <w:pPr>
        <w:pStyle w:val="Heading2"/>
      </w:pPr>
      <w:r>
        <w:t>32.37 ADRs — decisões que devem virar registros formais</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016"/>
            <w:vAlign w:val="center"/>
          </w:tcPr>
          <w:p>
            <w:r>
              <w:rPr>
                <w:b/>
                <w:sz w:val="15"/>
              </w:rPr>
              <w:t>ADR</w:t>
            </w:r>
          </w:p>
        </w:tc>
        <w:tc>
          <w:tcPr>
            <w:tcW w:type="dxa" w:w="8352"/>
            <w:vAlign w:val="center"/>
          </w:tcPr>
          <w:p>
            <w:r>
              <w:rPr>
                <w:b/>
                <w:sz w:val="15"/>
              </w:rPr>
              <w:t>Decisão</w:t>
            </w:r>
          </w:p>
        </w:tc>
      </w:tr>
      <w:tr>
        <w:trPr>
          <w:cantSplit/>
          <w:cantSplit/>
        </w:trPr>
        <w:tc>
          <w:tcPr>
            <w:tcW w:type="dxa" w:w="2016"/>
            <w:vAlign w:val="top"/>
          </w:tcPr>
          <w:p>
            <w:r>
              <w:rPr>
                <w:sz w:val="15"/>
              </w:rPr>
              <w:t>ADR-001</w:t>
            </w:r>
          </w:p>
        </w:tc>
        <w:tc>
          <w:tcPr>
            <w:tcW w:type="dxa" w:w="8352"/>
            <w:vAlign w:val="top"/>
          </w:tcPr>
          <w:p>
            <w:r>
              <w:rPr>
                <w:sz w:val="15"/>
              </w:rPr>
              <w:t>React/Next.js como stack web unificada; RR/Urbit são referências de UX.</w:t>
            </w:r>
          </w:p>
        </w:tc>
      </w:tr>
      <w:tr>
        <w:trPr>
          <w:cantSplit/>
          <w:cantSplit/>
        </w:trPr>
        <w:tc>
          <w:tcPr>
            <w:tcW w:type="dxa" w:w="2016"/>
            <w:vAlign w:val="top"/>
          </w:tcPr>
          <w:p>
            <w:r>
              <w:rPr>
                <w:sz w:val="15"/>
              </w:rPr>
              <w:t>ADR-002</w:t>
            </w:r>
          </w:p>
        </w:tc>
        <w:tc>
          <w:tcPr>
            <w:tcW w:type="dxa" w:w="8352"/>
            <w:vAlign w:val="top"/>
          </w:tcPr>
          <w:p>
            <w:r>
              <w:rPr>
                <w:sz w:val="15"/>
              </w:rPr>
              <w:t>NestJS + Fastify/Mercurius como Platform API modular.</w:t>
            </w:r>
          </w:p>
        </w:tc>
      </w:tr>
      <w:tr>
        <w:trPr>
          <w:cantSplit/>
          <w:cantSplit/>
        </w:trPr>
        <w:tc>
          <w:tcPr>
            <w:tcW w:type="dxa" w:w="2016"/>
            <w:vAlign w:val="top"/>
          </w:tcPr>
          <w:p>
            <w:r>
              <w:rPr>
                <w:sz w:val="15"/>
              </w:rPr>
              <w:t>ADR-003</w:t>
            </w:r>
          </w:p>
        </w:tc>
        <w:tc>
          <w:tcPr>
            <w:tcW w:type="dxa" w:w="8352"/>
            <w:vAlign w:val="top"/>
          </w:tcPr>
          <w:p>
            <w:r>
              <w:rPr>
                <w:sz w:val="15"/>
              </w:rPr>
              <w:t>Python para ETL/IA/solvers; não duplicar regras jurídicas em notebooks.</w:t>
            </w:r>
          </w:p>
        </w:tc>
      </w:tr>
      <w:tr>
        <w:trPr>
          <w:cantSplit/>
          <w:cantSplit/>
        </w:trPr>
        <w:tc>
          <w:tcPr>
            <w:tcW w:type="dxa" w:w="2016"/>
            <w:vAlign w:val="top"/>
          </w:tcPr>
          <w:p>
            <w:r>
              <w:rPr>
                <w:sz w:val="15"/>
              </w:rPr>
              <w:t>ADR-004</w:t>
            </w:r>
          </w:p>
        </w:tc>
        <w:tc>
          <w:tcPr>
            <w:tcW w:type="dxa" w:w="8352"/>
            <w:vAlign w:val="top"/>
          </w:tcPr>
          <w:p>
            <w:r>
              <w:rPr>
                <w:sz w:val="15"/>
              </w:rPr>
              <w:t>PostgreSQL/PostGIS como fonte transacional/geográfica principal.</w:t>
            </w:r>
          </w:p>
        </w:tc>
      </w:tr>
      <w:tr>
        <w:trPr>
          <w:cantSplit/>
          <w:cantSplit/>
        </w:trPr>
        <w:tc>
          <w:tcPr>
            <w:tcW w:type="dxa" w:w="2016"/>
            <w:vAlign w:val="top"/>
          </w:tcPr>
          <w:p>
            <w:r>
              <w:rPr>
                <w:sz w:val="15"/>
              </w:rPr>
              <w:t>ADR-005</w:t>
            </w:r>
          </w:p>
        </w:tc>
        <w:tc>
          <w:tcPr>
            <w:tcW w:type="dxa" w:w="8352"/>
            <w:vAlign w:val="top"/>
          </w:tcPr>
          <w:p>
            <w:r>
              <w:rPr>
                <w:sz w:val="15"/>
              </w:rPr>
              <w:t>OpenSearch para hybrid legal/document search; embeddings são derivados.</w:t>
            </w:r>
          </w:p>
        </w:tc>
      </w:tr>
      <w:tr>
        <w:trPr>
          <w:cantSplit/>
          <w:cantSplit/>
        </w:trPr>
        <w:tc>
          <w:tcPr>
            <w:tcW w:type="dxa" w:w="2016"/>
            <w:vAlign w:val="top"/>
          </w:tcPr>
          <w:p>
            <w:r>
              <w:rPr>
                <w:sz w:val="15"/>
              </w:rPr>
              <w:t>ADR-006</w:t>
            </w:r>
          </w:p>
        </w:tc>
        <w:tc>
          <w:tcPr>
            <w:tcW w:type="dxa" w:w="8352"/>
            <w:vAlign w:val="top"/>
          </w:tcPr>
          <w:p>
            <w:r>
              <w:rPr>
                <w:sz w:val="15"/>
              </w:rPr>
              <w:t>MapLibre/deck.gl baseline; Google/Mapbox somente como providers opcionais/licenciados.</w:t>
            </w:r>
          </w:p>
        </w:tc>
      </w:tr>
      <w:tr>
        <w:trPr>
          <w:cantSplit/>
          <w:cantSplit/>
        </w:trPr>
        <w:tc>
          <w:tcPr>
            <w:tcW w:type="dxa" w:w="2016"/>
            <w:vAlign w:val="top"/>
          </w:tcPr>
          <w:p>
            <w:r>
              <w:rPr>
                <w:sz w:val="15"/>
              </w:rPr>
              <w:t>ADR-007</w:t>
            </w:r>
          </w:p>
        </w:tc>
        <w:tc>
          <w:tcPr>
            <w:tcW w:type="dxa" w:w="8352"/>
            <w:vAlign w:val="top"/>
          </w:tcPr>
          <w:p>
            <w:r>
              <w:rPr>
                <w:sz w:val="15"/>
              </w:rPr>
              <w:t>Keycloak + cookie/BFF; proibir bearer token principal em localStorage.</w:t>
            </w:r>
          </w:p>
        </w:tc>
      </w:tr>
      <w:tr>
        <w:trPr>
          <w:cantSplit/>
          <w:cantSplit/>
        </w:trPr>
        <w:tc>
          <w:tcPr>
            <w:tcW w:type="dxa" w:w="2016"/>
            <w:vAlign w:val="top"/>
          </w:tcPr>
          <w:p>
            <w:r>
              <w:rPr>
                <w:sz w:val="15"/>
              </w:rPr>
              <w:t>ADR-008</w:t>
            </w:r>
          </w:p>
        </w:tc>
        <w:tc>
          <w:tcPr>
            <w:tcW w:type="dxa" w:w="8352"/>
            <w:vAlign w:val="top"/>
          </w:tcPr>
          <w:p>
            <w:r>
              <w:rPr>
                <w:sz w:val="15"/>
              </w:rPr>
              <w:t>Modular monolith + workers/event bus antes de microservices.</w:t>
            </w:r>
          </w:p>
        </w:tc>
      </w:tr>
      <w:tr>
        <w:trPr>
          <w:cantSplit/>
          <w:cantSplit/>
        </w:trPr>
        <w:tc>
          <w:tcPr>
            <w:tcW w:type="dxa" w:w="2016"/>
            <w:vAlign w:val="top"/>
          </w:tcPr>
          <w:p>
            <w:r>
              <w:rPr>
                <w:sz w:val="15"/>
              </w:rPr>
              <w:t>ADR-009</w:t>
            </w:r>
          </w:p>
        </w:tc>
        <w:tc>
          <w:tcPr>
            <w:tcW w:type="dxa" w:w="8352"/>
            <w:vAlign w:val="top"/>
          </w:tcPr>
          <w:p>
            <w:r>
              <w:rPr>
                <w:sz w:val="15"/>
              </w:rPr>
              <w:t>Mercado Pago provider + ledger/entitlements internos.</w:t>
            </w:r>
          </w:p>
        </w:tc>
      </w:tr>
      <w:tr>
        <w:trPr>
          <w:cantSplit/>
          <w:cantSplit/>
        </w:trPr>
        <w:tc>
          <w:tcPr>
            <w:tcW w:type="dxa" w:w="2016"/>
            <w:vAlign w:val="top"/>
          </w:tcPr>
          <w:p>
            <w:r>
              <w:rPr>
                <w:sz w:val="15"/>
              </w:rPr>
              <w:t>ADR-010</w:t>
            </w:r>
          </w:p>
        </w:tc>
        <w:tc>
          <w:tcPr>
            <w:tcW w:type="dxa" w:w="8352"/>
            <w:vAlign w:val="top"/>
          </w:tcPr>
          <w:p>
            <w:r>
              <w:rPr>
                <w:sz w:val="15"/>
              </w:rPr>
              <w:t>RAG e rule engine para normas; não fine-tunar legislação como memória.</w:t>
            </w:r>
          </w:p>
        </w:tc>
      </w:tr>
      <w:tr>
        <w:trPr>
          <w:cantSplit/>
          <w:cantSplit/>
        </w:trPr>
        <w:tc>
          <w:tcPr>
            <w:tcW w:type="dxa" w:w="2016"/>
            <w:vAlign w:val="top"/>
          </w:tcPr>
          <w:p>
            <w:r>
              <w:rPr>
                <w:sz w:val="15"/>
              </w:rPr>
              <w:t>ADR-011</w:t>
            </w:r>
          </w:p>
        </w:tc>
        <w:tc>
          <w:tcPr>
            <w:tcW w:type="dxa" w:w="8352"/>
            <w:vAlign w:val="top"/>
          </w:tcPr>
          <w:p>
            <w:r>
              <w:rPr>
                <w:sz w:val="15"/>
              </w:rPr>
              <w:t>Control Plane Admin separado do Data Plane e sem shell/SQL arbitrário.</w:t>
            </w:r>
          </w:p>
        </w:tc>
      </w:tr>
      <w:tr>
        <w:trPr>
          <w:cantSplit/>
          <w:cantSplit/>
        </w:trPr>
        <w:tc>
          <w:tcPr>
            <w:tcW w:type="dxa" w:w="2016"/>
            <w:vAlign w:val="top"/>
          </w:tcPr>
          <w:p>
            <w:r>
              <w:rPr>
                <w:sz w:val="15"/>
              </w:rPr>
              <w:t>ADR-012</w:t>
            </w:r>
          </w:p>
        </w:tc>
        <w:tc>
          <w:tcPr>
            <w:tcW w:type="dxa" w:w="8352"/>
            <w:vAlign w:val="top"/>
          </w:tcPr>
          <w:p>
            <w:r>
              <w:rPr>
                <w:sz w:val="15"/>
              </w:rPr>
              <w:t>CI/CD assinado, canary e rollback; Admin promove artefatos, não cria código.</w:t>
            </w:r>
          </w:p>
        </w:tc>
      </w:tr>
    </w:tbl>
    <w:p/>
    <w:p>
      <w:pPr>
        <w:pStyle w:val="Heading2"/>
      </w:pPr>
      <w:r>
        <w:t>32.38 Roadmap de construção integrado</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088"/>
            <w:vAlign w:val="center"/>
          </w:tcPr>
          <w:p>
            <w:r>
              <w:rPr>
                <w:b/>
                <w:sz w:val="15"/>
              </w:rPr>
              <w:t>Etapa</w:t>
            </w:r>
          </w:p>
        </w:tc>
        <w:tc>
          <w:tcPr>
            <w:tcW w:type="dxa" w:w="8280"/>
            <w:vAlign w:val="center"/>
          </w:tcPr>
          <w:p>
            <w:r>
              <w:rPr>
                <w:b/>
                <w:sz w:val="15"/>
              </w:rPr>
              <w:t>Entrega integrada</w:t>
            </w:r>
          </w:p>
        </w:tc>
      </w:tr>
      <w:tr>
        <w:trPr>
          <w:cantSplit/>
          <w:cantSplit/>
        </w:trPr>
        <w:tc>
          <w:tcPr>
            <w:tcW w:type="dxa" w:w="2088"/>
            <w:vAlign w:val="top"/>
          </w:tcPr>
          <w:p>
            <w:r>
              <w:rPr>
                <w:sz w:val="15"/>
              </w:rPr>
              <w:t>0 — Fundação</w:t>
            </w:r>
          </w:p>
        </w:tc>
        <w:tc>
          <w:tcPr>
            <w:tcW w:type="dxa" w:w="8280"/>
            <w:vAlign w:val="top"/>
          </w:tcPr>
          <w:p>
            <w:r>
              <w:rPr>
                <w:sz w:val="15"/>
              </w:rPr>
              <w:t>Monorepo, CI/CD, design tokens, Keycloak, Caddy, PostgreSQL/PostGIS, object storage, OTel.</w:t>
            </w:r>
          </w:p>
        </w:tc>
      </w:tr>
      <w:tr>
        <w:trPr>
          <w:cantSplit/>
          <w:cantSplit/>
        </w:trPr>
        <w:tc>
          <w:tcPr>
            <w:tcW w:type="dxa" w:w="2088"/>
            <w:vAlign w:val="top"/>
          </w:tcPr>
          <w:p>
            <w:r>
              <w:rPr>
                <w:sz w:val="15"/>
              </w:rPr>
              <w:t>1 — Core territorial</w:t>
            </w:r>
          </w:p>
        </w:tc>
        <w:tc>
          <w:tcPr>
            <w:tcW w:type="dxa" w:w="8280"/>
            <w:vAlign w:val="top"/>
          </w:tcPr>
          <w:p>
            <w:r>
              <w:rPr>
                <w:sz w:val="15"/>
              </w:rPr>
              <w:t>Source Registry, IBGE, município laboratório, legal parser, Parcel Resolver, MVT e relatório v1.</w:t>
            </w:r>
          </w:p>
        </w:tc>
      </w:tr>
      <w:tr>
        <w:trPr>
          <w:cantSplit/>
          <w:cantSplit/>
        </w:trPr>
        <w:tc>
          <w:tcPr>
            <w:tcW w:type="dxa" w:w="2088"/>
            <w:vAlign w:val="top"/>
          </w:tcPr>
          <w:p>
            <w:r>
              <w:rPr>
                <w:sz w:val="15"/>
              </w:rPr>
              <w:t>2 — UX cliente</w:t>
            </w:r>
          </w:p>
        </w:tc>
        <w:tc>
          <w:tcPr>
            <w:tcW w:type="dxa" w:w="8280"/>
            <w:vAlign w:val="top"/>
          </w:tcPr>
          <w:p>
            <w:r>
              <w:rPr>
                <w:sz w:val="15"/>
              </w:rPr>
              <w:t>Site/login final, shell Registro Rural, Dashboard, Explorer, Imóveis e relatórios.</w:t>
            </w:r>
          </w:p>
        </w:tc>
      </w:tr>
      <w:tr>
        <w:trPr>
          <w:cantSplit/>
          <w:cantSplit/>
        </w:trPr>
        <w:tc>
          <w:tcPr>
            <w:tcW w:type="dxa" w:w="2088"/>
            <w:vAlign w:val="top"/>
          </w:tcPr>
          <w:p>
            <w:r>
              <w:rPr>
                <w:sz w:val="15"/>
              </w:rPr>
              <w:t>3 — Imóvel 360</w:t>
            </w:r>
          </w:p>
        </w:tc>
        <w:tc>
          <w:tcPr>
            <w:tcW w:type="dxa" w:w="8280"/>
            <w:vAlign w:val="top"/>
          </w:tcPr>
          <w:p>
            <w:r>
              <w:rPr>
                <w:sz w:val="15"/>
              </w:rPr>
              <w:t>Empreendimentos, mercado, CRM, AVM e serviços dinâmicos.</w:t>
            </w:r>
          </w:p>
        </w:tc>
      </w:tr>
      <w:tr>
        <w:trPr>
          <w:cantSplit/>
          <w:cantSplit/>
        </w:trPr>
        <w:tc>
          <w:tcPr>
            <w:tcW w:type="dxa" w:w="2088"/>
            <w:vAlign w:val="top"/>
          </w:tcPr>
          <w:p>
            <w:r>
              <w:rPr>
                <w:sz w:val="15"/>
              </w:rPr>
              <w:t>4 — RE Rural</w:t>
            </w:r>
          </w:p>
        </w:tc>
        <w:tc>
          <w:tcPr>
            <w:tcW w:type="dxa" w:w="8280"/>
            <w:vAlign w:val="top"/>
          </w:tcPr>
          <w:p>
            <w:r>
              <w:rPr>
                <w:sz w:val="15"/>
              </w:rPr>
              <w:t>CAR/SIGEF/SNCR/CIB/IBAMA/INPE, overlaps e monitoramento.</w:t>
            </w:r>
          </w:p>
        </w:tc>
      </w:tr>
      <w:tr>
        <w:trPr>
          <w:cantSplit/>
          <w:cantSplit/>
        </w:trPr>
        <w:tc>
          <w:tcPr>
            <w:tcW w:type="dxa" w:w="2088"/>
            <w:vAlign w:val="top"/>
          </w:tcPr>
          <w:p>
            <w:r>
              <w:rPr>
                <w:sz w:val="15"/>
              </w:rPr>
              <w:t>5 — AI Core</w:t>
            </w:r>
          </w:p>
        </w:tc>
        <w:tc>
          <w:tcPr>
            <w:tcW w:type="dxa" w:w="8280"/>
            <w:vAlign w:val="top"/>
          </w:tcPr>
          <w:p>
            <w:r>
              <w:rPr>
                <w:sz w:val="15"/>
              </w:rPr>
              <w:t>A.I Cidades + ingestão + hybrid RAG + tools + evals.</w:t>
            </w:r>
          </w:p>
        </w:tc>
      </w:tr>
      <w:tr>
        <w:trPr>
          <w:cantSplit/>
          <w:cantSplit/>
        </w:trPr>
        <w:tc>
          <w:tcPr>
            <w:tcW w:type="dxa" w:w="2088"/>
            <w:vAlign w:val="top"/>
          </w:tcPr>
          <w:p>
            <w:r>
              <w:rPr>
                <w:sz w:val="15"/>
              </w:rPr>
              <w:t>6 — Condomínio</w:t>
            </w:r>
          </w:p>
        </w:tc>
        <w:tc>
          <w:tcPr>
            <w:tcW w:type="dxa" w:w="8280"/>
            <w:vAlign w:val="top"/>
          </w:tcPr>
          <w:p>
            <w:r>
              <w:rPr>
                <w:sz w:val="15"/>
              </w:rPr>
              <w:t>Upload privado, regras/atas, A.I Condomínio, dashboard e relatório.</w:t>
            </w:r>
          </w:p>
        </w:tc>
      </w:tr>
      <w:tr>
        <w:trPr>
          <w:cantSplit/>
          <w:cantSplit/>
        </w:trPr>
        <w:tc>
          <w:tcPr>
            <w:tcW w:type="dxa" w:w="2088"/>
            <w:vAlign w:val="top"/>
          </w:tcPr>
          <w:p>
            <w:r>
              <w:rPr>
                <w:sz w:val="15"/>
              </w:rPr>
              <w:t>7 — Solar</w:t>
            </w:r>
          </w:p>
        </w:tc>
        <w:tc>
          <w:tcPr>
            <w:tcW w:type="dxa" w:w="8280"/>
            <w:vAlign w:val="top"/>
          </w:tcPr>
          <w:p>
            <w:r>
              <w:rPr>
                <w:sz w:val="15"/>
              </w:rPr>
              <w:t>2D/3D, layout, geração, tarifa, financeiro e relatório.</w:t>
            </w:r>
          </w:p>
        </w:tc>
      </w:tr>
      <w:tr>
        <w:trPr>
          <w:cantSplit/>
          <w:cantSplit/>
        </w:trPr>
        <w:tc>
          <w:tcPr>
            <w:tcW w:type="dxa" w:w="2088"/>
            <w:vAlign w:val="top"/>
          </w:tcPr>
          <w:p>
            <w:r>
              <w:rPr>
                <w:sz w:val="15"/>
              </w:rPr>
              <w:t>8 — A.I TEC</w:t>
            </w:r>
          </w:p>
        </w:tc>
        <w:tc>
          <w:tcPr>
            <w:tcW w:type="dxa" w:w="8280"/>
            <w:vAlign w:val="top"/>
          </w:tcPr>
          <w:p>
            <w:r>
              <w:rPr>
                <w:sz w:val="15"/>
              </w:rPr>
              <w:t>terrain/envelope, site solver, parking, massing, Pareto e exports.</w:t>
            </w:r>
          </w:p>
        </w:tc>
      </w:tr>
      <w:tr>
        <w:trPr>
          <w:cantSplit/>
          <w:cantSplit/>
        </w:trPr>
        <w:tc>
          <w:tcPr>
            <w:tcW w:type="dxa" w:w="2088"/>
            <w:vAlign w:val="top"/>
          </w:tcPr>
          <w:p>
            <w:r>
              <w:rPr>
                <w:sz w:val="15"/>
              </w:rPr>
              <w:t>9 — Prefeitura</w:t>
            </w:r>
          </w:p>
        </w:tc>
        <w:tc>
          <w:tcPr>
            <w:tcW w:type="dxa" w:w="8280"/>
            <w:vAlign w:val="top"/>
          </w:tcPr>
          <w:p>
            <w:r>
              <w:rPr>
                <w:sz w:val="15"/>
              </w:rPr>
              <w:t>workspace institucional, CTM, publicação, CIB/SINTER connectors.</w:t>
            </w:r>
          </w:p>
        </w:tc>
      </w:tr>
      <w:tr>
        <w:trPr>
          <w:cantSplit/>
          <w:cantSplit/>
        </w:trPr>
        <w:tc>
          <w:tcPr>
            <w:tcW w:type="dxa" w:w="2088"/>
            <w:vAlign w:val="top"/>
          </w:tcPr>
          <w:p>
            <w:r>
              <w:rPr>
                <w:sz w:val="15"/>
              </w:rPr>
              <w:t>10 — Admin SaaS</w:t>
            </w:r>
          </w:p>
        </w:tc>
        <w:tc>
          <w:tcPr>
            <w:tcW w:type="dxa" w:w="8280"/>
            <w:vAlign w:val="top"/>
          </w:tcPr>
          <w:p>
            <w:r>
              <w:rPr>
                <w:sz w:val="15"/>
              </w:rPr>
              <w:t>billing Mercado Pago, CMS, support, Data/AI Ops, releases e observabilidade.</w:t>
            </w:r>
          </w:p>
        </w:tc>
      </w:tr>
      <w:tr>
        <w:trPr>
          <w:cantSplit/>
          <w:cantSplit/>
        </w:trPr>
        <w:tc>
          <w:tcPr>
            <w:tcW w:type="dxa" w:w="2088"/>
            <w:vAlign w:val="top"/>
          </w:tcPr>
          <w:p>
            <w:r>
              <w:rPr>
                <w:sz w:val="15"/>
              </w:rPr>
              <w:t>11 — Escala nacional</w:t>
            </w:r>
          </w:p>
        </w:tc>
        <w:tc>
          <w:tcPr>
            <w:tcW w:type="dxa" w:w="8280"/>
            <w:vAlign w:val="top"/>
          </w:tcPr>
          <w:p>
            <w:r>
              <w:rPr>
                <w:sz w:val="15"/>
              </w:rPr>
              <w:t>factory de municípios, contratos de dados, enterprise, HA/DR e otimizações.</w:t>
            </w:r>
          </w:p>
        </w:tc>
      </w:tr>
    </w:tbl>
    <w:p/>
    <w:p>
      <w:pPr>
        <w:pStyle w:val="Heading2"/>
      </w:pPr>
      <w:r>
        <w:t>32.39 Definition of Done por módulo</w:t>
      </w:r>
    </w:p>
    <w:p>
      <w:pPr>
        <w:pStyle w:val="ListBullet"/>
      </w:pPr>
      <w:r>
        <w:rPr>
          <w:b w:val="0"/>
        </w:rPr>
        <w:t>Contrato de API e schema de banco versionados.</w:t>
      </w:r>
    </w:p>
    <w:p>
      <w:pPr>
        <w:pStyle w:val="ListBullet"/>
      </w:pPr>
      <w:r>
        <w:rPr>
          <w:b w:val="0"/>
        </w:rPr>
        <w:t>Permissões e entitlement definidos.</w:t>
      </w:r>
    </w:p>
    <w:p>
      <w:pPr>
        <w:pStyle w:val="ListBullet"/>
      </w:pPr>
      <w:r>
        <w:rPr>
          <w:b w:val="0"/>
        </w:rPr>
        <w:t>Fontes e licenças catalogadas; dataset sem provenance não entra em produção.</w:t>
      </w:r>
    </w:p>
    <w:p>
      <w:pPr>
        <w:pStyle w:val="ListBullet"/>
      </w:pPr>
      <w:r>
        <w:rPr>
          <w:b w:val="0"/>
        </w:rPr>
        <w:t>Unit/integration/e2e e casos de falha implementados.</w:t>
      </w:r>
    </w:p>
    <w:p>
      <w:pPr>
        <w:pStyle w:val="ListBullet"/>
      </w:pPr>
      <w:r>
        <w:rPr>
          <w:b w:val="0"/>
        </w:rPr>
        <w:t>Métricas/traces/logs e alertas definidos.</w:t>
      </w:r>
    </w:p>
    <w:p>
      <w:pPr>
        <w:pStyle w:val="ListBullet"/>
      </w:pPr>
      <w:r>
        <w:rPr>
          <w:b w:val="0"/>
        </w:rPr>
        <w:t>Runbook de operação/rollback.</w:t>
      </w:r>
    </w:p>
    <w:p>
      <w:pPr>
        <w:pStyle w:val="ListBullet"/>
      </w:pPr>
      <w:r>
        <w:rPr>
          <w:b w:val="0"/>
        </w:rPr>
        <w:t>UX desktop/mobile e acessibilidade revisadas.</w:t>
      </w:r>
    </w:p>
    <w:p>
      <w:pPr>
        <w:pStyle w:val="ListBullet"/>
      </w:pPr>
      <w:r>
        <w:rPr>
          <w:b w:val="0"/>
        </w:rPr>
        <w:t>Relatório/evidência quando o módulo produz conclusão técnica.</w:t>
      </w:r>
    </w:p>
    <w:p>
      <w:pPr>
        <w:pStyle w:val="ListBullet"/>
      </w:pPr>
      <w:r>
        <w:rPr>
          <w:b w:val="0"/>
        </w:rPr>
        <w:t>Documentação de owner, SLO e data retention.</w:t>
      </w:r>
    </w:p>
    <w:p>
      <w:pPr>
        <w:pStyle w:val="ListBullet"/>
      </w:pPr>
      <w:r>
        <w:rPr>
          <w:b w:val="0"/>
        </w:rPr>
        <w:t>Security review e tenant isolation test quando houver dado privado.</w:t>
      </w:r>
    </w:p>
    <w:p>
      <w:pPr>
        <w:pStyle w:val="Heading2"/>
      </w:pPr>
      <w:r>
        <w:t>32.40 Critérios finais para começar a codificar sem ambiguidade</w:t>
      </w:r>
    </w:p>
    <w:tbl>
      <w:tblPr>
        <w:tblStyle w:val="TableGrid"/>
        <w:tblW w:type="auto" w:w="0"/>
        <w:jc w:val="center"/>
        <w:tblLook w:firstColumn="1" w:firstRow="1" w:lastColumn="0" w:lastRow="0" w:noHBand="0" w:noVBand="1" w:val="04A0"/>
      </w:tblPr>
      <w:tblGrid>
        <w:gridCol w:w="5083"/>
        <w:gridCol w:w="5083"/>
      </w:tblGrid>
      <w:tr>
        <w:trPr>
          <w:tblHeader w:val="true"/>
          <w:cantSplit/>
          <w:tblHeader w:val="true"/>
          <w:cantSplit/>
        </w:trPr>
        <w:tc>
          <w:tcPr>
            <w:tcW w:type="dxa" w:w="2304"/>
            <w:vAlign w:val="center"/>
          </w:tcPr>
          <w:p>
            <w:r>
              <w:rPr>
                <w:b/>
                <w:sz w:val="15"/>
              </w:rPr>
              <w:t>Tema</w:t>
            </w:r>
          </w:p>
        </w:tc>
        <w:tc>
          <w:tcPr>
            <w:tcW w:type="dxa" w:w="8064"/>
            <w:vAlign w:val="center"/>
          </w:tcPr>
          <w:p>
            <w:r>
              <w:rPr>
                <w:b/>
                <w:sz w:val="15"/>
              </w:rPr>
              <w:t>Decisão final</w:t>
            </w:r>
          </w:p>
        </w:tc>
      </w:tr>
      <w:tr>
        <w:trPr>
          <w:cantSplit/>
          <w:cantSplit/>
        </w:trPr>
        <w:tc>
          <w:tcPr>
            <w:tcW w:type="dxa" w:w="2304"/>
            <w:vAlign w:val="top"/>
          </w:tcPr>
          <w:p>
            <w:r>
              <w:rPr>
                <w:sz w:val="15"/>
              </w:rPr>
              <w:t>Marca</w:t>
            </w:r>
          </w:p>
        </w:tc>
        <w:tc>
          <w:tcPr>
            <w:tcW w:type="dxa" w:w="8064"/>
            <w:vAlign w:val="top"/>
          </w:tcPr>
          <w:p>
            <w:r>
              <w:rPr>
                <w:sz w:val="15"/>
              </w:rPr>
              <w:t>LoteDiretor Brasil como plataforma; módulos mantêm nomes Imóvel 360, RE Rural, Condomínio, Energia Solar, A.I TEC e Prefeitura.</w:t>
            </w:r>
          </w:p>
        </w:tc>
      </w:tr>
      <w:tr>
        <w:trPr>
          <w:cantSplit/>
          <w:cantSplit/>
        </w:trPr>
        <w:tc>
          <w:tcPr>
            <w:tcW w:type="dxa" w:w="2304"/>
            <w:vAlign w:val="top"/>
          </w:tcPr>
          <w:p>
            <w:r>
              <w:rPr>
                <w:sz w:val="15"/>
              </w:rPr>
              <w:t>Paleta</w:t>
            </w:r>
          </w:p>
        </w:tc>
        <w:tc>
          <w:tcPr>
            <w:tcW w:type="dxa" w:w="8064"/>
            <w:vAlign w:val="top"/>
          </w:tcPr>
          <w:p>
            <w:r>
              <w:rPr>
                <w:sz w:val="15"/>
              </w:rPr>
              <w:t>Verde #20A475 / #356854, branco e preto/ink; sem mudar identidade por módulo, apenas semântica.</w:t>
            </w:r>
          </w:p>
        </w:tc>
      </w:tr>
      <w:tr>
        <w:trPr>
          <w:cantSplit/>
          <w:cantSplit/>
        </w:trPr>
        <w:tc>
          <w:tcPr>
            <w:tcW w:type="dxa" w:w="2304"/>
            <w:vAlign w:val="top"/>
          </w:tcPr>
          <w:p>
            <w:r>
              <w:rPr>
                <w:sz w:val="15"/>
              </w:rPr>
              <w:t>Site/login</w:t>
            </w:r>
          </w:p>
        </w:tc>
        <w:tc>
          <w:tcPr>
            <w:tcW w:type="dxa" w:w="8064"/>
            <w:vAlign w:val="top"/>
          </w:tcPr>
          <w:p>
            <w:r>
              <w:rPr>
                <w:sz w:val="15"/>
              </w:rPr>
              <w:t>Estrutura e presença Urbit; implementação própria Next.js + OIDC seguro.</w:t>
            </w:r>
          </w:p>
        </w:tc>
      </w:tr>
      <w:tr>
        <w:trPr>
          <w:cantSplit/>
          <w:cantSplit/>
        </w:trPr>
        <w:tc>
          <w:tcPr>
            <w:tcW w:type="dxa" w:w="2304"/>
            <w:vAlign w:val="top"/>
          </w:tcPr>
          <w:p>
            <w:r>
              <w:rPr>
                <w:sz w:val="15"/>
              </w:rPr>
              <w:t>App cliente</w:t>
            </w:r>
          </w:p>
        </w:tc>
        <w:tc>
          <w:tcPr>
            <w:tcW w:type="dxa" w:w="8064"/>
            <w:vAlign w:val="top"/>
          </w:tcPr>
          <w:p>
            <w:r>
              <w:rPr>
                <w:sz w:val="15"/>
              </w:rPr>
              <w:t>Ergonomia/tokens Registro Rural; React/Next.js unificado.</w:t>
            </w:r>
          </w:p>
        </w:tc>
      </w:tr>
      <w:tr>
        <w:trPr>
          <w:cantSplit/>
          <w:cantSplit/>
        </w:trPr>
        <w:tc>
          <w:tcPr>
            <w:tcW w:type="dxa" w:w="2304"/>
            <w:vAlign w:val="top"/>
          </w:tcPr>
          <w:p>
            <w:r>
              <w:rPr>
                <w:sz w:val="15"/>
              </w:rPr>
              <w:t>A.I TEC UX</w:t>
            </w:r>
          </w:p>
        </w:tc>
        <w:tc>
          <w:tcPr>
            <w:tcW w:type="dxa" w:w="8064"/>
            <w:vAlign w:val="top"/>
          </w:tcPr>
          <w:p>
            <w:r>
              <w:rPr>
                <w:sz w:val="15"/>
              </w:rPr>
              <w:t>Configuração lateral + canvas central + métricas/cenários; fluxo de baixa fricção inspirado em Arqgen.</w:t>
            </w:r>
          </w:p>
        </w:tc>
      </w:tr>
      <w:tr>
        <w:trPr>
          <w:cantSplit/>
          <w:cantSplit/>
        </w:trPr>
        <w:tc>
          <w:tcPr>
            <w:tcW w:type="dxa" w:w="2304"/>
            <w:vAlign w:val="top"/>
          </w:tcPr>
          <w:p>
            <w:r>
              <w:rPr>
                <w:sz w:val="15"/>
              </w:rPr>
              <w:t>Backend</w:t>
            </w:r>
          </w:p>
        </w:tc>
        <w:tc>
          <w:tcPr>
            <w:tcW w:type="dxa" w:w="8064"/>
            <w:vAlign w:val="top"/>
          </w:tcPr>
          <w:p>
            <w:r>
              <w:rPr>
                <w:sz w:val="15"/>
              </w:rPr>
              <w:t>NestJS/Fastify/Mercurius modular + Python engines/workers.</w:t>
            </w:r>
          </w:p>
        </w:tc>
      </w:tr>
      <w:tr>
        <w:trPr>
          <w:cantSplit/>
          <w:cantSplit/>
        </w:trPr>
        <w:tc>
          <w:tcPr>
            <w:tcW w:type="dxa" w:w="2304"/>
            <w:vAlign w:val="top"/>
          </w:tcPr>
          <w:p>
            <w:r>
              <w:rPr>
                <w:sz w:val="15"/>
              </w:rPr>
              <w:t>GIS</w:t>
            </w:r>
          </w:p>
        </w:tc>
        <w:tc>
          <w:tcPr>
            <w:tcW w:type="dxa" w:w="8064"/>
            <w:vAlign w:val="top"/>
          </w:tcPr>
          <w:p>
            <w:r>
              <w:rPr>
                <w:sz w:val="15"/>
              </w:rPr>
              <w:t>PostGIS + Martin + MapLibre/deck.gl; Three.js/Cesium para 3D.</w:t>
            </w:r>
          </w:p>
        </w:tc>
      </w:tr>
      <w:tr>
        <w:trPr>
          <w:cantSplit/>
          <w:cantSplit/>
        </w:trPr>
        <w:tc>
          <w:tcPr>
            <w:tcW w:type="dxa" w:w="2304"/>
            <w:vAlign w:val="top"/>
          </w:tcPr>
          <w:p>
            <w:r>
              <w:rPr>
                <w:sz w:val="15"/>
              </w:rPr>
              <w:t>Dados</w:t>
            </w:r>
          </w:p>
        </w:tc>
        <w:tc>
          <w:tcPr>
            <w:tcW w:type="dxa" w:w="8064"/>
            <w:vAlign w:val="top"/>
          </w:tcPr>
          <w:p>
            <w:r>
              <w:rPr>
                <w:sz w:val="15"/>
              </w:rPr>
              <w:t>Source Registry + snapshots imutáveis + evidence lineage.</w:t>
            </w:r>
          </w:p>
        </w:tc>
      </w:tr>
      <w:tr>
        <w:trPr>
          <w:cantSplit/>
          <w:cantSplit/>
        </w:trPr>
        <w:tc>
          <w:tcPr>
            <w:tcW w:type="dxa" w:w="2304"/>
            <w:vAlign w:val="top"/>
          </w:tcPr>
          <w:p>
            <w:r>
              <w:rPr>
                <w:sz w:val="15"/>
              </w:rPr>
              <w:t>IA</w:t>
            </w:r>
          </w:p>
        </w:tc>
        <w:tc>
          <w:tcPr>
            <w:tcW w:type="dxa" w:w="8064"/>
            <w:vAlign w:val="top"/>
          </w:tcPr>
          <w:p>
            <w:r>
              <w:rPr>
                <w:sz w:val="15"/>
              </w:rPr>
              <w:t>3 especialistas sobre AI Core; RAG temporal e tools determinísticas.</w:t>
            </w:r>
          </w:p>
        </w:tc>
      </w:tr>
      <w:tr>
        <w:trPr>
          <w:cantSplit/>
          <w:cantSplit/>
        </w:trPr>
        <w:tc>
          <w:tcPr>
            <w:tcW w:type="dxa" w:w="2304"/>
            <w:vAlign w:val="top"/>
          </w:tcPr>
          <w:p>
            <w:r>
              <w:rPr>
                <w:sz w:val="15"/>
              </w:rPr>
              <w:t>Billing</w:t>
            </w:r>
          </w:p>
        </w:tc>
        <w:tc>
          <w:tcPr>
            <w:tcW w:type="dxa" w:w="8064"/>
            <w:vAlign w:val="top"/>
          </w:tcPr>
          <w:p>
            <w:r>
              <w:rPr>
                <w:sz w:val="15"/>
              </w:rPr>
              <w:t>Mercado Pago + ledger/entitlements próprios.</w:t>
            </w:r>
          </w:p>
        </w:tc>
      </w:tr>
      <w:tr>
        <w:trPr>
          <w:cantSplit/>
          <w:cantSplit/>
        </w:trPr>
        <w:tc>
          <w:tcPr>
            <w:tcW w:type="dxa" w:w="2304"/>
            <w:vAlign w:val="top"/>
          </w:tcPr>
          <w:p>
            <w:r>
              <w:rPr>
                <w:sz w:val="15"/>
              </w:rPr>
              <w:t>Admin</w:t>
            </w:r>
          </w:p>
        </w:tc>
        <w:tc>
          <w:tcPr>
            <w:tcW w:type="dxa" w:w="8064"/>
            <w:vAlign w:val="top"/>
          </w:tcPr>
          <w:p>
            <w:r>
              <w:rPr>
                <w:sz w:val="15"/>
              </w:rPr>
              <w:t>Control Plane separado e MFA forte.</w:t>
            </w:r>
          </w:p>
        </w:tc>
      </w:tr>
      <w:tr>
        <w:trPr>
          <w:cantSplit/>
          <w:cantSplit/>
        </w:trPr>
        <w:tc>
          <w:tcPr>
            <w:tcW w:type="dxa" w:w="2304"/>
            <w:vAlign w:val="top"/>
          </w:tcPr>
          <w:p>
            <w:r>
              <w:rPr>
                <w:sz w:val="15"/>
              </w:rPr>
              <w:t>Deploy</w:t>
            </w:r>
          </w:p>
        </w:tc>
        <w:tc>
          <w:tcPr>
            <w:tcW w:type="dxa" w:w="8064"/>
            <w:vAlign w:val="top"/>
          </w:tcPr>
          <w:p>
            <w:r>
              <w:rPr>
                <w:sz w:val="15"/>
              </w:rPr>
              <w:t>Docker local; CI/CD → staging → canary → prod; Terraform; Kubernetes só quando justificar.</w:t>
            </w:r>
          </w:p>
        </w:tc>
      </w:tr>
    </w:tbl>
    <w:p/>
    <w:p>
      <w:r>
        <w:rPr>
          <w:b w:val="0"/>
        </w:rPr>
        <w:t>Com estas decisões, o documento passa de catálogo de possibilidades para blueprint executável. A implementação pode iniciar sem escolher novamente linguagem, framework, banco, mapa, mecanismo de autenticação ou fronteira entre módulos.</w:t>
      </w:r>
    </w:p>
    <w:p>
      <w:pPr>
        <w:pStyle w:val="Heading1"/>
        <w:keepNext/>
        <w:pageBreakBefore/>
      </w:pPr>
      <w:r>
        <w:t>33. Referências oficiais consultadas</w:t>
      </w:r>
    </w:p>
    <w:p>
      <w:pPr>
        <w:pStyle w:val="Small"/>
        <w:spacing w:after="40"/>
      </w:pPr>
      <w:r>
        <w:rPr>
          <w:b/>
        </w:rPr>
        <w:t xml:space="preserve">[R1] </w:t>
      </w:r>
      <w:r>
        <w:t>Estatuto da Cidade — Lei 10.257/2001 — https://www.planalto.gov.br/ccivil_03/leis/leis_2001/l10257.htm</w:t>
      </w:r>
    </w:p>
    <w:p>
      <w:pPr>
        <w:pStyle w:val="Small"/>
        <w:spacing w:after="40"/>
      </w:pPr>
      <w:r>
        <w:rPr>
          <w:b/>
        </w:rPr>
        <w:t xml:space="preserve">[R2] </w:t>
      </w:r>
      <w:r>
        <w:t>Parcelamento do Solo Urbano — Lei 6.766/1979 (texto compilado) — https://www.planalto.gov.br/ccivil_03/leis/l6766compilado.htm</w:t>
      </w:r>
    </w:p>
    <w:p>
      <w:pPr>
        <w:pStyle w:val="Small"/>
        <w:spacing w:after="40"/>
      </w:pPr>
      <w:r>
        <w:rPr>
          <w:b/>
        </w:rPr>
        <w:t xml:space="preserve">[R3] </w:t>
      </w:r>
      <w:r>
        <w:t>Política Nacional de Mobilidade Urbana — Lei 12.587/2012 — https://www.planalto.gov.br/ccivil_03/_ato2011-2014/2012/lei/l12587.htm</w:t>
      </w:r>
    </w:p>
    <w:p>
      <w:pPr>
        <w:pStyle w:val="Small"/>
        <w:spacing w:after="40"/>
      </w:pPr>
      <w:r>
        <w:rPr>
          <w:b/>
        </w:rPr>
        <w:t xml:space="preserve">[R4] </w:t>
      </w:r>
      <w:r>
        <w:t>Código Florestal — Lei 12.651/2012 — https://www.planalto.gov.br/ccivil_03/_ato2011-2014/2012/lei/l12651.htm</w:t>
      </w:r>
    </w:p>
    <w:p>
      <w:pPr>
        <w:pStyle w:val="Small"/>
        <w:spacing w:after="40"/>
      </w:pPr>
      <w:r>
        <w:rPr>
          <w:b/>
        </w:rPr>
        <w:t xml:space="preserve">[R5] </w:t>
      </w:r>
      <w:r>
        <w:t>Diretrizes Nacionais para o Saneamento Básico — Lei 11.445/2007 (compilada) — https://www.planalto.gov.br/ccivil_03/_ato2007-2010/2007/lei/l11445compilado.htm</w:t>
      </w:r>
    </w:p>
    <w:p>
      <w:pPr>
        <w:pStyle w:val="Small"/>
        <w:spacing w:after="40"/>
      </w:pPr>
      <w:r>
        <w:rPr>
          <w:b/>
        </w:rPr>
        <w:t xml:space="preserve">[R6] </w:t>
      </w:r>
      <w:r>
        <w:t>INDE — Decreto 6.666/2008, atualizado pelo Decreto 12.402/2025 — https://www.planalto.gov.br/ccivil_03/_ato2007-2010/2008/decreto/d6666.htm</w:t>
      </w:r>
    </w:p>
    <w:p>
      <w:pPr>
        <w:pStyle w:val="Small"/>
        <w:spacing w:after="40"/>
      </w:pPr>
      <w:r>
        <w:rPr>
          <w:b/>
        </w:rPr>
        <w:t xml:space="preserve">[R7] </w:t>
      </w:r>
      <w:r>
        <w:t>IBGE — Malha Municipal Digital — https://www.ibge.gov.br/geociencias/organizacao-do-territorio/malhas-territoriais/15774-malhas.html</w:t>
      </w:r>
    </w:p>
    <w:p>
      <w:pPr>
        <w:pStyle w:val="Small"/>
        <w:spacing w:after="40"/>
      </w:pPr>
      <w:r>
        <w:rPr>
          <w:b/>
        </w:rPr>
        <w:t xml:space="preserve">[R8] </w:t>
      </w:r>
      <w:r>
        <w:t>IBGE — Malha de Setores Censitários — https://www.ibge.gov.br/geociencias/organizacao-do-territorio/malhas-territoriais/26565-malhas-de-setores-censitarios-divisoes-intramunicipais.html</w:t>
      </w:r>
    </w:p>
    <w:p>
      <w:pPr>
        <w:pStyle w:val="Small"/>
        <w:spacing w:after="40"/>
      </w:pPr>
      <w:r>
        <w:rPr>
          <w:b/>
        </w:rPr>
        <w:t xml:space="preserve">[R8B] </w:t>
      </w:r>
      <w:r>
        <w:t>IBGE — Base de Faces de Logradouros — https://www.ibge.gov.br/geociencias/organizacao-do-territorio/malhas-territoriais/28971-base-de-faces-de-logradouros-do-brasil.html</w:t>
      </w:r>
    </w:p>
    <w:p>
      <w:pPr>
        <w:pStyle w:val="Small"/>
        <w:spacing w:after="40"/>
      </w:pPr>
      <w:r>
        <w:rPr>
          <w:b/>
        </w:rPr>
        <w:t xml:space="preserve">[R9] </w:t>
      </w:r>
      <w:r>
        <w:t>Receita Federal — SINTER: Dados Abertos - Imóveis Urbanos — https://www.gov.br/receitafederal/pt-br/acesso-a-informacao/acoes-e-programas/programas-e-atividades/sinter/dados-abertos</w:t>
      </w:r>
    </w:p>
    <w:p>
      <w:pPr>
        <w:pStyle w:val="Small"/>
        <w:spacing w:after="40"/>
      </w:pPr>
      <w:r>
        <w:rPr>
          <w:b/>
        </w:rPr>
        <w:t xml:space="preserve">[R10] </w:t>
      </w:r>
      <w:r>
        <w:t>Receita Federal — Visualizador Territorial do SINTER — https://www.gov.br/receitafederal/pt-br/acesso-a-informacao/acoes-e-programas/programas-e-atividades/sinter/entenda/como-acessar-o-visualizador-territorial</w:t>
      </w:r>
    </w:p>
    <w:p>
      <w:pPr>
        <w:pStyle w:val="Small"/>
        <w:spacing w:after="40"/>
      </w:pPr>
      <w:r>
        <w:rPr>
          <w:b/>
        </w:rPr>
        <w:t xml:space="preserve">[R11] </w:t>
      </w:r>
      <w:r>
        <w:t>CNJ — Sistema de Registro Eletrônico de Imóveis (SREI) — https://www.cnj.jus.br/srei/</w:t>
      </w:r>
    </w:p>
    <w:p>
      <w:pPr>
        <w:pStyle w:val="Small"/>
        <w:spacing w:after="40"/>
      </w:pPr>
      <w:r>
        <w:rPr>
          <w:b/>
        </w:rPr>
        <w:t xml:space="preserve">[R12] </w:t>
      </w:r>
      <w:r>
        <w:t>INCRA — Perguntas frequentes / SIGEF — https://www.gov.br/incra/pt-br/acesso-a-informacao/perguntas-frequentes</w:t>
      </w:r>
    </w:p>
    <w:p>
      <w:pPr>
        <w:pStyle w:val="Small"/>
        <w:spacing w:after="40"/>
      </w:pPr>
      <w:r>
        <w:rPr>
          <w:b/>
        </w:rPr>
        <w:t xml:space="preserve">[R13] </w:t>
      </w:r>
      <w:r>
        <w:t>Cadastro Ambiental Rural — visão geral e SICAR — https://www.gov.br/agricultura/pt-br/assuntos/florestal/cadastro-ambiental-rural-1</w:t>
      </w:r>
    </w:p>
    <w:p>
      <w:pPr>
        <w:pStyle w:val="Small"/>
        <w:spacing w:after="40"/>
      </w:pPr>
      <w:r>
        <w:rPr>
          <w:b/>
        </w:rPr>
        <w:t xml:space="preserve">[R13B] </w:t>
      </w:r>
      <w:r>
        <w:t>Catálogo de APIs governamentais — SICAR Imóvel — https://www.gov.br/conecta/catalogo/apis/sicar-imovel</w:t>
      </w:r>
    </w:p>
    <w:p>
      <w:pPr>
        <w:pStyle w:val="Small"/>
        <w:spacing w:after="40"/>
      </w:pPr>
      <w:r>
        <w:rPr>
          <w:b/>
        </w:rPr>
        <w:t xml:space="preserve">[R14] </w:t>
      </w:r>
      <w:r>
        <w:t>IBAMA — Termos de embargo / dados abertos — https://dadosabertos.ibama.gov.br/dataset/fiscalizacao-termo-de-embargo</w:t>
      </w:r>
    </w:p>
    <w:p>
      <w:pPr>
        <w:pStyle w:val="Small"/>
        <w:spacing w:after="40"/>
      </w:pPr>
      <w:r>
        <w:rPr>
          <w:b/>
        </w:rPr>
        <w:t xml:space="preserve">[R15] </w:t>
      </w:r>
      <w:r>
        <w:t>INPE — TerraBrasilis / acesso aos dados — https://terrabrasilis.dpi.inpe.br/acesso-aos-dados/</w:t>
      </w:r>
    </w:p>
    <w:p>
      <w:pPr>
        <w:pStyle w:val="Small"/>
        <w:spacing w:after="40"/>
      </w:pPr>
      <w:r>
        <w:rPr>
          <w:b/>
        </w:rPr>
        <w:t xml:space="preserve">[R16] </w:t>
      </w:r>
      <w:r>
        <w:t>ICMBio — Dados geoespaciais e geosserviços — https://www.gov.br/icmbio/pt-br/assuntos/dados_geoespaciais</w:t>
      </w:r>
    </w:p>
    <w:p>
      <w:pPr>
        <w:pStyle w:val="Small"/>
        <w:spacing w:after="40"/>
      </w:pPr>
      <w:r>
        <w:rPr>
          <w:b/>
        </w:rPr>
        <w:t xml:space="preserve">[R17] </w:t>
      </w:r>
      <w:r>
        <w:t>ANM — SIGMINE / processos minerários — https://dadosabertos.anm.gov.br/SIGMINE/PROCESSOS_MINERARIOS/</w:t>
      </w:r>
    </w:p>
    <w:p>
      <w:pPr>
        <w:pStyle w:val="Small"/>
        <w:spacing w:after="40"/>
      </w:pPr>
      <w:r>
        <w:rPr>
          <w:b/>
        </w:rPr>
        <w:t xml:space="preserve">[R18] </w:t>
      </w:r>
      <w:r>
        <w:t>ANEEL — Base de Dados Geográfica da Distribuidora (BDGD) — https://dadosabertos.aneel.gov.br/dataset/base-de-dados-geografica-da-distribuidora-bdgd</w:t>
      </w:r>
    </w:p>
    <w:p>
      <w:pPr>
        <w:pStyle w:val="Small"/>
        <w:spacing w:after="40"/>
      </w:pPr>
      <w:r>
        <w:rPr>
          <w:b/>
        </w:rPr>
        <w:t xml:space="preserve">[R19] </w:t>
      </w:r>
      <w:r>
        <w:t>Anatel — Dados Abertos — https://www.gov.br/anatel/pt-br/dados/dados-abertos</w:t>
      </w:r>
    </w:p>
    <w:p>
      <w:pPr>
        <w:pStyle w:val="Small"/>
        <w:spacing w:after="40"/>
      </w:pPr>
      <w:r>
        <w:rPr>
          <w:b/>
        </w:rPr>
        <w:t xml:space="preserve">[R19B] </w:t>
      </w:r>
      <w:r>
        <w:t>Anatel — Universalização e Ampliação do Acesso — https://www.gov.br/anatel/pt-br/regulado/universalizacao</w:t>
      </w:r>
    </w:p>
    <w:p>
      <w:pPr>
        <w:pStyle w:val="Small"/>
        <w:spacing w:after="40"/>
      </w:pPr>
      <w:r>
        <w:rPr>
          <w:b/>
        </w:rPr>
        <w:t xml:space="preserve">[R20] </w:t>
      </w:r>
      <w:r>
        <w:t>ANAC — Metadados de aeródromos públicos — https://www.gov.br/anac/pt-br/acesso-a-informacao/dados-abertos/areas-de-atuacao/aerodromos/aerodromos-publicos/aerodromos-publicos-caracteristicas-gerais/metadados-aerodromos-publicos-caracteristicas-gerais</w:t>
      </w:r>
    </w:p>
    <w:p>
      <w:pPr>
        <w:pStyle w:val="Small"/>
        <w:spacing w:after="40"/>
      </w:pPr>
      <w:r>
        <w:rPr>
          <w:b/>
        </w:rPr>
        <w:t xml:space="preserve">[R20B] </w:t>
      </w:r>
      <w:r>
        <w:t>ANTAQ — Informações Geográficas — https://www.gov.br/antaq/pt-br/central-de-conteudos/informacoes-geograficas</w:t>
      </w:r>
    </w:p>
    <w:p>
      <w:pPr>
        <w:pStyle w:val="Small"/>
        <w:spacing w:after="40"/>
      </w:pPr>
      <w:r>
        <w:rPr>
          <w:b/>
        </w:rPr>
        <w:t xml:space="preserve">[R21] </w:t>
      </w:r>
      <w:r>
        <w:t>ANP — Gasodutos de Transporte / instalações — https://www.gov.br/anp/pt-br/assuntos/movimentacao-estocagem-e-comercializacao-de-gas-natural/transporte-de-gas-natural/gasodutos-de-transporte-instalacoes</w:t>
      </w:r>
    </w:p>
    <w:p>
      <w:pPr>
        <w:pStyle w:val="Small"/>
        <w:spacing w:after="40"/>
      </w:pPr>
      <w:r>
        <w:rPr>
          <w:b/>
        </w:rPr>
        <w:t xml:space="preserve">[R22] </w:t>
      </w:r>
      <w:r>
        <w:t>SGB — Cartografia de Riscos Geológicos — https://www.sgb.gov.br/pt/cartografia-de-riscos-geologicos</w:t>
      </w:r>
    </w:p>
    <w:p>
      <w:pPr>
        <w:pStyle w:val="Small"/>
        <w:spacing w:after="40"/>
      </w:pPr>
      <w:r>
        <w:rPr>
          <w:b/>
        </w:rPr>
        <w:t xml:space="preserve">[R23] </w:t>
      </w:r>
      <w:r>
        <w:t>IPHAN — Bens Tombados — https://www.gov.br/iphan/pt-br/patrimonio-cultural/patrimonio-material/bens-tombados</w:t>
      </w:r>
    </w:p>
    <w:p>
      <w:pPr>
        <w:pStyle w:val="Small"/>
        <w:spacing w:after="40"/>
      </w:pPr>
      <w:r>
        <w:rPr>
          <w:b/>
        </w:rPr>
        <w:t xml:space="preserve">[R24] </w:t>
      </w:r>
      <w:r>
        <w:t>INEP — Inep Data / Catálogo de Escolas — https://www.gov.br/inep/pt-br/acesso-a-informacao/dados-abertos/inep-data</w:t>
      </w:r>
    </w:p>
    <w:p>
      <w:pPr>
        <w:pStyle w:val="Small"/>
        <w:spacing w:after="40"/>
      </w:pPr>
      <w:r>
        <w:rPr>
          <w:b/>
        </w:rPr>
        <w:t xml:space="preserve">[R25] </w:t>
      </w:r>
      <w:r>
        <w:t>Ministério da Saúde — CNES / Dados Abertos — https://dadosabertos.saude.gov.br/dataset/cnes-cadastro-nacional-de-estabelecimentos-de-saude</w:t>
      </w:r>
    </w:p>
    <w:p>
      <w:pPr>
        <w:pStyle w:val="Small"/>
        <w:spacing w:after="30"/>
      </w:pPr>
      <w:r>
        <w:t>[R26] RE Rural — produto de referência, página pública de dados/fontes e funcionalidades (consulta 20/08/2026) — https://www.registrorural.com.br/</w:t>
      </w:r>
    </w:p>
    <w:p>
      <w:pPr>
        <w:pStyle w:val="Small"/>
        <w:spacing w:after="30"/>
      </w:pPr>
      <w:r>
        <w:t>[R27] Produto de referência — documentação pública de análise de sobreposição — https://www.registrorural.com.br/docs/analise-de-sobreposicao/</w:t>
      </w:r>
    </w:p>
    <w:p>
      <w:pPr>
        <w:pStyle w:val="Small"/>
        <w:spacing w:after="30"/>
      </w:pPr>
      <w:r>
        <w:t>[R28] Produto de referência — documentação pública de download KML/KMZ — https://www.registrorural.com.br/docs/download-kml-kmz/</w:t>
      </w:r>
    </w:p>
    <w:p>
      <w:pPr>
        <w:pStyle w:val="Small"/>
        <w:spacing w:after="30"/>
      </w:pPr>
      <w:r>
        <w:t>[R29] Produto de referência — documentação pública de monitoramento de CAR — https://www.registrorural.com.br/docs/monitoramento-de-car/</w:t>
      </w:r>
    </w:p>
    <w:p>
      <w:pPr>
        <w:pStyle w:val="Small"/>
        <w:spacing w:after="30"/>
      </w:pPr>
      <w:r>
        <w:t>[R30] Produto de referência — relatórios CAR/INCRA e buscas por CPF/CNPJ — https://www.registrorural.com.br/relatorios/</w:t>
      </w:r>
    </w:p>
    <w:p>
      <w:pPr>
        <w:pStyle w:val="Small"/>
        <w:spacing w:after="30"/>
      </w:pPr>
      <w:r>
        <w:t>[R31] Governo Federal — Meu Imóvel Rural: consulta integrada CAR, SNCR e SIGEF — https://www.gov.br/pt-br/servicos/consultar-dados-de-imoveis-rurais-na-plataforma-meu-imovel-rural</w:t>
      </w:r>
    </w:p>
    <w:p>
      <w:pPr>
        <w:pStyle w:val="Small"/>
        <w:spacing w:after="30"/>
      </w:pPr>
      <w:r>
        <w:t>[R32] INCRA — Certificado de Cadastro de Imóvel Rural (CCIR) — https://www.gov.br/incra/pt-br/assuntos/governanca-fundiaria/cadastro-imovel-rural</w:t>
      </w:r>
    </w:p>
    <w:p>
      <w:pPr>
        <w:pStyle w:val="Small"/>
        <w:spacing w:after="30"/>
      </w:pPr>
      <w:r>
        <w:t>[R33] Governo Federal / INCRA — Consultar parcelas certificadas SIGEF — https://www.gov.br/pt-br/servicos/consultar-parcelas-certificadas</w:t>
      </w:r>
    </w:p>
    <w:p>
      <w:pPr>
        <w:pStyle w:val="Small"/>
        <w:spacing w:after="30"/>
      </w:pPr>
      <w:r>
        <w:t>[R34] Receita Federal — Imóveis Rurais: CAFIR, CNIR, CIB e SNCR — https://www.gov.br/receitafederal/pt-br/servicos/cadastro/rural/imoveis-rurais</w:t>
      </w:r>
    </w:p>
    <w:p>
      <w:pPr>
        <w:pStyle w:val="Small"/>
        <w:spacing w:after="30"/>
      </w:pPr>
      <w:r>
        <w:t>[R35] Receita Federal — Cadastro Imobiliário Brasileiro (CIB) / SINTER — https://www.gov.br/receitafederal/pt-br/acesso-a-informacao/acoes-e-programas/programas-e-atividades/sinter/cib</w:t>
      </w:r>
    </w:p>
    <w:p>
      <w:pPr>
        <w:pStyle w:val="Small"/>
        <w:spacing w:after="30"/>
      </w:pPr>
      <w:r>
        <w:t>[R36] Banco Central — Tabelas e Microdados do Crédito Rural e do Proagro (SICOR) — https://www.bcb.gov.br/estabilidadefinanceira/tabelas-credito-rural-proagro</w:t>
      </w:r>
    </w:p>
    <w:p>
      <w:pPr>
        <w:pStyle w:val="Small"/>
        <w:spacing w:after="30"/>
      </w:pPr>
      <w:r>
        <w:t>[R37] FUNAI — Terras Indígenas: dados geoespaciais e GeoServer — https://www.gov.br/funai/pt-br/atuacao/terras-indigenas/geoprocessamento-e-mapas</w:t>
      </w:r>
    </w:p>
    <w:p>
      <w:pPr>
        <w:pStyle w:val="Small"/>
        <w:spacing w:after="30"/>
      </w:pPr>
      <w:r>
        <w:t>[R38] MMA — Cadastro Nacional de Unidades de Conservação (CNUC) — https://www.gov.br/pt-br/servicos/obter-informacoes-sobre-as-unidades-de-conservacao-ambiental-nacionais</w:t>
      </w:r>
    </w:p>
    <w:p>
      <w:pPr>
        <w:pStyle w:val="Small"/>
        <w:spacing w:after="30"/>
      </w:pPr>
      <w:r>
        <w:t>[R39] INCRA — Acervo Fundiário: certificação, assentamentos, quilombolas e webservices OGC — https://acervofundiario.incra.gov.br/</w:t>
      </w:r>
    </w:p>
    <w:p>
      <w:pPr>
        <w:pStyle w:val="Small"/>
        <w:spacing w:after="30"/>
      </w:pPr>
      <w:r>
        <w:t>[R40] INPE — TerraBrasilis: downloads, WFS/GeoServer e metadados PRODES/DETER — https://terrabrasilis.dpi.inpe.br/acesso-aos-dados/</w:t>
      </w:r>
    </w:p>
    <w:p>
      <w:pPr>
        <w:pStyle w:val="Small"/>
        <w:spacing w:after="30"/>
      </w:pPr>
      <w:r>
        <w:t>[R41] IBAMA — Dados abertos de Termos de Embargo — https://dadosabertos.ibama.gov.br/dataset/?q=embargo</w:t>
      </w:r>
    </w:p>
    <w:p>
      <w:pPr>
        <w:pStyle w:val="Small"/>
        <w:spacing w:after="30"/>
      </w:pPr>
      <w:r>
        <w:t>[R42] Governo Federal — Cadastro Ambiental Rural (CAR/SICAR), caráter nacional e governança por UF — https://www.gov.br/pt-br/servicos/inscrever-imovel-rural-no-cadastro-ambiental-rural-car</w:t>
      </w:r>
    </w:p>
    <w:p>
      <w:pPr>
        <w:pStyle w:val="Small"/>
      </w:pPr>
      <w:r>
        <w:t>[R43] Código Civil — Lei 10.406/2002, arts. 1.331 a 1.358 e dispositivos correlatos (texto compilado) — https://www.planalto.gov.br/ccivil_03/leis/2002/l10406compilada.htm</w:t>
      </w:r>
    </w:p>
    <w:p>
      <w:pPr>
        <w:pStyle w:val="Small"/>
      </w:pPr>
      <w:r>
        <w:t>[R44] Condomínio em edificações e incorporações imobiliárias — Lei 4.591/1964 (texto compilado) — https://www.planalto.gov.br/ccivil_03/leis/l4591compilado.htm</w:t>
      </w:r>
    </w:p>
    <w:p>
      <w:pPr>
        <w:pStyle w:val="Small"/>
      </w:pPr>
      <w:r>
        <w:t>[R45] Condomínio de lotes — Lei 13.465/2017, art. 58, que acrescentou o art. 1.358-A ao Código Civil — https://www.planalto.gov.br/ccivil_03/_ato2015-2018/2017/lei/l13465.htm</w:t>
      </w:r>
    </w:p>
    <w:p>
      <w:pPr>
        <w:pStyle w:val="Small"/>
      </w:pPr>
      <w:r>
        <w:t>[R46] Assembleias eletrônicas/híbridas e sessão permanente em condomínios — Lei 14.309/2022 — https://www.planalto.gov.br/ccivil_03/_ato2019-2022/2022/lei/l14309.htm</w:t>
      </w:r>
    </w:p>
    <w:p>
      <w:pPr>
        <w:pStyle w:val="Small"/>
      </w:pPr>
      <w:r>
        <w:t>[R47] Alteração de convenção e mudança de destinação por 2/3 — Lei 14.405/2022 — https://www.planalto.gov.br/ccivil_03/_ato2019-2022/2022/lei/l14405.htm</w:t>
      </w:r>
    </w:p>
    <w:p>
      <w:pPr>
        <w:pStyle w:val="Small"/>
      </w:pPr>
      <w:r>
        <w:t>[R48] Lei Geral de Proteção de Dados Pessoais (LGPD) — Lei 13.709/2018 (texto compilado) — https://www.planalto.gov.br/ccivil_03/_ato2015-2018/2018/lei/l13709compilado.htm</w:t>
      </w:r>
    </w:p>
    <w:p>
      <w:pPr>
        <w:pStyle w:val="Small"/>
        <w:spacing w:after="30"/>
      </w:pPr>
      <w:r>
        <w:t>[R49] Google Maps Platform — Solar API overview — https://developers.google.com/maps/documentation/solar/overview</w:t>
      </w:r>
    </w:p>
    <w:p>
      <w:pPr>
        <w:pStyle w:val="Small"/>
        <w:spacing w:after="30"/>
      </w:pPr>
      <w:r>
        <w:t>[R50] Google Maps Platform — Solar API methodology — https://developers.google.com/maps/documentation/solar/methodology</w:t>
      </w:r>
    </w:p>
    <w:p>
      <w:pPr>
        <w:pStyle w:val="Small"/>
        <w:spacing w:after="30"/>
      </w:pPr>
      <w:r>
        <w:t>[R51] Google Maps Platform — Solar API dataLayers / GeoTIFF — https://developers.google.com/maps/documentation/solar/data-layers</w:t>
      </w:r>
    </w:p>
    <w:p>
      <w:pPr>
        <w:pStyle w:val="Small"/>
        <w:spacing w:after="30"/>
      </w:pPr>
      <w:r>
        <w:t>[R52] Google Maps Platform — Solar API buildingInsights — https://developers.google.com/maps/documentation/solar/building-insights</w:t>
      </w:r>
    </w:p>
    <w:p>
      <w:pPr>
        <w:pStyle w:val="Small"/>
        <w:spacing w:after="30"/>
      </w:pPr>
      <w:r>
        <w:t>[R53] Google Maps Platform — Solar API coverage and imagery quality — https://developers.google.com/maps/documentation/solar/coverage</w:t>
      </w:r>
    </w:p>
    <w:p>
      <w:pPr>
        <w:pStyle w:val="Small"/>
        <w:spacing w:after="30"/>
      </w:pPr>
      <w:r>
        <w:t>[R54] Google Maps Platform — Solar API release notes / detected arrays — https://developers.google.com/maps/documentation/solar/release-notes</w:t>
      </w:r>
    </w:p>
    <w:p>
      <w:pPr>
        <w:pStyle w:val="Small"/>
        <w:spacing w:after="30"/>
      </w:pPr>
      <w:r>
        <w:t>[R55] Google Maps Platform — Map Tiles API / Photorealistic 3D Tiles — https://developers.google.com/maps/documentation/tile/overview</w:t>
      </w:r>
    </w:p>
    <w:p>
      <w:pPr>
        <w:pStyle w:val="Small"/>
        <w:spacing w:after="30"/>
      </w:pPr>
      <w:r>
        <w:t>[R56] Google Maps Platform — Photorealistic 3D Maps coverage — https://developers.google.com/maps/documentation/javascript/3d/coverage</w:t>
      </w:r>
    </w:p>
    <w:p>
      <w:pPr>
        <w:pStyle w:val="Small"/>
        <w:spacing w:after="30"/>
      </w:pPr>
      <w:r>
        <w:t>[R57] NREL — PVWatts V8 API — https://developer.nrel.gov/docs/solar/pvwatts/v8/</w:t>
      </w:r>
    </w:p>
    <w:p>
      <w:pPr>
        <w:pStyle w:val="Small"/>
        <w:spacing w:after="30"/>
      </w:pPr>
      <w:r>
        <w:t>[R58] INPE/LABREN — Atlas Brasileiro de Energia Solar, 2ª edição e bases — https://labren.ccst.inpe.br/atlas_2017.html</w:t>
      </w:r>
    </w:p>
    <w:p>
      <w:pPr>
        <w:pStyle w:val="Small"/>
        <w:spacing w:after="30"/>
      </w:pPr>
      <w:r>
        <w:t>[R59] Marco Legal da Microgeração e Minigeração Distribuída / SCEE — Lei 14.300/2022 — https://www.planalto.gov.br/ccivil_03/_ato2019-2022/2022/lei/l14300.htm</w:t>
      </w:r>
    </w:p>
    <w:p>
      <w:pPr>
        <w:pStyle w:val="Small"/>
        <w:spacing w:after="30"/>
      </w:pPr>
      <w:r>
        <w:t>[R60] ANEEL — Micro e Minigeração Distribuída; REN 1.000/2021 e referências — https://www.gov.br/aneel/pt-br/assuntos/geracao-distribuida/</w:t>
      </w:r>
    </w:p>
    <w:p>
      <w:pPr>
        <w:pStyle w:val="Small"/>
        <w:spacing w:after="30"/>
      </w:pPr>
      <w:r>
        <w:t>[R61] ANEEL Dados Abertos — Relação de empreendimentos de Mini e Micro Geração Distribuída — https://dadosabertos.aneel.gov.br/dataset/relacao-de-empreendimentos-de-geracao-distribuida</w:t>
      </w:r>
    </w:p>
    <w:p>
      <w:pPr>
        <w:pStyle w:val="Small"/>
        <w:spacing w:after="30"/>
      </w:pPr>
      <w:r>
        <w:t>[R62] ANEEL Dados Abertos — Pedidos de conexão MMGD pós Lei 14.300 — https://dadosabertos.aneel.gov.br/dataset/atendimento-mmgd-mini-e-micro-geracao-distribuida</w:t>
      </w:r>
    </w:p>
    <w:p>
      <w:pPr>
        <w:pStyle w:val="Small"/>
        <w:spacing w:after="30"/>
      </w:pPr>
      <w:r>
        <w:t>[R63] ANEEL — Regras e Procedimentos de Distribuição (PRODIST) — https://www.gov.br/aneel/pt-br/centrais-de-conteudos/procedimentos-regulatorios/prodist</w:t>
      </w:r>
    </w:p>
    <w:p>
      <w:pPr>
        <w:pStyle w:val="Small"/>
        <w:spacing w:after="30"/>
      </w:pPr>
      <w:r>
        <w:t>[R64] ANEEL Dados Abertos — Tarifas de aplicação das distribuidoras (TE/TUSD) — https://dadosabertos.aneel.gov.br/dataset/tarifas-distribuidoras-energia-eletrica</w:t>
      </w:r>
    </w:p>
    <w:p>
      <w:pPr>
        <w:pStyle w:val="Small"/>
        <w:spacing w:after="30"/>
      </w:pPr>
      <w:r>
        <w:t>[R65] pvlib Python — documentação de posição solar e modelagem fotovoltaica — https://pvlib-python.readthedocs.io/</w:t>
      </w:r>
    </w:p>
    <w:p>
      <w:pPr>
        <w:spacing w:after="60"/>
      </w:pPr>
      <w:r>
        <w:t>[R66] Arqgen — Viabiliza Terrenos: importação DWG/KMZ, topografia, APP/declividade, regras urbanísticas, cenários, terraplenagem, viário e vagas — https://www.arqgen.com.br/viabilidade/</w:t>
      </w:r>
    </w:p>
    <w:p>
      <w:pPr>
        <w:spacing w:after="60"/>
      </w:pPr>
      <w:r>
        <w:t>[R67] Arqgen — Evolução Q2/2025: quadro de áreas, afastamentos por fórmula, mix de algoritmos, unit mix, pavimentos e áreas computáveis — https://www.arqgen.com.br/blog/evolucao-arqgen-q2/</w:t>
      </w:r>
    </w:p>
    <w:p>
      <w:pPr>
        <w:spacing w:after="60"/>
      </w:pPr>
      <w:r>
        <w:t>[R68] Arqgen — Evolução Q3/2025: viário, variações, garagem, formatos de torre, recuos, núcleos, rota, filtros e área de matrícula — https://arqgen.com.br/blog/q3-produto-tech-arqgen/</w:t>
      </w:r>
    </w:p>
    <w:p>
      <w:pPr>
        <w:spacing w:after="60"/>
      </w:pPr>
      <w:r>
        <w:t>[R69] Arqgen/Viab — exemplo público de dossiê de viabilidade: legislação, implantação, áreas, mix e indicadores — https://www.arqgen.com.br/wp-content/uploads/2026/05/dossie-viab-1778697002392.html</w:t>
      </w:r>
    </w:p>
    <w:p>
      <w:pPr>
        <w:spacing w:after="60"/>
      </w:pPr>
      <w:r>
        <w:t>[R70] TestFit — Site Solver: code parameters, parking, topografia/cut-fill e deal modeling — https://www.testfit.io/product/site-solver</w:t>
      </w:r>
    </w:p>
    <w:p>
      <w:pPr>
        <w:spacing w:after="60"/>
      </w:pPr>
      <w:r>
        <w:t>[R71] Autodesk Forma Site Design — site automation, parking, floor plans/units e análises ambientais — https://www.autodesk.com/products/forma/product-details</w:t>
      </w:r>
    </w:p>
    <w:p>
      <w:pPr>
        <w:spacing w:after="60"/>
      </w:pPr>
      <w:r>
        <w:t>[R72] Autodesk — Building Layout Explorer / generative AI para floor plans a partir de massing — https://adsknews.autodesk.com/en/news/building-layout-explorer-in-autodesk-forma/</w:t>
      </w:r>
    </w:p>
    <w:p>
      <w:pPr>
        <w:spacing w:after="60"/>
      </w:pPr>
      <w:r>
        <w:t>[R73] Finch — geração de layouts, design systems, unit mix, floor plans e BIM — https://www.finch3d.com/product</w:t>
      </w:r>
    </w:p>
    <w:p>
      <w:pPr>
        <w:spacing w:after="60"/>
      </w:pPr>
      <w:r>
        <w:t>[R74] Maket — geração/edição de floor plans por IA e linguagem natural — https://www.maket.ai/features</w:t>
      </w:r>
    </w:p>
    <w:p>
      <w:pPr>
        <w:spacing w:after="60"/>
      </w:pPr>
      <w:r>
        <w:t>[R75] Archistar — Property Data API: planning essentials e development potential — https://docs.archistar.ai/</w:t>
      </w:r>
    </w:p>
    <w:p>
      <w:pPr>
        <w:spacing w:after="60"/>
      </w:pPr>
      <w:r>
        <w:t>[R76] Google OR-Tools — Constraint Optimization / CP-SAT — https://developers.google.com/optimization/cp</w:t>
      </w:r>
    </w:p>
    <w:p>
      <w:pPr>
        <w:spacing w:after="60"/>
      </w:pPr>
      <w:r>
        <w:t>[R77] IfcOpenShell — documentação para leitura/escrita e geometria IFC — https://docs.ifcopenshell.org/</w:t>
      </w:r>
    </w:p>
    <w:p>
      <w:pPr>
        <w:spacing w:after="60"/>
      </w:pPr>
      <w:r>
        <w:t>[R78] Speckle — interoperabilidade de IFC/Rhino/Revit e modelos 3D — https://speckle.systems/integrations/ifc/</w:t>
      </w:r>
    </w:p>
    <w:p>
      <w:pPr>
        <w:spacing w:after="60"/>
      </w:pPr>
      <w:r>
        <w:t>[R79] Sun &amp; Dogan — Generative methods for Urban Design and rapid solution-space exploration, multi-objective optimization — https://arxiv.org/abs/2212.06783</w:t>
      </w:r>
    </w:p>
    <w:p>
      <w:pPr>
        <w:pStyle w:val="Small"/>
      </w:pPr>
      <w:r>
        <w:t>[R80] Ministério das Cidades / MDR — Portaria nº 3.242/2022 e diretrizes para criação, instituição e atualização do Cadastro Territorial Multifinalitário (CTM) nos municípios brasileiros — https://www.gov.br/cidades/pt-br/acesso-a-informacao/institucional/base-juridica/secretaria-nacional-de-desenvolvimento-urbano-e-metropolitano</w:t>
      </w:r>
    </w:p>
    <w:p>
      <w:pPr>
        <w:pStyle w:val="Small"/>
      </w:pPr>
      <w:r>
        <w:t>[R81] Receita Federal — SINTER: etapas de integração dos municípios (adesão, preparação, testes, produção, internalização do CIB e atualização contínua) — https://www.gov.br/receitafederal/pt-br/acesso-a-informacao/acoes-e-programas/programas-e-atividades/sinter/municipios</w:t>
      </w:r>
    </w:p>
    <w:p>
      <w:pPr>
        <w:pStyle w:val="Small"/>
      </w:pPr>
      <w:r>
        <w:t>[R82] Receita Federal — Cadastro Imobiliário Brasileiro (CIB): CIB Urbano, origem municipal e prazos de integração — https://www.gov.br/receitafederal/pt-br/acesso-a-informacao/acoes-e-programas/programas-e-atividades/sinter/cib</w:t>
      </w:r>
    </w:p>
    <w:p>
      <w:pPr>
        <w:pStyle w:val="Small"/>
      </w:pPr>
      <w:r>
        <w:t>[R83] Receita Federal — SINTER: integração do cadastro municipal, ambientes de teste e produção e internalização do CIB — https://www.gov.br/receitafederal/pt-br/acesso-a-informacao/acoes-e-programas/programas-e-atividades/sinter/comunicados-aos-municipios/como-aderir-ao-convenio-sinter</w:t>
      </w:r>
    </w:p>
    <w:p>
      <w:pPr>
        <w:pStyle w:val="Small"/>
      </w:pPr>
      <w:r>
        <w:t>[R84] Governo Digital — Lei 14.129/2021: interoperabilidade, serviços digitais, dados abertos e governo como plataforma — https://www.planalto.gov.br/ccivil_03/_ato2019-2022/2021/lei/l14129.htm</w:t>
      </w:r>
    </w:p>
    <w:p>
      <w:pPr>
        <w:pStyle w:val="Small"/>
      </w:pPr>
      <w:r>
        <w:t>[R85] Lei de Acesso à Informação — Lei 12.527/2011: pesquisa, formatos abertos, acesso automatizado, autenticidade, integridade e atualização — https://www.planalto.gov.br/ccivil_03/_ato2011-2014/2011/lei/l12527.htm</w:t>
      </w:r>
    </w:p>
    <w:p>
      <w:pPr>
        <w:pStyle w:val="Small"/>
      </w:pPr>
      <w:r>
        <w:t>[R86] NIST — Artificial Intelligence Risk Management Framework: Generative Artificial Intelligence Profile (NIST AI 600-1), atualizado em 2026 — https://www.nist.gov/publications/artificial-intelligence-risk-management-framework-generative-artificial-intelligence</w:t>
      </w:r>
    </w:p>
    <w:p>
      <w:pPr>
        <w:pStyle w:val="Small"/>
      </w:pPr>
      <w:r>
        <w:t>[R87] NIST — SP 800-218A: Secure Software Development Practices for Generative AI and Dual-Use Foundation Models — https://csrc.nist.gov/pubs/sp/800/218/a/final</w:t>
      </w:r>
    </w:p>
    <w:p>
      <w:pPr>
        <w:pStyle w:val="Small"/>
      </w:pPr>
      <w:r>
        <w:t>[R88] OWASP GenAI Security Project — OWASP Top 10 for LLM Applications / GenAI 2026 — https://owasp.org/www-project-top-10-for-large-language-model-applications/</w:t>
      </w:r>
    </w:p>
    <w:p>
      <w:pPr>
        <w:pStyle w:val="Small"/>
      </w:pPr>
      <w:r>
        <w:t>[R89] Microsoft Azure Architecture Center — Design and Develop a RAG Solution: arquitetura, chunking, hybrid retrieval e avaliação — https://learn.microsoft.com/en-us/azure/architecture/ai-ml/guide/rag/rag-solution-design-and-evaluation-guide</w:t>
      </w:r>
    </w:p>
    <w:p>
      <w:pPr>
        <w:pStyle w:val="Small"/>
      </w:pPr>
      <w:r>
        <w:t>[R90] Microsoft Azure Architecture Center — Secure Multitenant RAG: autorização e isolamento do grounding por tenant — https://learn.microsoft.com/en-us/azure/architecture/ai-ml/guide/secure-multitenant-rag</w:t>
      </w:r>
    </w:p>
    <w:p>
      <w:pPr>
        <w:pStyle w:val="Small"/>
      </w:pPr>
      <w:r>
        <w:t>[R91] Microsoft Learn — Best Practices for Security in AI Search: document-level access control e filtros de autorização — https://learn.microsoft.com/en-us/azure/search/search-security-best-practices</w:t>
      </w:r>
    </w:p>
    <w:p>
      <w:pPr>
        <w:pStyle w:val="Small"/>
      </w:pPr>
      <w:r>
        <w:t>[R92] Anthropic — Building Effective Agents: routing, workflows, agentes e princípio de adicionar complexidade somente quando necessária — https://www.anthropic.com/engineering/building-effective-agents</w:t>
      </w:r>
    </w:p>
    <w:p>
      <w:pPr>
        <w:pStyle w:val="Small"/>
      </w:pPr>
      <w:r>
        <w:t>[R93] Anthropic — Demystifying Evals for AI Agents: avaliações sistemáticas e regressão de agentes — https://www.anthropic.com/engineering/demystifying-evals-for-ai-agents</w:t>
      </w:r>
    </w:p>
    <w:p>
      <w:pPr>
        <w:pStyle w:val="Small"/>
      </w:pPr>
      <w:r>
        <w:t>[R94] Anthropic — Writing Effective Tools for AI Agents: contratos de ferramentas, contexto e avaliações — https://www.anthropic.com/engineering/writing-tools-for-agents</w:t>
      </w:r>
    </w:p>
    <w:p>
      <w:pPr>
        <w:pStyle w:val="Small"/>
      </w:pPr>
      <w:r>
        <w:t>[R95] Mercado Pago Developers — API Reference de Assinaturas: criação e gestão de cobranças recorrentes — https://www.mercadopago.com.br/developers/pt/reference/online-payments/subscriptions/overview</w:t>
      </w:r>
    </w:p>
    <w:p>
      <w:pPr>
        <w:pStyle w:val="Small"/>
      </w:pPr>
      <w:r>
        <w:t>[R96] Mercado Pago Developers — Assinaturas: visão geral, recorrência automática, periodicidade e tentativas automáticas — https://www.mercadopago.com.br/developers/pt/docs/subscriptions/overview</w:t>
      </w:r>
    </w:p>
    <w:p>
      <w:pPr>
        <w:pStyle w:val="Small"/>
      </w:pPr>
      <w:r>
        <w:t>[R97] Mercado Pago Developers — Gerenciamento de assinaturas: buscar, alterar, pausar, cancelar e reativar — https://www.mercadopago.com.br/developers/pt/docs/subscriptions/subscription-management</w:t>
      </w:r>
    </w:p>
    <w:p>
      <w:pPr>
        <w:pStyle w:val="Small"/>
      </w:pPr>
      <w:r>
        <w:t>[R98] Mercado Pago Developers — Webhooks: notificações HTTPS, validação de origem e eventos — https://www.mercadopago.com.br/developers/pt/docs/linx/additional-content/your-integrations/notifications/webhooks</w:t>
      </w:r>
    </w:p>
    <w:p>
      <w:pPr>
        <w:pStyle w:val="Small"/>
      </w:pPr>
      <w:r>
        <w:t>[R99] Mercado Pago Developers — Relatório de Liberações: geração via painel/API, conciliação e notificações — https://www.mercadopago.com.br/developers/pt/docs/reports/released-money/generate</w:t>
      </w:r>
    </w:p>
    <w:p>
      <w:pPr>
        <w:pStyle w:val="Small"/>
      </w:pPr>
      <w:r>
        <w:t>[R100] Mercado Pago Developers — Relatórios de Assinaturas: Liberações e Dinheiro em Conta para reconciliação — https://www.mercadopago.com.br/developers/en/docs/subscriptions/additional-content/reports/introduction</w:t>
      </w:r>
    </w:p>
    <w:p>
      <w:pPr>
        <w:pStyle w:val="Small"/>
      </w:pPr>
      <w:r>
        <w:t>[R101] Receita Federal — Orientações da Reforma Tributária para 2026: CBS/IBS e documentos fiscais eletrônicos — https://www.gov.br/receitafederal/pt-br/acesso-a-informacao/acoes-e-programas/programas-e-atividades/reforma-tributaria-do-consumo/orientacoes-2026</w:t>
      </w:r>
    </w:p>
    <w:p>
      <w:pPr>
        <w:pStyle w:val="Small"/>
      </w:pPr>
      <w:r>
        <w:t>[R102] Portal Nacional NFS-e — Nota Técnica 009/2026: adaptações do padrão nacional à Reforma Tributária do Consumo — https://www.gov.br/nfse/pt-br/noticias/publicada-a-nota-tecnica-009-da-nfs-e</w:t>
      </w:r>
    </w:p>
    <w:p>
      <w:pPr>
        <w:pStyle w:val="Small"/>
      </w:pPr>
      <w:r>
        <w:t>[R103] OWASP Cheat Sheet Series — Multifactor Authentication: MFA para contas administrativas e privilegiadas — https://cheatsheetseries.owasp.org/cheatsheets/Multifactor_Authentication_Cheat_Sheet.html</w:t>
      </w:r>
    </w:p>
    <w:p>
      <w:pPr>
        <w:pStyle w:val="Small"/>
      </w:pPr>
      <w:r>
        <w:t>[R104] OWASP Cheat Sheet Series — Logging: ações administrativas, privilégios, imports/exports e trilhas de auditoria — https://cheatsheetseries.owasp.org/cheatsheets/Logging_Cheat_Sheet.html</w:t>
      </w:r>
    </w:p>
    <w:p>
      <w:pPr>
        <w:pStyle w:val="Small"/>
      </w:pPr>
      <w:r>
        <w:t>[R105] OpenTelemetry — Conceitos de observabilidade: traces, métricas e logs com instrumentação vendor-neutral — https://opentelemetry.io/pt/docs/what-is-opentelemetry/</w:t>
      </w:r>
    </w:p>
    <w:p>
      <w:pPr>
        <w:pStyle w:val="Small"/>
        <w:spacing w:before="80" w:after="120"/>
        <w:ind w:left="259" w:right="259"/>
      </w:pPr>
      <w:r>
        <w:t>Nota técnica final v2.0: as referências sustentam os módulos e decisões anteriores. A Seção 32 consolida a baseline de implementação derivada da auditoria dos arquivos recebidos e da arquitetura acumulada. Tecnologias externas, licenças, fontes oficiais e regras regulatórias devem continuar sendo verificadas na data de implantação.</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LoteDiretor Brasil | Blueprint Final v2.0 | Agosto 2026 |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val="0"/>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LD">
    <w:name w:val="Caption LD"/>
    <w:rPr>
      <w:rFonts w:ascii="Arial" w:hAnsi="Arial"/>
      <w:i/>
      <w:sz w:val="16"/>
    </w:rPr>
  </w:style>
  <w:style w:type="paragraph" w:customStyle="1" w:styleId="Small">
    <w:name w:val="Small"/>
    <w:rPr>
      <w:rFonts w:ascii="Arial" w:hAnsi="Arial"/>
      <w:sz w:val="16"/>
    </w:rPr>
  </w:style>
  <w:style w:type="paragraph" w:customStyle="1" w:styleId="SolarCallout">
    <w:name w:val="Solar Callout"/>
    <w:basedOn w:val="Normal"/>
    <w:rPr>
      <w:rFonts w:ascii="Arial" w:hAnsi="Arial"/>
      <w:b/>
      <w:color w:val="4F81B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LoteDiretor Brasil — Especificação Mestre</dc:title>
  <dc:subject>Plataforma nacional de inteligência urbanística, territorial e imobiliária</dc:subject>
  <dc:creator>OpenAI</dc:creator>
  <cp:keywords>Plano Diretor, urbanismo, zoneamento, GIS, PostGIS, viabilidade, Brasil</cp:keywords>
  <dc:description>generated by python-docx</dc:description>
  <cp:lastModifiedBy/>
  <cp:revision>1</cp:revision>
  <dcterms:created xsi:type="dcterms:W3CDTF">2013-12-23T23:15:00Z</dcterms:created>
  <dcterms:modified xsi:type="dcterms:W3CDTF">2013-12-23T23:15:00Z</dcterms:modified>
  <cp:category/>
</cp:coreProperties>
</file>