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329184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-c6efab58-c714-4ec4-934f-3d4a8cef27d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Manual de identidade visual do RH Eleitoral</w:t>
      </w:r>
    </w:p>
    <w:p>
      <w:pPr>
        <w:jc w:val="center"/>
      </w:pPr>
      <w:r>
        <w:rPr>
          <w:b/>
          <w:sz w:val="24"/>
        </w:rPr>
        <w:t>Agilize Tecnologia Ltda.  |  Desenvolvimento de Sistemas</w:t>
      </w:r>
    </w:p>
    <w:p>
      <w:pPr>
        <w:jc w:val="center"/>
      </w:pPr>
      <w:r>
        <w:rPr>
          <w:color w:val="4B5158"/>
        </w:rPr>
        <w:t>@agilizetecnologia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2304"/>
            <w:shd w:fill="0A2947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Documento</w:t>
            </w:r>
          </w:p>
        </w:tc>
        <w:tc>
          <w:tcPr>
            <w:tcW w:type="dxa" w:w="7344"/>
            <w:shd w:fill="0A2947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Definição</w:t>
            </w:r>
          </w:p>
        </w:tc>
      </w:tr>
      <w:tr>
        <w:trPr>
          <w:cantSplit/>
        </w:trPr>
        <w:tc>
          <w:tcPr>
            <w:tcW w:type="dxa" w:w="2304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pPr>
              <w:spacing w:after="20" w:line="240" w:lineRule="auto"/>
            </w:pPr>
            <w:r>
              <w:rPr>
                <w:sz w:val="17"/>
              </w:rPr>
              <w:t>Versão</w:t>
            </w:r>
          </w:p>
        </w:tc>
        <w:tc>
          <w:tcPr>
            <w:tcW w:type="dxa" w:w="7344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pPr>
              <w:spacing w:after="20" w:line="240" w:lineRule="auto"/>
            </w:pPr>
            <w:r>
              <w:rPr>
                <w:sz w:val="17"/>
              </w:rPr>
              <w:t>1.0</w:t>
            </w:r>
          </w:p>
        </w:tc>
      </w:tr>
      <w:tr>
        <w:trPr>
          <w:cantSplit/>
        </w:trPr>
        <w:tc>
          <w:tcPr>
            <w:tcW w:type="dxa" w:w="2304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  <w:shd w:fill="F6F8FA"/>
          </w:tcPr>
          <w:p>
            <w:pPr>
              <w:spacing w:after="20" w:line="240" w:lineRule="auto"/>
            </w:pPr>
            <w:r>
              <w:rPr>
                <w:sz w:val="17"/>
              </w:rPr>
              <w:t>Aplicação</w:t>
            </w:r>
          </w:p>
        </w:tc>
        <w:tc>
          <w:tcPr>
            <w:tcW w:type="dxa" w:w="7344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  <w:shd w:fill="F6F8FA"/>
          </w:tcPr>
          <w:p>
            <w:pPr>
              <w:spacing w:after="20" w:line="240" w:lineRule="auto"/>
            </w:pPr>
            <w:r>
              <w:rPr>
                <w:sz w:val="17"/>
              </w:rPr>
              <w:t>RH Eleitoral</w:t>
            </w:r>
          </w:p>
        </w:tc>
      </w:tr>
      <w:tr>
        <w:trPr>
          <w:cantSplit/>
        </w:trPr>
        <w:tc>
          <w:tcPr>
            <w:tcW w:type="dxa" w:w="2304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pPr>
              <w:spacing w:after="20" w:line="240" w:lineRule="auto"/>
            </w:pPr>
            <w:r>
              <w:rPr>
                <w:sz w:val="17"/>
              </w:rPr>
              <w:t>Uso</w:t>
            </w:r>
          </w:p>
        </w:tc>
        <w:tc>
          <w:tcPr>
            <w:tcW w:type="dxa" w:w="7344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pPr>
              <w:spacing w:after="20" w:line="240" w:lineRule="auto"/>
            </w:pPr>
            <w:r>
              <w:rPr>
                <w:sz w:val="17"/>
              </w:rPr>
              <w:t>Produto digital, documentos, relatórios e comunicação institucional</w:t>
            </w:r>
          </w:p>
        </w:tc>
      </w:tr>
      <w:tr>
        <w:trPr>
          <w:cantSplit/>
        </w:trPr>
        <w:tc>
          <w:tcPr>
            <w:tcW w:type="dxa" w:w="2304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  <w:shd w:fill="F6F8FA"/>
          </w:tcPr>
          <w:p>
            <w:pPr>
              <w:spacing w:after="20" w:line="240" w:lineRule="auto"/>
            </w:pPr>
            <w:r>
              <w:rPr>
                <w:sz w:val="17"/>
              </w:rPr>
              <w:t>Direção</w:t>
            </w:r>
          </w:p>
        </w:tc>
        <w:tc>
          <w:tcPr>
            <w:tcW w:type="dxa" w:w="7344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  <w:shd w:fill="F6F8FA"/>
          </w:tcPr>
          <w:p>
            <w:pPr>
              <w:spacing w:after="20" w:line="240" w:lineRule="auto"/>
            </w:pPr>
            <w:r>
              <w:rPr>
                <w:sz w:val="17"/>
              </w:rPr>
              <w:t>Profissional, sofisticada, confiável e orientada à gestão</w:t>
            </w:r>
          </w:p>
        </w:tc>
      </w:tr>
      <w:tr>
        <w:trPr>
          <w:cantSplit/>
        </w:trPr>
        <w:tc>
          <w:tcPr>
            <w:tcW w:type="dxa" w:w="2304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pPr>
              <w:spacing w:after="20" w:line="240" w:lineRule="auto"/>
            </w:pPr>
            <w:r>
              <w:rPr>
                <w:sz w:val="17"/>
              </w:rPr>
              <w:t>Responsável pela marca</w:t>
            </w:r>
          </w:p>
        </w:tc>
        <w:tc>
          <w:tcPr>
            <w:tcW w:type="dxa" w:w="7344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pPr>
              <w:spacing w:after="20" w:line="240" w:lineRule="auto"/>
            </w:pPr>
            <w:r>
              <w:rPr>
                <w:sz w:val="17"/>
              </w:rPr>
              <w:t>Agilize Tecnologia Ltda.</w:t>
            </w:r>
          </w:p>
        </w:tc>
      </w:tr>
    </w:tbl>
    <w:p>
      <w:pPr>
        <w:spacing w:after="0"/>
      </w:pPr>
    </w:p>
    <w:p>
      <w:r>
        <w:t>Este manual estabelece as regras visuais da nova interface. Ele deve orientar designers, desenvolvedores, fornecedores e qualquer pessoa que produza materiais do sistema.</w:t>
      </w:r>
    </w:p>
    <w:p>
      <w:r>
        <w:br w:type="page"/>
      </w:r>
    </w:p>
    <w:p>
      <w:pPr>
        <w:pStyle w:val="Heading1"/>
      </w:pPr>
      <w:r>
        <w:t>1. Essência da identidade</w:t>
      </w:r>
    </w:p>
    <w:p>
      <w:r>
        <w:t>O RH Eleitoral administra dados pessoais, contratos, documentos e valores financeiros. Sua aparência precisa transmitir confiança, precisão e controle sem parecer burocrática ou excessivamente austera. A identidade combina o rigor visual da área contábil com a clareza de um produto digital contemporâneo.</w:t>
      </w:r>
    </w:p>
    <w:p>
      <w:pPr>
        <w:pStyle w:val="Heading2"/>
      </w:pPr>
      <w:r>
        <w:t>1.1 Atributos da marca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2016"/>
            <w:shd w:fill="0A2947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Atributo</w:t>
            </w:r>
          </w:p>
        </w:tc>
        <w:tc>
          <w:tcPr>
            <w:tcW w:type="dxa" w:w="7632"/>
            <w:shd w:fill="0A2947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Expressão visual</w:t>
            </w:r>
          </w:p>
        </w:tc>
      </w:tr>
      <w:tr>
        <w:trPr>
          <w:cantSplit/>
        </w:trPr>
        <w:tc>
          <w:tcPr>
            <w:tcW w:type="dxa" w:w="2016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pPr>
              <w:spacing w:after="20" w:line="240" w:lineRule="auto"/>
            </w:pPr>
            <w:r>
              <w:rPr>
                <w:sz w:val="17"/>
              </w:rPr>
              <w:t>Confiável</w:t>
            </w:r>
          </w:p>
        </w:tc>
        <w:tc>
          <w:tcPr>
            <w:tcW w:type="dxa" w:w="7632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pPr>
              <w:spacing w:after="20" w:line="240" w:lineRule="auto"/>
            </w:pPr>
            <w:r>
              <w:rPr>
                <w:sz w:val="17"/>
              </w:rPr>
              <w:t>Azul marinho, organização previsível e informações bem hierarquizadas</w:t>
            </w:r>
          </w:p>
        </w:tc>
      </w:tr>
      <w:tr>
        <w:trPr>
          <w:cantSplit/>
        </w:trPr>
        <w:tc>
          <w:tcPr>
            <w:tcW w:type="dxa" w:w="2016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  <w:shd w:fill="F6F8FA"/>
          </w:tcPr>
          <w:p>
            <w:pPr>
              <w:spacing w:after="20" w:line="240" w:lineRule="auto"/>
            </w:pPr>
            <w:r>
              <w:rPr>
                <w:sz w:val="17"/>
              </w:rPr>
              <w:t>Sofisticada</w:t>
            </w:r>
          </w:p>
        </w:tc>
        <w:tc>
          <w:tcPr>
            <w:tcW w:type="dxa" w:w="7632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  <w:shd w:fill="F6F8FA"/>
          </w:tcPr>
          <w:p>
            <w:pPr>
              <w:spacing w:after="20" w:line="240" w:lineRule="auto"/>
            </w:pPr>
            <w:r>
              <w:rPr>
                <w:sz w:val="17"/>
              </w:rPr>
              <w:t>Dourado usado com moderação, espaços generosos e tipografia limpa</w:t>
            </w:r>
          </w:p>
        </w:tc>
      </w:tr>
      <w:tr>
        <w:trPr>
          <w:cantSplit/>
        </w:trPr>
        <w:tc>
          <w:tcPr>
            <w:tcW w:type="dxa" w:w="2016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pPr>
              <w:spacing w:after="20" w:line="240" w:lineRule="auto"/>
            </w:pPr>
            <w:r>
              <w:rPr>
                <w:sz w:val="17"/>
              </w:rPr>
              <w:t>Precisa</w:t>
            </w:r>
          </w:p>
        </w:tc>
        <w:tc>
          <w:tcPr>
            <w:tcW w:type="dxa" w:w="7632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pPr>
              <w:spacing w:after="20" w:line="240" w:lineRule="auto"/>
            </w:pPr>
            <w:r>
              <w:rPr>
                <w:sz w:val="17"/>
              </w:rPr>
              <w:t>Alinhamentos consistentes, números tabulares e estados inequívocos</w:t>
            </w:r>
          </w:p>
        </w:tc>
      </w:tr>
      <w:tr>
        <w:trPr>
          <w:cantSplit/>
        </w:trPr>
        <w:tc>
          <w:tcPr>
            <w:tcW w:type="dxa" w:w="2016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  <w:shd w:fill="F6F8FA"/>
          </w:tcPr>
          <w:p>
            <w:pPr>
              <w:spacing w:after="20" w:line="240" w:lineRule="auto"/>
            </w:pPr>
            <w:r>
              <w:rPr>
                <w:sz w:val="17"/>
              </w:rPr>
              <w:t>Tecnológica</w:t>
            </w:r>
          </w:p>
        </w:tc>
        <w:tc>
          <w:tcPr>
            <w:tcW w:type="dxa" w:w="7632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  <w:shd w:fill="F6F8FA"/>
          </w:tcPr>
          <w:p>
            <w:pPr>
              <w:spacing w:after="20" w:line="240" w:lineRule="auto"/>
            </w:pPr>
            <w:r>
              <w:rPr>
                <w:sz w:val="17"/>
              </w:rPr>
              <w:t>Geometria, iconografia linear e interações discretas</w:t>
            </w:r>
          </w:p>
        </w:tc>
      </w:tr>
      <w:tr>
        <w:trPr>
          <w:cantSplit/>
        </w:trPr>
        <w:tc>
          <w:tcPr>
            <w:tcW w:type="dxa" w:w="2016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pPr>
              <w:spacing w:after="20" w:line="240" w:lineRule="auto"/>
            </w:pPr>
            <w:r>
              <w:rPr>
                <w:sz w:val="17"/>
              </w:rPr>
              <w:t>Humana</w:t>
            </w:r>
          </w:p>
        </w:tc>
        <w:tc>
          <w:tcPr>
            <w:tcW w:type="dxa" w:w="7632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pPr>
              <w:spacing w:after="20" w:line="240" w:lineRule="auto"/>
            </w:pPr>
            <w:r>
              <w:rPr>
                <w:sz w:val="17"/>
              </w:rPr>
              <w:t>Textos claros, correções orientadas e ausência de linguagem punitiva</w:t>
            </w:r>
          </w:p>
        </w:tc>
      </w:tr>
    </w:tbl>
    <w:p>
      <w:pPr>
        <w:spacing w:after="0"/>
      </w:pPr>
    </w:p>
    <w:p>
      <w:pPr>
        <w:pStyle w:val="Heading2"/>
      </w:pPr>
      <w:r>
        <w:t>1.2 Princípio de aplicação</w:t>
      </w:r>
    </w:p>
    <w:p>
      <w:r>
        <w:t>O sistema deve parecer uma plataforma empresarial de gestão, e não uma peça de campanha. A organização política pode aparecer no conteúdo cadastrado, mas a interface-base permanece neutra, institucional e reutilizável entre campanhas.</w:t>
      </w:r>
    </w:p>
    <w:p>
      <w:pPr>
        <w:pStyle w:val="Heading2"/>
      </w:pPr>
      <w:r>
        <w:t>1.3 Personalidade verbal</w:t>
      </w:r>
    </w:p>
    <w:p>
      <w:pPr>
        <w:spacing w:after="40"/>
        <w:ind w:left="331" w:hanging="245"/>
      </w:pPr>
      <w:r>
        <w:t xml:space="preserve">•  </w:t>
      </w:r>
      <w:r>
        <w:t>Direta e respeitosa: “Documento pendente de conferência”.</w:t>
      </w:r>
    </w:p>
    <w:p>
      <w:pPr>
        <w:spacing w:after="40"/>
        <w:ind w:left="331" w:hanging="245"/>
      </w:pPr>
      <w:r>
        <w:t xml:space="preserve">•  </w:t>
      </w:r>
      <w:r>
        <w:t>Orientadora: “Revise os dois campos indicados antes de enviar”.</w:t>
      </w:r>
    </w:p>
    <w:p>
      <w:pPr>
        <w:spacing w:after="40"/>
        <w:ind w:left="331" w:hanging="245"/>
      </w:pPr>
      <w:r>
        <w:t xml:space="preserve">•  </w:t>
      </w:r>
      <w:r>
        <w:t>Precisa: mostrar data, responsável, status e próximo passo.</w:t>
      </w:r>
    </w:p>
    <w:p>
      <w:pPr>
        <w:spacing w:after="40"/>
        <w:ind w:left="331" w:hanging="245"/>
      </w:pPr>
      <w:r>
        <w:t xml:space="preserve">•  </w:t>
      </w:r>
      <w:r>
        <w:t>Não acusatória: usar “divergência encontrada”, nunca “fraude” sem decisão humana formal.</w:t>
      </w:r>
    </w:p>
    <w:p>
      <w:pPr>
        <w:pStyle w:val="Heading1"/>
      </w:pPr>
      <w:r>
        <w:t>2. Arquitetura da marca</w:t>
      </w:r>
    </w:p>
    <w:p>
      <w:pPr>
        <w:pStyle w:val="Heading2"/>
      </w:pPr>
      <w:r>
        <w:t>2.1 Brasão</w:t>
      </w:r>
    </w:p>
    <w:p>
      <w:r>
        <w:t>O brasão reúne quatro elementos: escudo para proteção e governança; letra A para Agilize; linha ascendente para desempenho e gestão; circuito para tecnologia. O desenho deve ser simplificado na versão vetorial definitiva, preservando leitura em 24 pixels.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1944"/>
            <w:shd w:fill="0A2947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Versão</w:t>
            </w:r>
          </w:p>
        </w:tc>
        <w:tc>
          <w:tcPr>
            <w:tcW w:type="dxa" w:w="3456"/>
            <w:shd w:fill="0A2947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Aplicação</w:t>
            </w:r>
          </w:p>
        </w:tc>
        <w:tc>
          <w:tcPr>
            <w:tcW w:type="dxa" w:w="4248"/>
            <w:shd w:fill="0A2947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Conteúdo</w:t>
            </w:r>
          </w:p>
        </w:tc>
      </w:tr>
      <w:tr>
        <w:trPr>
          <w:cantSplit/>
        </w:trPr>
        <w:tc>
          <w:tcPr>
            <w:tcW w:type="dxa" w:w="1944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pPr>
              <w:spacing w:after="20" w:line="240" w:lineRule="auto"/>
            </w:pPr>
            <w:r>
              <w:rPr>
                <w:sz w:val="17"/>
              </w:rPr>
              <w:t>Principal vertical</w:t>
            </w:r>
          </w:p>
        </w:tc>
        <w:tc>
          <w:tcPr>
            <w:tcW w:type="dxa" w:w="3456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pPr>
              <w:spacing w:after="20" w:line="240" w:lineRule="auto"/>
            </w:pPr>
            <w:r>
              <w:rPr>
                <w:sz w:val="17"/>
              </w:rPr>
              <w:t>Login, capa, apresentações</w:t>
            </w:r>
          </w:p>
        </w:tc>
        <w:tc>
          <w:tcPr>
            <w:tcW w:type="dxa" w:w="4248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pPr>
              <w:spacing w:after="20" w:line="240" w:lineRule="auto"/>
            </w:pPr>
            <w:r>
              <w:rPr>
                <w:sz w:val="17"/>
              </w:rPr>
              <w:t>Brasão, nome e assinatura</w:t>
            </w:r>
          </w:p>
        </w:tc>
      </w:tr>
      <w:tr>
        <w:trPr>
          <w:cantSplit/>
        </w:trPr>
        <w:tc>
          <w:tcPr>
            <w:tcW w:type="dxa" w:w="1944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  <w:shd w:fill="F6F8FA"/>
          </w:tcPr>
          <w:p>
            <w:pPr>
              <w:spacing w:after="20" w:line="240" w:lineRule="auto"/>
            </w:pPr>
            <w:r>
              <w:rPr>
                <w:sz w:val="17"/>
              </w:rPr>
              <w:t>Horizontal</w:t>
            </w:r>
          </w:p>
        </w:tc>
        <w:tc>
          <w:tcPr>
            <w:tcW w:type="dxa" w:w="3456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  <w:shd w:fill="F6F8FA"/>
          </w:tcPr>
          <w:p>
            <w:pPr>
              <w:spacing w:after="20" w:line="240" w:lineRule="auto"/>
            </w:pPr>
            <w:r>
              <w:rPr>
                <w:sz w:val="17"/>
              </w:rPr>
              <w:t>Cabeçalho, relatórios e documentos</w:t>
            </w:r>
          </w:p>
        </w:tc>
        <w:tc>
          <w:tcPr>
            <w:tcW w:type="dxa" w:w="4248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  <w:shd w:fill="F6F8FA"/>
          </w:tcPr>
          <w:p>
            <w:pPr>
              <w:spacing w:after="20" w:line="240" w:lineRule="auto"/>
            </w:pPr>
            <w:r>
              <w:rPr>
                <w:sz w:val="17"/>
              </w:rPr>
              <w:t>Brasão à esquerda e bloco textual à direita</w:t>
            </w:r>
          </w:p>
        </w:tc>
      </w:tr>
      <w:tr>
        <w:trPr>
          <w:cantSplit/>
        </w:trPr>
        <w:tc>
          <w:tcPr>
            <w:tcW w:type="dxa" w:w="1944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pPr>
              <w:spacing w:after="20" w:line="240" w:lineRule="auto"/>
            </w:pPr>
            <w:r>
              <w:rPr>
                <w:sz w:val="17"/>
              </w:rPr>
              <w:t>Símbolo</w:t>
            </w:r>
          </w:p>
        </w:tc>
        <w:tc>
          <w:tcPr>
            <w:tcW w:type="dxa" w:w="3456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pPr>
              <w:spacing w:after="20" w:line="240" w:lineRule="auto"/>
            </w:pPr>
            <w:r>
              <w:rPr>
                <w:sz w:val="17"/>
              </w:rPr>
              <w:t>Favicon, avatar e menu recolhido</w:t>
            </w:r>
          </w:p>
        </w:tc>
        <w:tc>
          <w:tcPr>
            <w:tcW w:type="dxa" w:w="4248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pPr>
              <w:spacing w:after="20" w:line="240" w:lineRule="auto"/>
            </w:pPr>
            <w:r>
              <w:rPr>
                <w:sz w:val="17"/>
              </w:rPr>
              <w:t>Somente o brasão</w:t>
            </w:r>
          </w:p>
        </w:tc>
      </w:tr>
      <w:tr>
        <w:trPr>
          <w:cantSplit/>
        </w:trPr>
        <w:tc>
          <w:tcPr>
            <w:tcW w:type="dxa" w:w="1944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  <w:shd w:fill="F6F8FA"/>
          </w:tcPr>
          <w:p>
            <w:pPr>
              <w:spacing w:after="20" w:line="240" w:lineRule="auto"/>
            </w:pPr>
            <w:r>
              <w:rPr>
                <w:sz w:val="17"/>
              </w:rPr>
              <w:t>Monocromática</w:t>
            </w:r>
          </w:p>
        </w:tc>
        <w:tc>
          <w:tcPr>
            <w:tcW w:type="dxa" w:w="3456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  <w:shd w:fill="F6F8FA"/>
          </w:tcPr>
          <w:p>
            <w:pPr>
              <w:spacing w:after="20" w:line="240" w:lineRule="auto"/>
            </w:pPr>
            <w:r>
              <w:rPr>
                <w:sz w:val="17"/>
              </w:rPr>
              <w:t>Carimbo, impressão simples e marca d’água</w:t>
            </w:r>
          </w:p>
        </w:tc>
        <w:tc>
          <w:tcPr>
            <w:tcW w:type="dxa" w:w="4248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  <w:shd w:fill="F6F8FA"/>
          </w:tcPr>
          <w:p>
            <w:pPr>
              <w:spacing w:after="20" w:line="240" w:lineRule="auto"/>
            </w:pPr>
            <w:r>
              <w:rPr>
                <w:sz w:val="17"/>
              </w:rPr>
              <w:t>Uma única cor sólida</w:t>
            </w:r>
          </w:p>
        </w:tc>
      </w:tr>
      <w:tr>
        <w:trPr>
          <w:cantSplit/>
        </w:trPr>
        <w:tc>
          <w:tcPr>
            <w:tcW w:type="dxa" w:w="1944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pPr>
              <w:spacing w:after="20" w:line="240" w:lineRule="auto"/>
            </w:pPr>
            <w:r>
              <w:rPr>
                <w:sz w:val="17"/>
              </w:rPr>
              <w:t>Negativa</w:t>
            </w:r>
          </w:p>
        </w:tc>
        <w:tc>
          <w:tcPr>
            <w:tcW w:type="dxa" w:w="3456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pPr>
              <w:spacing w:after="20" w:line="240" w:lineRule="auto"/>
            </w:pPr>
            <w:r>
              <w:rPr>
                <w:sz w:val="17"/>
              </w:rPr>
              <w:t>Fundos azul-marinho ou fotografia escura</w:t>
            </w:r>
          </w:p>
        </w:tc>
        <w:tc>
          <w:tcPr>
            <w:tcW w:type="dxa" w:w="4248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pPr>
              <w:spacing w:after="20" w:line="240" w:lineRule="auto"/>
            </w:pPr>
            <w:r>
              <w:rPr>
                <w:sz w:val="17"/>
              </w:rPr>
              <w:t>Branco com dourado opcional</w:t>
            </w:r>
          </w:p>
        </w:tc>
      </w:tr>
    </w:tbl>
    <w:p>
      <w:pPr>
        <w:spacing w:after="0"/>
      </w:pPr>
    </w:p>
    <w:p>
      <w:pPr>
        <w:pStyle w:val="Heading2"/>
      </w:pPr>
      <w:r>
        <w:t>2.2 Área de proteção e tamanho mínimo</w:t>
      </w:r>
    </w:p>
    <w:p>
      <w:pPr>
        <w:spacing w:after="40"/>
        <w:ind w:left="331" w:hanging="245"/>
      </w:pPr>
      <w:r>
        <w:t xml:space="preserve">•  </w:t>
      </w:r>
      <w:r>
        <w:t>Área livre mínima: metade da largura interna da letra A em todos os lados.</w:t>
      </w:r>
    </w:p>
    <w:p>
      <w:pPr>
        <w:spacing w:after="40"/>
        <w:ind w:left="331" w:hanging="245"/>
      </w:pPr>
      <w:r>
        <w:t xml:space="preserve">•  </w:t>
      </w:r>
      <w:r>
        <w:t>Símbolo digital: mínimo de 24 x 24 px; preferível 32 px ou 40 px.</w:t>
      </w:r>
    </w:p>
    <w:p>
      <w:pPr>
        <w:spacing w:after="40"/>
        <w:ind w:left="331" w:hanging="245"/>
      </w:pPr>
      <w:r>
        <w:t xml:space="preserve">•  </w:t>
      </w:r>
      <w:r>
        <w:t>Marca horizontal: mínimo de 180 px de largura em tela.</w:t>
      </w:r>
    </w:p>
    <w:p>
      <w:pPr>
        <w:spacing w:after="40"/>
        <w:ind w:left="331" w:hanging="245"/>
      </w:pPr>
      <w:r>
        <w:t xml:space="preserve">•  </w:t>
      </w:r>
      <w:r>
        <w:t>Impressão: brasão mínimo de 12 mm; marca completa mínima de 40 mm.</w:t>
      </w:r>
    </w:p>
    <w:p>
      <w:pPr>
        <w:pStyle w:val="Heading2"/>
      </w:pPr>
      <w:r>
        <w:t>2.3 Usos proibidos</w:t>
      </w:r>
    </w:p>
    <w:p>
      <w:pPr>
        <w:spacing w:after="40"/>
        <w:ind w:left="331" w:hanging="245"/>
      </w:pPr>
      <w:r>
        <w:t xml:space="preserve">•  </w:t>
      </w:r>
      <w:r>
        <w:t>Não distorcer, inclinar, rotacionar ou aplicar contornos adicionais.</w:t>
      </w:r>
    </w:p>
    <w:p>
      <w:pPr>
        <w:spacing w:after="40"/>
        <w:ind w:left="331" w:hanging="245"/>
      </w:pPr>
      <w:r>
        <w:t xml:space="preserve">•  </w:t>
      </w:r>
      <w:r>
        <w:t>Não trocar o azul por cores partidárias ou usar degradês intensos.</w:t>
      </w:r>
    </w:p>
    <w:p>
      <w:pPr>
        <w:spacing w:after="40"/>
        <w:ind w:left="331" w:hanging="245"/>
      </w:pPr>
      <w:r>
        <w:t xml:space="preserve">•  </w:t>
      </w:r>
      <w:r>
        <w:t>Não inserir fotografia, bandeira, candidato, coroa, águia ou símbolo público dentro do brasão.</w:t>
      </w:r>
    </w:p>
    <w:p>
      <w:pPr>
        <w:spacing w:after="40"/>
        <w:ind w:left="331" w:hanging="245"/>
      </w:pPr>
      <w:r>
        <w:t xml:space="preserve">•  </w:t>
      </w:r>
      <w:r>
        <w:t>Não reduzir a ponto de perder circuito, linha ascendente ou legibilidade.</w:t>
      </w:r>
    </w:p>
    <w:p>
      <w:pPr>
        <w:spacing w:after="40"/>
        <w:ind w:left="331" w:hanging="245"/>
      </w:pPr>
      <w:r>
        <w:t xml:space="preserve">•  </w:t>
      </w:r>
      <w:r>
        <w:t>Não usar o Instagram dentro da marca principal; ele é uma assinatura de comunicação.</w:t>
      </w:r>
    </w:p>
    <w:p>
      <w:pPr>
        <w:pStyle w:val="Heading1"/>
      </w:pPr>
      <w:r>
        <w:t>3. Paleta institucional</w:t>
      </w:r>
    </w:p>
    <w:p>
      <w:r>
        <w:t>O azul-marinho domina a identidade. O dourado serve como detalhe premium, nunca como cor de grandes áreas ou de textos longos. Grafite e marfim sustentam legibilidade e conforto.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2016"/>
        <w:gridCol w:w="6264"/>
      </w:tblGrid>
      <w:tr>
        <w:trPr>
          <w:cantSplit/>
        </w:trPr>
        <w:tc>
          <w:tcPr>
            <w:tcW w:type="dxa" w:w="3360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shd w:fill="0A2947"/>
            <w:vAlign w:val="center"/>
          </w:tcPr>
          <w:p>
            <w:r>
              <w:rPr>
                <w:sz w:val="18"/>
              </w:rPr>
              <w:t xml:space="preserve"> </w:t>
            </w:r>
          </w:p>
        </w:tc>
        <w:tc>
          <w:tcPr>
            <w:tcW w:type="dxa" w:w="3360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r>
              <w:rPr>
                <w:sz w:val="18"/>
              </w:rPr>
              <w:t>Azul Agilize</w:t>
              <w:br/>
              <w:t>#0A2947</w:t>
            </w:r>
          </w:p>
        </w:tc>
        <w:tc>
          <w:tcPr>
            <w:tcW w:type="dxa" w:w="3360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r>
              <w:rPr>
                <w:sz w:val="18"/>
              </w:rPr>
              <w:t>Marca principal, navegação lateral, cabeçalhos institucionais e fundo escuro.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2016"/>
        <w:gridCol w:w="6264"/>
      </w:tblGrid>
      <w:tr>
        <w:trPr>
          <w:cantSplit/>
        </w:trPr>
        <w:tc>
          <w:tcPr>
            <w:tcW w:type="dxa" w:w="3360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shd w:fill="B7943E"/>
            <w:vAlign w:val="center"/>
          </w:tcPr>
          <w:p>
            <w:r>
              <w:rPr>
                <w:sz w:val="18"/>
              </w:rPr>
              <w:t xml:space="preserve"> </w:t>
            </w:r>
          </w:p>
        </w:tc>
        <w:tc>
          <w:tcPr>
            <w:tcW w:type="dxa" w:w="3360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r>
              <w:rPr>
                <w:sz w:val="18"/>
              </w:rPr>
              <w:t>Dourado Precisão</w:t>
              <w:br/>
              <w:t>#B7943E</w:t>
            </w:r>
          </w:p>
        </w:tc>
        <w:tc>
          <w:tcPr>
            <w:tcW w:type="dxa" w:w="3360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r>
              <w:rPr>
                <w:sz w:val="18"/>
              </w:rPr>
              <w:t>Detalhes do brasão, foco premium, separadores discretos e indicadores especiais.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2016"/>
        <w:gridCol w:w="6264"/>
      </w:tblGrid>
      <w:tr>
        <w:trPr>
          <w:cantSplit/>
        </w:trPr>
        <w:tc>
          <w:tcPr>
            <w:tcW w:type="dxa" w:w="3360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shd w:fill="4B5158"/>
            <w:vAlign w:val="center"/>
          </w:tcPr>
          <w:p>
            <w:r>
              <w:rPr>
                <w:sz w:val="18"/>
              </w:rPr>
              <w:t xml:space="preserve"> </w:t>
            </w:r>
          </w:p>
        </w:tc>
        <w:tc>
          <w:tcPr>
            <w:tcW w:type="dxa" w:w="3360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r>
              <w:rPr>
                <w:sz w:val="18"/>
              </w:rPr>
              <w:t>Grafite Gestão</w:t>
              <w:br/>
              <w:t>#4B5158</w:t>
            </w:r>
          </w:p>
        </w:tc>
        <w:tc>
          <w:tcPr>
            <w:tcW w:type="dxa" w:w="3360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r>
              <w:rPr>
                <w:sz w:val="18"/>
              </w:rPr>
              <w:t>Texto secundário, ícones e elementos neutros.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2016"/>
        <w:gridCol w:w="6264"/>
      </w:tblGrid>
      <w:tr>
        <w:trPr>
          <w:cantSplit/>
        </w:trPr>
        <w:tc>
          <w:tcPr>
            <w:tcW w:type="dxa" w:w="3360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shd w:fill="F7F6F1"/>
            <w:vAlign w:val="center"/>
          </w:tcPr>
          <w:p>
            <w:r>
              <w:rPr>
                <w:sz w:val="18"/>
              </w:rPr>
              <w:t xml:space="preserve"> </w:t>
            </w:r>
          </w:p>
        </w:tc>
        <w:tc>
          <w:tcPr>
            <w:tcW w:type="dxa" w:w="3360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r>
              <w:rPr>
                <w:sz w:val="18"/>
              </w:rPr>
              <w:t>Marfim Interface</w:t>
              <w:br/>
              <w:t>#F7F6F1</w:t>
            </w:r>
          </w:p>
        </w:tc>
        <w:tc>
          <w:tcPr>
            <w:tcW w:type="dxa" w:w="3360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r>
              <w:rPr>
                <w:sz w:val="18"/>
              </w:rPr>
              <w:t>Plano de fundo institucional e áreas de leitura.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2016"/>
        <w:gridCol w:w="6264"/>
      </w:tblGrid>
      <w:tr>
        <w:trPr>
          <w:cantSplit/>
        </w:trPr>
        <w:tc>
          <w:tcPr>
            <w:tcW w:type="dxa" w:w="3360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shd w:fill="FFFFFF"/>
            <w:vAlign w:val="center"/>
          </w:tcPr>
          <w:p>
            <w:r>
              <w:rPr>
                <w:sz w:val="18"/>
              </w:rPr>
              <w:t xml:space="preserve"> </w:t>
            </w:r>
          </w:p>
        </w:tc>
        <w:tc>
          <w:tcPr>
            <w:tcW w:type="dxa" w:w="3360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r>
              <w:rPr>
                <w:sz w:val="18"/>
              </w:rPr>
              <w:t>Branco</w:t>
              <w:br/>
              <w:t>#FFFFFF</w:t>
            </w:r>
          </w:p>
        </w:tc>
        <w:tc>
          <w:tcPr>
            <w:tcW w:type="dxa" w:w="3360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r>
              <w:rPr>
                <w:sz w:val="18"/>
              </w:rPr>
              <w:t>Cartões, formulários, tabelas e espaços de conteúdo.</w:t>
            </w:r>
          </w:p>
        </w:tc>
      </w:tr>
    </w:tbl>
    <w:p>
      <w:pPr>
        <w:pStyle w:val="Heading2"/>
      </w:pPr>
      <w:r>
        <w:t>3.1 Proporção recomendada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3168"/>
            <w:shd w:fill="0A2947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Cor</w:t>
            </w:r>
          </w:p>
        </w:tc>
        <w:tc>
          <w:tcPr>
            <w:tcW w:type="dxa" w:w="6480"/>
            <w:shd w:fill="0A2947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Participação aproximada</w:t>
            </w:r>
          </w:p>
        </w:tc>
      </w:tr>
      <w:tr>
        <w:trPr>
          <w:cantSplit/>
        </w:trPr>
        <w:tc>
          <w:tcPr>
            <w:tcW w:type="dxa" w:w="3168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pPr>
              <w:spacing w:after="20" w:line="240" w:lineRule="auto"/>
            </w:pPr>
            <w:r>
              <w:rPr>
                <w:sz w:val="17"/>
              </w:rPr>
              <w:t>Branco e marfim</w:t>
            </w:r>
          </w:p>
        </w:tc>
        <w:tc>
          <w:tcPr>
            <w:tcW w:type="dxa" w:w="6480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pPr>
              <w:spacing w:after="20" w:line="240" w:lineRule="auto"/>
            </w:pPr>
            <w:r>
              <w:rPr>
                <w:sz w:val="17"/>
              </w:rPr>
              <w:t>65% a 75%</w:t>
            </w:r>
          </w:p>
        </w:tc>
      </w:tr>
      <w:tr>
        <w:trPr>
          <w:cantSplit/>
        </w:trPr>
        <w:tc>
          <w:tcPr>
            <w:tcW w:type="dxa" w:w="3168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  <w:shd w:fill="F6F8FA"/>
          </w:tcPr>
          <w:p>
            <w:pPr>
              <w:spacing w:after="20" w:line="240" w:lineRule="auto"/>
            </w:pPr>
            <w:r>
              <w:rPr>
                <w:sz w:val="17"/>
              </w:rPr>
              <w:t>Azul-marinho</w:t>
            </w:r>
          </w:p>
        </w:tc>
        <w:tc>
          <w:tcPr>
            <w:tcW w:type="dxa" w:w="6480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  <w:shd w:fill="F6F8FA"/>
          </w:tcPr>
          <w:p>
            <w:pPr>
              <w:spacing w:after="20" w:line="240" w:lineRule="auto"/>
            </w:pPr>
            <w:r>
              <w:rPr>
                <w:sz w:val="17"/>
              </w:rPr>
              <w:t>15% a 25%</w:t>
            </w:r>
          </w:p>
        </w:tc>
      </w:tr>
      <w:tr>
        <w:trPr>
          <w:cantSplit/>
        </w:trPr>
        <w:tc>
          <w:tcPr>
            <w:tcW w:type="dxa" w:w="3168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pPr>
              <w:spacing w:after="20" w:line="240" w:lineRule="auto"/>
            </w:pPr>
            <w:r>
              <w:rPr>
                <w:sz w:val="17"/>
              </w:rPr>
              <w:t>Grafite</w:t>
            </w:r>
          </w:p>
        </w:tc>
        <w:tc>
          <w:tcPr>
            <w:tcW w:type="dxa" w:w="6480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pPr>
              <w:spacing w:after="20" w:line="240" w:lineRule="auto"/>
            </w:pPr>
            <w:r>
              <w:rPr>
                <w:sz w:val="17"/>
              </w:rPr>
              <w:t>5% a 10%</w:t>
            </w:r>
          </w:p>
        </w:tc>
      </w:tr>
      <w:tr>
        <w:trPr>
          <w:cantSplit/>
        </w:trPr>
        <w:tc>
          <w:tcPr>
            <w:tcW w:type="dxa" w:w="3168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  <w:shd w:fill="F6F8FA"/>
          </w:tcPr>
          <w:p>
            <w:pPr>
              <w:spacing w:after="20" w:line="240" w:lineRule="auto"/>
            </w:pPr>
            <w:r>
              <w:rPr>
                <w:sz w:val="17"/>
              </w:rPr>
              <w:t>Dourado</w:t>
            </w:r>
          </w:p>
        </w:tc>
        <w:tc>
          <w:tcPr>
            <w:tcW w:type="dxa" w:w="6480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  <w:shd w:fill="F6F8FA"/>
          </w:tcPr>
          <w:p>
            <w:pPr>
              <w:spacing w:after="20" w:line="240" w:lineRule="auto"/>
            </w:pPr>
            <w:r>
              <w:rPr>
                <w:sz w:val="17"/>
              </w:rPr>
              <w:t>até 5%</w:t>
            </w:r>
          </w:p>
        </w:tc>
      </w:tr>
    </w:tbl>
    <w:p>
      <w:pPr>
        <w:spacing w:after="0"/>
      </w:pPr>
    </w:p>
    <w:p>
      <w:pPr>
        <w:pStyle w:val="Heading2"/>
      </w:pPr>
      <w:r>
        <w:t>3.2 Contraste</w:t>
      </w:r>
    </w:p>
    <w:p>
      <w:pPr>
        <w:spacing w:after="40"/>
        <w:ind w:left="331" w:hanging="245"/>
      </w:pPr>
      <w:r>
        <w:t xml:space="preserve">•  </w:t>
      </w:r>
      <w:r>
        <w:t>Texto comum deve atender WCAG AA: contraste mínimo de 4,5:1.</w:t>
      </w:r>
    </w:p>
    <w:p>
      <w:pPr>
        <w:spacing w:after="40"/>
        <w:ind w:left="331" w:hanging="245"/>
      </w:pPr>
      <w:r>
        <w:t xml:space="preserve">•  </w:t>
      </w:r>
      <w:r>
        <w:t>Texto grande pode usar contraste mínimo de 3:1.</w:t>
      </w:r>
    </w:p>
    <w:p>
      <w:pPr>
        <w:spacing w:after="40"/>
        <w:ind w:left="331" w:hanging="245"/>
      </w:pPr>
      <w:r>
        <w:t xml:space="preserve">•  </w:t>
      </w:r>
      <w:r>
        <w:t>Dourado não deve ser usado para texto pequeno sobre branco.</w:t>
      </w:r>
    </w:p>
    <w:p>
      <w:pPr>
        <w:spacing w:after="40"/>
        <w:ind w:left="331" w:hanging="245"/>
      </w:pPr>
      <w:r>
        <w:t xml:space="preserve">•  </w:t>
      </w:r>
      <w:r>
        <w:t>Status nunca deve depender somente de cor; incluir ícone e rótulo.</w:t>
      </w:r>
    </w:p>
    <w:p>
      <w:pPr>
        <w:pStyle w:val="Heading1"/>
      </w:pPr>
      <w:r>
        <w:t>4. Paleta funcional do sistema</w:t>
      </w:r>
    </w:p>
    <w:p>
      <w:r>
        <w:t>Cores funcionais comunicam estado e não substituem a paleta institucional. Usar fundos suaves com texto escuro; reservar tons sólidos para ícones, bordas, gráficos e ações prioritárias.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1440"/>
            <w:shd w:fill="0A2947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Função</w:t>
            </w:r>
          </w:p>
        </w:tc>
        <w:tc>
          <w:tcPr>
            <w:tcW w:type="dxa" w:w="1656"/>
            <w:shd w:fill="0A2947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Cor principal</w:t>
            </w:r>
          </w:p>
        </w:tc>
        <w:tc>
          <w:tcPr>
            <w:tcW w:type="dxa" w:w="1656"/>
            <w:shd w:fill="0A2947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Fundo suave</w:t>
            </w:r>
          </w:p>
        </w:tc>
        <w:tc>
          <w:tcPr>
            <w:tcW w:type="dxa" w:w="4896"/>
            <w:shd w:fill="0A2947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Uso</w:t>
            </w:r>
          </w:p>
        </w:tc>
      </w:tr>
      <w:tr>
        <w:trPr>
          <w:cantSplit/>
        </w:trPr>
        <w:tc>
          <w:tcPr>
            <w:tcW w:type="dxa" w:w="1440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pPr>
              <w:spacing w:after="20" w:line="240" w:lineRule="auto"/>
            </w:pPr>
            <w:r>
              <w:rPr>
                <w:sz w:val="17"/>
              </w:rPr>
              <w:t>Informação</w:t>
            </w:r>
          </w:p>
        </w:tc>
        <w:tc>
          <w:tcPr>
            <w:tcW w:type="dxa" w:w="1656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pPr>
              <w:spacing w:after="20" w:line="240" w:lineRule="auto"/>
            </w:pPr>
            <w:r>
              <w:rPr>
                <w:sz w:val="17"/>
              </w:rPr>
              <w:t>#2E6DA4</w:t>
            </w:r>
          </w:p>
        </w:tc>
        <w:tc>
          <w:tcPr>
            <w:tcW w:type="dxa" w:w="1656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pPr>
              <w:spacing w:after="20" w:line="240" w:lineRule="auto"/>
            </w:pPr>
            <w:r>
              <w:rPr>
                <w:sz w:val="17"/>
              </w:rPr>
              <w:t>#EAF2F8</w:t>
            </w:r>
          </w:p>
        </w:tc>
        <w:tc>
          <w:tcPr>
            <w:tcW w:type="dxa" w:w="4896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pPr>
              <w:spacing w:after="20" w:line="240" w:lineRule="auto"/>
            </w:pPr>
            <w:r>
              <w:rPr>
                <w:sz w:val="17"/>
              </w:rPr>
              <w:t>Orientações, links e processamento</w:t>
            </w:r>
          </w:p>
        </w:tc>
      </w:tr>
      <w:tr>
        <w:trPr>
          <w:cantSplit/>
        </w:trPr>
        <w:tc>
          <w:tcPr>
            <w:tcW w:type="dxa" w:w="1440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  <w:shd w:fill="F6F8FA"/>
          </w:tcPr>
          <w:p>
            <w:pPr>
              <w:spacing w:after="20" w:line="240" w:lineRule="auto"/>
            </w:pPr>
            <w:r>
              <w:rPr>
                <w:sz w:val="17"/>
              </w:rPr>
              <w:t>Sucesso</w:t>
            </w:r>
          </w:p>
        </w:tc>
        <w:tc>
          <w:tcPr>
            <w:tcW w:type="dxa" w:w="1656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  <w:shd w:fill="F6F8FA"/>
          </w:tcPr>
          <w:p>
            <w:pPr>
              <w:spacing w:after="20" w:line="240" w:lineRule="auto"/>
            </w:pPr>
            <w:r>
              <w:rPr>
                <w:sz w:val="17"/>
              </w:rPr>
              <w:t>#19795A</w:t>
            </w:r>
          </w:p>
        </w:tc>
        <w:tc>
          <w:tcPr>
            <w:tcW w:type="dxa" w:w="1656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  <w:shd w:fill="F6F8FA"/>
          </w:tcPr>
          <w:p>
            <w:pPr>
              <w:spacing w:after="20" w:line="240" w:lineRule="auto"/>
            </w:pPr>
            <w:r>
              <w:rPr>
                <w:sz w:val="17"/>
              </w:rPr>
              <w:t>#E8F5EF</w:t>
            </w:r>
          </w:p>
        </w:tc>
        <w:tc>
          <w:tcPr>
            <w:tcW w:type="dxa" w:w="4896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  <w:shd w:fill="F6F8FA"/>
          </w:tcPr>
          <w:p>
            <w:pPr>
              <w:spacing w:after="20" w:line="240" w:lineRule="auto"/>
            </w:pPr>
            <w:r>
              <w:rPr>
                <w:sz w:val="17"/>
              </w:rPr>
              <w:t>Aprovado, pago, conciliado e concluído</w:t>
            </w:r>
          </w:p>
        </w:tc>
      </w:tr>
      <w:tr>
        <w:trPr>
          <w:cantSplit/>
        </w:trPr>
        <w:tc>
          <w:tcPr>
            <w:tcW w:type="dxa" w:w="1440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pPr>
              <w:spacing w:after="20" w:line="240" w:lineRule="auto"/>
            </w:pPr>
            <w:r>
              <w:rPr>
                <w:sz w:val="17"/>
              </w:rPr>
              <w:t>Atenção</w:t>
            </w:r>
          </w:p>
        </w:tc>
        <w:tc>
          <w:tcPr>
            <w:tcW w:type="dxa" w:w="1656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pPr>
              <w:spacing w:after="20" w:line="240" w:lineRule="auto"/>
            </w:pPr>
            <w:r>
              <w:rPr>
                <w:sz w:val="17"/>
              </w:rPr>
              <w:t>#B56816</w:t>
            </w:r>
          </w:p>
        </w:tc>
        <w:tc>
          <w:tcPr>
            <w:tcW w:type="dxa" w:w="1656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pPr>
              <w:spacing w:after="20" w:line="240" w:lineRule="auto"/>
            </w:pPr>
            <w:r>
              <w:rPr>
                <w:sz w:val="17"/>
              </w:rPr>
              <w:t>#FFF3E2</w:t>
            </w:r>
          </w:p>
        </w:tc>
        <w:tc>
          <w:tcPr>
            <w:tcW w:type="dxa" w:w="4896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pPr>
              <w:spacing w:after="20" w:line="240" w:lineRule="auto"/>
            </w:pPr>
            <w:r>
              <w:rPr>
                <w:sz w:val="17"/>
              </w:rPr>
              <w:t>Pendente, revisão e documento próximo do vencimento</w:t>
            </w:r>
          </w:p>
        </w:tc>
      </w:tr>
      <w:tr>
        <w:trPr>
          <w:cantSplit/>
        </w:trPr>
        <w:tc>
          <w:tcPr>
            <w:tcW w:type="dxa" w:w="1440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  <w:shd w:fill="F6F8FA"/>
          </w:tcPr>
          <w:p>
            <w:pPr>
              <w:spacing w:after="20" w:line="240" w:lineRule="auto"/>
            </w:pPr>
            <w:r>
              <w:rPr>
                <w:sz w:val="17"/>
              </w:rPr>
              <w:t>Erro</w:t>
            </w:r>
          </w:p>
        </w:tc>
        <w:tc>
          <w:tcPr>
            <w:tcW w:type="dxa" w:w="1656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  <w:shd w:fill="F6F8FA"/>
          </w:tcPr>
          <w:p>
            <w:pPr>
              <w:spacing w:after="20" w:line="240" w:lineRule="auto"/>
            </w:pPr>
            <w:r>
              <w:rPr>
                <w:sz w:val="17"/>
              </w:rPr>
              <w:t>#B93B45</w:t>
            </w:r>
          </w:p>
        </w:tc>
        <w:tc>
          <w:tcPr>
            <w:tcW w:type="dxa" w:w="1656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  <w:shd w:fill="F6F8FA"/>
          </w:tcPr>
          <w:p>
            <w:pPr>
              <w:spacing w:after="20" w:line="240" w:lineRule="auto"/>
            </w:pPr>
            <w:r>
              <w:rPr>
                <w:sz w:val="17"/>
              </w:rPr>
              <w:t>#FCECEF</w:t>
            </w:r>
          </w:p>
        </w:tc>
        <w:tc>
          <w:tcPr>
            <w:tcW w:type="dxa" w:w="4896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  <w:shd w:fill="F6F8FA"/>
          </w:tcPr>
          <w:p>
            <w:pPr>
              <w:spacing w:after="20" w:line="240" w:lineRule="auto"/>
            </w:pPr>
            <w:r>
              <w:rPr>
                <w:sz w:val="17"/>
              </w:rPr>
              <w:t>Rejeitado, inválido e falha que exige ação</w:t>
            </w:r>
          </w:p>
        </w:tc>
      </w:tr>
      <w:tr>
        <w:trPr>
          <w:cantSplit/>
        </w:trPr>
        <w:tc>
          <w:tcPr>
            <w:tcW w:type="dxa" w:w="1440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pPr>
              <w:spacing w:after="20" w:line="240" w:lineRule="auto"/>
            </w:pPr>
            <w:r>
              <w:rPr>
                <w:sz w:val="17"/>
              </w:rPr>
              <w:t>Neutro</w:t>
            </w:r>
          </w:p>
        </w:tc>
        <w:tc>
          <w:tcPr>
            <w:tcW w:type="dxa" w:w="1656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pPr>
              <w:spacing w:after="20" w:line="240" w:lineRule="auto"/>
            </w:pPr>
            <w:r>
              <w:rPr>
                <w:sz w:val="17"/>
              </w:rPr>
              <w:t>#5F6872</w:t>
            </w:r>
          </w:p>
        </w:tc>
        <w:tc>
          <w:tcPr>
            <w:tcW w:type="dxa" w:w="1656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pPr>
              <w:spacing w:after="20" w:line="240" w:lineRule="auto"/>
            </w:pPr>
            <w:r>
              <w:rPr>
                <w:sz w:val="17"/>
              </w:rPr>
              <w:t>#F0F2F4</w:t>
            </w:r>
          </w:p>
        </w:tc>
        <w:tc>
          <w:tcPr>
            <w:tcW w:type="dxa" w:w="4896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pPr>
              <w:spacing w:after="20" w:line="240" w:lineRule="auto"/>
            </w:pPr>
            <w:r>
              <w:rPr>
                <w:sz w:val="17"/>
              </w:rPr>
              <w:t>Rascunho, arquivado, não aplicável</w:t>
            </w:r>
          </w:p>
        </w:tc>
      </w:tr>
    </w:tbl>
    <w:p>
      <w:pPr>
        <w:spacing w:after="0"/>
      </w:pPr>
    </w:p>
    <w:p>
      <w:pPr>
        <w:pStyle w:val="Heading2"/>
      </w:pPr>
      <w:r>
        <w:t>4.1 Estados padronizados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1944"/>
            <w:shd w:fill="0A2947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Processo</w:t>
            </w:r>
          </w:p>
        </w:tc>
        <w:tc>
          <w:tcPr>
            <w:tcW w:type="dxa" w:w="7704"/>
            <w:shd w:fill="0A2947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Estados e cores</w:t>
            </w:r>
          </w:p>
        </w:tc>
      </w:tr>
      <w:tr>
        <w:trPr>
          <w:cantSplit/>
        </w:trPr>
        <w:tc>
          <w:tcPr>
            <w:tcW w:type="dxa" w:w="1944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pPr>
              <w:spacing w:after="20" w:line="240" w:lineRule="auto"/>
            </w:pPr>
            <w:r>
              <w:rPr>
                <w:sz w:val="17"/>
              </w:rPr>
              <w:t>Cadastro</w:t>
            </w:r>
          </w:p>
        </w:tc>
        <w:tc>
          <w:tcPr>
            <w:tcW w:type="dxa" w:w="7704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pPr>
              <w:spacing w:after="20" w:line="240" w:lineRule="auto"/>
            </w:pPr>
            <w:r>
              <w:rPr>
                <w:sz w:val="17"/>
              </w:rPr>
              <w:t>Rascunho neutro; enviado azul; devolvido âmbar; aprovado verde; suspenso vermelho</w:t>
            </w:r>
          </w:p>
        </w:tc>
      </w:tr>
      <w:tr>
        <w:trPr>
          <w:cantSplit/>
        </w:trPr>
        <w:tc>
          <w:tcPr>
            <w:tcW w:type="dxa" w:w="1944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  <w:shd w:fill="F6F8FA"/>
          </w:tcPr>
          <w:p>
            <w:pPr>
              <w:spacing w:after="20" w:line="240" w:lineRule="auto"/>
            </w:pPr>
            <w:r>
              <w:rPr>
                <w:sz w:val="17"/>
              </w:rPr>
              <w:t>Documento</w:t>
            </w:r>
          </w:p>
        </w:tc>
        <w:tc>
          <w:tcPr>
            <w:tcW w:type="dxa" w:w="7704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  <w:shd w:fill="F6F8FA"/>
          </w:tcPr>
          <w:p>
            <w:pPr>
              <w:spacing w:after="20" w:line="240" w:lineRule="auto"/>
            </w:pPr>
            <w:r>
              <w:rPr>
                <w:sz w:val="17"/>
              </w:rPr>
              <w:t>Pendente âmbar; em análise azul; validado verde; divergente vermelho; substituído neutro</w:t>
            </w:r>
          </w:p>
        </w:tc>
      </w:tr>
      <w:tr>
        <w:trPr>
          <w:cantSplit/>
        </w:trPr>
        <w:tc>
          <w:tcPr>
            <w:tcW w:type="dxa" w:w="1944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pPr>
              <w:spacing w:after="20" w:line="240" w:lineRule="auto"/>
            </w:pPr>
            <w:r>
              <w:rPr>
                <w:sz w:val="17"/>
              </w:rPr>
              <w:t>Contrato</w:t>
            </w:r>
          </w:p>
        </w:tc>
        <w:tc>
          <w:tcPr>
            <w:tcW w:type="dxa" w:w="7704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pPr>
              <w:spacing w:after="20" w:line="240" w:lineRule="auto"/>
            </w:pPr>
            <w:r>
              <w:rPr>
                <w:sz w:val="17"/>
              </w:rPr>
              <w:t>Gerado azul; aguardando assinatura âmbar; assinado verde; rejeitado vermelho</w:t>
            </w:r>
          </w:p>
        </w:tc>
      </w:tr>
      <w:tr>
        <w:trPr>
          <w:cantSplit/>
        </w:trPr>
        <w:tc>
          <w:tcPr>
            <w:tcW w:type="dxa" w:w="1944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  <w:shd w:fill="F6F8FA"/>
          </w:tcPr>
          <w:p>
            <w:pPr>
              <w:spacing w:after="20" w:line="240" w:lineRule="auto"/>
            </w:pPr>
            <w:r>
              <w:rPr>
                <w:sz w:val="17"/>
              </w:rPr>
              <w:t>Pagamento</w:t>
            </w:r>
          </w:p>
        </w:tc>
        <w:tc>
          <w:tcPr>
            <w:tcW w:type="dxa" w:w="7704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  <w:shd w:fill="F6F8FA"/>
          </w:tcPr>
          <w:p>
            <w:pPr>
              <w:spacing w:after="20" w:line="240" w:lineRule="auto"/>
            </w:pPr>
            <w:r>
              <w:rPr>
                <w:sz w:val="17"/>
              </w:rPr>
              <w:t>Previsto neutro; programado azul; pago verde; pendente âmbar; estornado vermelho</w:t>
            </w:r>
          </w:p>
        </w:tc>
      </w:tr>
      <w:tr>
        <w:trPr>
          <w:cantSplit/>
        </w:trPr>
        <w:tc>
          <w:tcPr>
            <w:tcW w:type="dxa" w:w="1944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pPr>
              <w:spacing w:after="20" w:line="240" w:lineRule="auto"/>
            </w:pPr>
            <w:r>
              <w:rPr>
                <w:sz w:val="17"/>
              </w:rPr>
              <w:t>IA</w:t>
            </w:r>
          </w:p>
        </w:tc>
        <w:tc>
          <w:tcPr>
            <w:tcW w:type="dxa" w:w="7704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pPr>
              <w:spacing w:after="20" w:line="240" w:lineRule="auto"/>
            </w:pPr>
            <w:r>
              <w:rPr>
                <w:sz w:val="17"/>
              </w:rPr>
              <w:t>Na fila neutro; processando azul; revisão âmbar; confirmado verde; falha vermelho</w:t>
            </w:r>
          </w:p>
        </w:tc>
      </w:tr>
    </w:tbl>
    <w:p>
      <w:pPr>
        <w:spacing w:after="0"/>
      </w:pPr>
    </w:p>
    <w:p>
      <w:pPr>
        <w:pStyle w:val="Heading1"/>
      </w:pPr>
      <w:r>
        <w:t>5. Tipografia</w:t>
      </w:r>
    </w:p>
    <w:p>
      <w:r>
        <w:t>A interface deve usar fontes abertas, legíveis e estáveis. A combinação recomendada é Manrope para títulos e Inter para conteúdo. Quando não estiverem disponíveis, usar as alternativas indicadas.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088"/>
            <w:shd w:fill="0A2947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Papel</w:t>
            </w:r>
          </w:p>
        </w:tc>
        <w:tc>
          <w:tcPr>
            <w:tcW w:type="dxa" w:w="3024"/>
            <w:shd w:fill="0A2947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Fonte</w:t>
            </w:r>
          </w:p>
        </w:tc>
        <w:tc>
          <w:tcPr>
            <w:tcW w:type="dxa" w:w="1872"/>
            <w:shd w:fill="0A2947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Peso</w:t>
            </w:r>
          </w:p>
        </w:tc>
        <w:tc>
          <w:tcPr>
            <w:tcW w:type="dxa" w:w="2664"/>
            <w:shd w:fill="0A2947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Tamanho desktop</w:t>
            </w:r>
          </w:p>
        </w:tc>
      </w:tr>
      <w:tr>
        <w:trPr>
          <w:cantSplit/>
        </w:trPr>
        <w:tc>
          <w:tcPr>
            <w:tcW w:type="dxa" w:w="2088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pPr>
              <w:spacing w:after="20" w:line="240" w:lineRule="auto"/>
            </w:pPr>
            <w:r>
              <w:rPr>
                <w:sz w:val="17"/>
              </w:rPr>
              <w:t>Título de página</w:t>
            </w:r>
          </w:p>
        </w:tc>
        <w:tc>
          <w:tcPr>
            <w:tcW w:type="dxa" w:w="3024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pPr>
              <w:spacing w:after="20" w:line="240" w:lineRule="auto"/>
            </w:pPr>
            <w:r>
              <w:rPr>
                <w:sz w:val="17"/>
              </w:rPr>
              <w:t>Manrope</w:t>
            </w:r>
          </w:p>
        </w:tc>
        <w:tc>
          <w:tcPr>
            <w:tcW w:type="dxa" w:w="1872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pPr>
              <w:spacing w:after="20" w:line="240" w:lineRule="auto"/>
            </w:pPr>
            <w:r>
              <w:rPr>
                <w:sz w:val="17"/>
              </w:rPr>
              <w:t>700</w:t>
            </w:r>
          </w:p>
        </w:tc>
        <w:tc>
          <w:tcPr>
            <w:tcW w:type="dxa" w:w="2664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pPr>
              <w:spacing w:after="20" w:line="240" w:lineRule="auto"/>
            </w:pPr>
            <w:r>
              <w:rPr>
                <w:sz w:val="17"/>
              </w:rPr>
              <w:t>28 px / 36 px</w:t>
            </w:r>
          </w:p>
        </w:tc>
      </w:tr>
      <w:tr>
        <w:trPr>
          <w:cantSplit/>
        </w:trPr>
        <w:tc>
          <w:tcPr>
            <w:tcW w:type="dxa" w:w="2088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  <w:shd w:fill="F6F8FA"/>
          </w:tcPr>
          <w:p>
            <w:pPr>
              <w:spacing w:after="20" w:line="240" w:lineRule="auto"/>
            </w:pPr>
            <w:r>
              <w:rPr>
                <w:sz w:val="17"/>
              </w:rPr>
              <w:t>Título de seção</w:t>
            </w:r>
          </w:p>
        </w:tc>
        <w:tc>
          <w:tcPr>
            <w:tcW w:type="dxa" w:w="3024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  <w:shd w:fill="F6F8FA"/>
          </w:tcPr>
          <w:p>
            <w:pPr>
              <w:spacing w:after="20" w:line="240" w:lineRule="auto"/>
            </w:pPr>
            <w:r>
              <w:rPr>
                <w:sz w:val="17"/>
              </w:rPr>
              <w:t>Manrope</w:t>
            </w:r>
          </w:p>
        </w:tc>
        <w:tc>
          <w:tcPr>
            <w:tcW w:type="dxa" w:w="1872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  <w:shd w:fill="F6F8FA"/>
          </w:tcPr>
          <w:p>
            <w:pPr>
              <w:spacing w:after="20" w:line="240" w:lineRule="auto"/>
            </w:pPr>
            <w:r>
              <w:rPr>
                <w:sz w:val="17"/>
              </w:rPr>
              <w:t>650 a 700</w:t>
            </w:r>
          </w:p>
        </w:tc>
        <w:tc>
          <w:tcPr>
            <w:tcW w:type="dxa" w:w="2664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  <w:shd w:fill="F6F8FA"/>
          </w:tcPr>
          <w:p>
            <w:pPr>
              <w:spacing w:after="20" w:line="240" w:lineRule="auto"/>
            </w:pPr>
            <w:r>
              <w:rPr>
                <w:sz w:val="17"/>
              </w:rPr>
              <w:t>20 px / 28 px</w:t>
            </w:r>
          </w:p>
        </w:tc>
      </w:tr>
      <w:tr>
        <w:trPr>
          <w:cantSplit/>
        </w:trPr>
        <w:tc>
          <w:tcPr>
            <w:tcW w:type="dxa" w:w="2088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pPr>
              <w:spacing w:after="20" w:line="240" w:lineRule="auto"/>
            </w:pPr>
            <w:r>
              <w:rPr>
                <w:sz w:val="17"/>
              </w:rPr>
              <w:t>Título de cartão</w:t>
            </w:r>
          </w:p>
        </w:tc>
        <w:tc>
          <w:tcPr>
            <w:tcW w:type="dxa" w:w="3024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pPr>
              <w:spacing w:after="20" w:line="240" w:lineRule="auto"/>
            </w:pPr>
            <w:r>
              <w:rPr>
                <w:sz w:val="17"/>
              </w:rPr>
              <w:t>Manrope</w:t>
            </w:r>
          </w:p>
        </w:tc>
        <w:tc>
          <w:tcPr>
            <w:tcW w:type="dxa" w:w="1872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pPr>
              <w:spacing w:after="20" w:line="240" w:lineRule="auto"/>
            </w:pPr>
            <w:r>
              <w:rPr>
                <w:sz w:val="17"/>
              </w:rPr>
              <w:t>600</w:t>
            </w:r>
          </w:p>
        </w:tc>
        <w:tc>
          <w:tcPr>
            <w:tcW w:type="dxa" w:w="2664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pPr>
              <w:spacing w:after="20" w:line="240" w:lineRule="auto"/>
            </w:pPr>
            <w:r>
              <w:rPr>
                <w:sz w:val="17"/>
              </w:rPr>
              <w:t>16 px / 24 px</w:t>
            </w:r>
          </w:p>
        </w:tc>
      </w:tr>
      <w:tr>
        <w:trPr>
          <w:cantSplit/>
        </w:trPr>
        <w:tc>
          <w:tcPr>
            <w:tcW w:type="dxa" w:w="2088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  <w:shd w:fill="F6F8FA"/>
          </w:tcPr>
          <w:p>
            <w:pPr>
              <w:spacing w:after="20" w:line="240" w:lineRule="auto"/>
            </w:pPr>
            <w:r>
              <w:rPr>
                <w:sz w:val="17"/>
              </w:rPr>
              <w:t>Corpo</w:t>
            </w:r>
          </w:p>
        </w:tc>
        <w:tc>
          <w:tcPr>
            <w:tcW w:type="dxa" w:w="3024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  <w:shd w:fill="F6F8FA"/>
          </w:tcPr>
          <w:p>
            <w:pPr>
              <w:spacing w:after="20" w:line="240" w:lineRule="auto"/>
            </w:pPr>
            <w:r>
              <w:rPr>
                <w:sz w:val="17"/>
              </w:rPr>
              <w:t>Inter</w:t>
            </w:r>
          </w:p>
        </w:tc>
        <w:tc>
          <w:tcPr>
            <w:tcW w:type="dxa" w:w="1872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  <w:shd w:fill="F6F8FA"/>
          </w:tcPr>
          <w:p>
            <w:pPr>
              <w:spacing w:after="20" w:line="240" w:lineRule="auto"/>
            </w:pPr>
            <w:r>
              <w:rPr>
                <w:sz w:val="17"/>
              </w:rPr>
              <w:t>400</w:t>
            </w:r>
          </w:p>
        </w:tc>
        <w:tc>
          <w:tcPr>
            <w:tcW w:type="dxa" w:w="2664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  <w:shd w:fill="F6F8FA"/>
          </w:tcPr>
          <w:p>
            <w:pPr>
              <w:spacing w:after="20" w:line="240" w:lineRule="auto"/>
            </w:pPr>
            <w:r>
              <w:rPr>
                <w:sz w:val="17"/>
              </w:rPr>
              <w:t>14 a 16 px / 22 a 24 px</w:t>
            </w:r>
          </w:p>
        </w:tc>
      </w:tr>
      <w:tr>
        <w:trPr>
          <w:cantSplit/>
        </w:trPr>
        <w:tc>
          <w:tcPr>
            <w:tcW w:type="dxa" w:w="2088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pPr>
              <w:spacing w:after="20" w:line="240" w:lineRule="auto"/>
            </w:pPr>
            <w:r>
              <w:rPr>
                <w:sz w:val="17"/>
              </w:rPr>
              <w:t>Rótulo</w:t>
            </w:r>
          </w:p>
        </w:tc>
        <w:tc>
          <w:tcPr>
            <w:tcW w:type="dxa" w:w="3024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pPr>
              <w:spacing w:after="20" w:line="240" w:lineRule="auto"/>
            </w:pPr>
            <w:r>
              <w:rPr>
                <w:sz w:val="17"/>
              </w:rPr>
              <w:t>Inter</w:t>
            </w:r>
          </w:p>
        </w:tc>
        <w:tc>
          <w:tcPr>
            <w:tcW w:type="dxa" w:w="1872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pPr>
              <w:spacing w:after="20" w:line="240" w:lineRule="auto"/>
            </w:pPr>
            <w:r>
              <w:rPr>
                <w:sz w:val="17"/>
              </w:rPr>
              <w:t>500 a 600</w:t>
            </w:r>
          </w:p>
        </w:tc>
        <w:tc>
          <w:tcPr>
            <w:tcW w:type="dxa" w:w="2664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pPr>
              <w:spacing w:after="20" w:line="240" w:lineRule="auto"/>
            </w:pPr>
            <w:r>
              <w:rPr>
                <w:sz w:val="17"/>
              </w:rPr>
              <w:t>13 a 14 px / 18 px</w:t>
            </w:r>
          </w:p>
        </w:tc>
      </w:tr>
      <w:tr>
        <w:trPr>
          <w:cantSplit/>
        </w:trPr>
        <w:tc>
          <w:tcPr>
            <w:tcW w:type="dxa" w:w="2088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  <w:shd w:fill="F6F8FA"/>
          </w:tcPr>
          <w:p>
            <w:pPr>
              <w:spacing w:after="20" w:line="240" w:lineRule="auto"/>
            </w:pPr>
            <w:r>
              <w:rPr>
                <w:sz w:val="17"/>
              </w:rPr>
              <w:t>Tabela</w:t>
            </w:r>
          </w:p>
        </w:tc>
        <w:tc>
          <w:tcPr>
            <w:tcW w:type="dxa" w:w="3024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  <w:shd w:fill="F6F8FA"/>
          </w:tcPr>
          <w:p>
            <w:pPr>
              <w:spacing w:after="20" w:line="240" w:lineRule="auto"/>
            </w:pPr>
            <w:r>
              <w:rPr>
                <w:sz w:val="17"/>
              </w:rPr>
              <w:t>Inter</w:t>
            </w:r>
          </w:p>
        </w:tc>
        <w:tc>
          <w:tcPr>
            <w:tcW w:type="dxa" w:w="1872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  <w:shd w:fill="F6F8FA"/>
          </w:tcPr>
          <w:p>
            <w:pPr>
              <w:spacing w:after="20" w:line="240" w:lineRule="auto"/>
            </w:pPr>
            <w:r>
              <w:rPr>
                <w:sz w:val="17"/>
              </w:rPr>
              <w:t>400 a 600</w:t>
            </w:r>
          </w:p>
        </w:tc>
        <w:tc>
          <w:tcPr>
            <w:tcW w:type="dxa" w:w="2664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  <w:shd w:fill="F6F8FA"/>
          </w:tcPr>
          <w:p>
            <w:pPr>
              <w:spacing w:after="20" w:line="240" w:lineRule="auto"/>
            </w:pPr>
            <w:r>
              <w:rPr>
                <w:sz w:val="17"/>
              </w:rPr>
              <w:t>13 a 14 px / 20 px</w:t>
            </w:r>
          </w:p>
        </w:tc>
      </w:tr>
      <w:tr>
        <w:trPr>
          <w:cantSplit/>
        </w:trPr>
        <w:tc>
          <w:tcPr>
            <w:tcW w:type="dxa" w:w="2088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pPr>
              <w:spacing w:after="20" w:line="240" w:lineRule="auto"/>
            </w:pPr>
            <w:r>
              <w:rPr>
                <w:sz w:val="17"/>
              </w:rPr>
              <w:t>Indicador numérico</w:t>
            </w:r>
          </w:p>
        </w:tc>
        <w:tc>
          <w:tcPr>
            <w:tcW w:type="dxa" w:w="3024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pPr>
              <w:spacing w:after="20" w:line="240" w:lineRule="auto"/>
            </w:pPr>
            <w:r>
              <w:rPr>
                <w:sz w:val="17"/>
              </w:rPr>
              <w:t>Inter com números tabulares</w:t>
            </w:r>
          </w:p>
        </w:tc>
        <w:tc>
          <w:tcPr>
            <w:tcW w:type="dxa" w:w="1872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pPr>
              <w:spacing w:after="20" w:line="240" w:lineRule="auto"/>
            </w:pPr>
            <w:r>
              <w:rPr>
                <w:sz w:val="17"/>
              </w:rPr>
              <w:t>650 a 700</w:t>
            </w:r>
          </w:p>
        </w:tc>
        <w:tc>
          <w:tcPr>
            <w:tcW w:type="dxa" w:w="2664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pPr>
              <w:spacing w:after="20" w:line="240" w:lineRule="auto"/>
            </w:pPr>
            <w:r>
              <w:rPr>
                <w:sz w:val="17"/>
              </w:rPr>
              <w:t>24 a 36 px</w:t>
            </w:r>
          </w:p>
        </w:tc>
      </w:tr>
    </w:tbl>
    <w:p>
      <w:pPr>
        <w:spacing w:after="0"/>
      </w:pPr>
    </w:p>
    <w:p>
      <w:pPr>
        <w:pStyle w:val="Heading2"/>
      </w:pPr>
      <w:r>
        <w:t>5.1 Pilhas CSS</w:t>
      </w:r>
    </w:p>
    <w:p>
      <w:r>
        <w:t>Títulos: Manrope, Inter, ui-sans-serif, system-ui, sans-serif. Corpo: Inter, ui-sans-serif, system-ui, sans-serif. Relatórios gerados no servidor: Aptos, Arial ou Liberation Sans como substitutas seguras.</w:t>
      </w:r>
    </w:p>
    <w:p>
      <w:pPr>
        <w:pStyle w:val="Heading2"/>
      </w:pPr>
      <w:r>
        <w:t>5.2 Regras</w:t>
      </w:r>
    </w:p>
    <w:p>
      <w:pPr>
        <w:spacing w:after="40"/>
        <w:ind w:left="331" w:hanging="245"/>
      </w:pPr>
      <w:r>
        <w:t xml:space="preserve">•  </w:t>
      </w:r>
      <w:r>
        <w:t>Evitar caixa alta em frases; reservar para pequenos rótulos ou siglas.</w:t>
      </w:r>
    </w:p>
    <w:p>
      <w:pPr>
        <w:spacing w:after="40"/>
        <w:ind w:left="331" w:hanging="245"/>
      </w:pPr>
      <w:r>
        <w:t xml:space="preserve">•  </w:t>
      </w:r>
      <w:r>
        <w:t>Não usar texto menor que 12 px na aplicação.</w:t>
      </w:r>
    </w:p>
    <w:p>
      <w:pPr>
        <w:spacing w:after="40"/>
        <w:ind w:left="331" w:hanging="245"/>
      </w:pPr>
      <w:r>
        <w:t xml:space="preserve">•  </w:t>
      </w:r>
      <w:r>
        <w:t>Valores, CPF parcial, datas e tabelas financeiras devem usar font-variant-numeric: tabular-nums.</w:t>
      </w:r>
    </w:p>
    <w:p>
      <w:pPr>
        <w:spacing w:after="40"/>
        <w:ind w:left="331" w:hanging="245"/>
      </w:pPr>
      <w:r>
        <w:t xml:space="preserve">•  </w:t>
      </w:r>
      <w:r>
        <w:t>Máximo de três pesos tipográficos por tela.</w:t>
      </w:r>
    </w:p>
    <w:p>
      <w:pPr>
        <w:pStyle w:val="Heading1"/>
      </w:pPr>
      <w:r>
        <w:t>6. Estrutura da interface</w:t>
      </w:r>
    </w:p>
    <w:p>
      <w:pPr>
        <w:pStyle w:val="Heading2"/>
      </w:pPr>
      <w:r>
        <w:t>6.1 Navegação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1944"/>
            <w:shd w:fill="0A2947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7704"/>
            <w:shd w:fill="0A2947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Especificação</w:t>
            </w:r>
          </w:p>
        </w:tc>
      </w:tr>
      <w:tr>
        <w:trPr>
          <w:cantSplit/>
        </w:trPr>
        <w:tc>
          <w:tcPr>
            <w:tcW w:type="dxa" w:w="1944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pPr>
              <w:spacing w:after="20" w:line="240" w:lineRule="auto"/>
            </w:pPr>
            <w:r>
              <w:rPr>
                <w:sz w:val="17"/>
              </w:rPr>
              <w:t>Barra lateral</w:t>
            </w:r>
          </w:p>
        </w:tc>
        <w:tc>
          <w:tcPr>
            <w:tcW w:type="dxa" w:w="7704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pPr>
              <w:spacing w:after="20" w:line="240" w:lineRule="auto"/>
            </w:pPr>
            <w:r>
              <w:rPr>
                <w:sz w:val="17"/>
              </w:rPr>
              <w:t>240 px aberta; 72 px recolhida; fundo azul-marinho; ícones de 20 px</w:t>
            </w:r>
          </w:p>
        </w:tc>
      </w:tr>
      <w:tr>
        <w:trPr>
          <w:cantSplit/>
        </w:trPr>
        <w:tc>
          <w:tcPr>
            <w:tcW w:type="dxa" w:w="1944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  <w:shd w:fill="F6F8FA"/>
          </w:tcPr>
          <w:p>
            <w:pPr>
              <w:spacing w:after="20" w:line="240" w:lineRule="auto"/>
            </w:pPr>
            <w:r>
              <w:rPr>
                <w:sz w:val="17"/>
              </w:rPr>
              <w:t>Topo</w:t>
            </w:r>
          </w:p>
        </w:tc>
        <w:tc>
          <w:tcPr>
            <w:tcW w:type="dxa" w:w="7704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  <w:shd w:fill="F6F8FA"/>
          </w:tcPr>
          <w:p>
            <w:pPr>
              <w:spacing w:after="20" w:line="240" w:lineRule="auto"/>
            </w:pPr>
            <w:r>
              <w:rPr>
                <w:sz w:val="17"/>
              </w:rPr>
              <w:t>64 px; fundo branco; campanha ativa, busca, notificações e usuário</w:t>
            </w:r>
          </w:p>
        </w:tc>
      </w:tr>
      <w:tr>
        <w:trPr>
          <w:cantSplit/>
        </w:trPr>
        <w:tc>
          <w:tcPr>
            <w:tcW w:type="dxa" w:w="1944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pPr>
              <w:spacing w:after="20" w:line="240" w:lineRule="auto"/>
            </w:pPr>
            <w:r>
              <w:rPr>
                <w:sz w:val="17"/>
              </w:rPr>
              <w:t>Conteúdo</w:t>
            </w:r>
          </w:p>
        </w:tc>
        <w:tc>
          <w:tcPr>
            <w:tcW w:type="dxa" w:w="7704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pPr>
              <w:spacing w:after="20" w:line="240" w:lineRule="auto"/>
            </w:pPr>
            <w:r>
              <w:rPr>
                <w:sz w:val="17"/>
              </w:rPr>
              <w:t>Largura máxima de 1440 px; padding de 24 a 32 px; fundo marfim</w:t>
            </w:r>
          </w:p>
        </w:tc>
      </w:tr>
      <w:tr>
        <w:trPr>
          <w:cantSplit/>
        </w:trPr>
        <w:tc>
          <w:tcPr>
            <w:tcW w:type="dxa" w:w="1944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  <w:shd w:fill="F6F8FA"/>
          </w:tcPr>
          <w:p>
            <w:pPr>
              <w:spacing w:after="20" w:line="240" w:lineRule="auto"/>
            </w:pPr>
            <w:r>
              <w:rPr>
                <w:sz w:val="17"/>
              </w:rPr>
              <w:t>Breadcrumb</w:t>
            </w:r>
          </w:p>
        </w:tc>
        <w:tc>
          <w:tcPr>
            <w:tcW w:type="dxa" w:w="7704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  <w:shd w:fill="F6F8FA"/>
          </w:tcPr>
          <w:p>
            <w:pPr>
              <w:spacing w:after="20" w:line="240" w:lineRule="auto"/>
            </w:pPr>
            <w:r>
              <w:rPr>
                <w:sz w:val="17"/>
              </w:rPr>
              <w:t>Somente em três ou mais níveis; texto secundário e último item sem link</w:t>
            </w:r>
          </w:p>
        </w:tc>
      </w:tr>
      <w:tr>
        <w:trPr>
          <w:cantSplit/>
        </w:trPr>
        <w:tc>
          <w:tcPr>
            <w:tcW w:type="dxa" w:w="1944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pPr>
              <w:spacing w:after="20" w:line="240" w:lineRule="auto"/>
            </w:pPr>
            <w:r>
              <w:rPr>
                <w:sz w:val="17"/>
              </w:rPr>
              <w:t>Mobile</w:t>
            </w:r>
          </w:p>
        </w:tc>
        <w:tc>
          <w:tcPr>
            <w:tcW w:type="dxa" w:w="7704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pPr>
              <w:spacing w:after="20" w:line="240" w:lineRule="auto"/>
            </w:pPr>
            <w:r>
              <w:rPr>
                <w:sz w:val="17"/>
              </w:rPr>
              <w:t>Navegação em drawer; ação principal fixa quando necessário</w:t>
            </w:r>
          </w:p>
        </w:tc>
      </w:tr>
    </w:tbl>
    <w:p>
      <w:pPr>
        <w:spacing w:after="0"/>
      </w:pPr>
    </w:p>
    <w:p>
      <w:pPr>
        <w:pStyle w:val="Heading2"/>
      </w:pPr>
      <w:r>
        <w:t>6.2 Grade e espaçamento</w:t>
      </w:r>
    </w:p>
    <w:p>
      <w:r>
        <w:t>Adotar unidade-base de 4 px. Espaçamentos preferenciais: 4, 8, 12, 16, 24, 32, 48 e 64 px. Cartões usam 20 a 24 px de padding; formulários usam 16 a 24 px entre grupos; seções usam 32 px ou mais.</w:t>
      </w:r>
    </w:p>
    <w:p>
      <w:pPr>
        <w:pStyle w:val="Heading2"/>
      </w:pPr>
      <w:r>
        <w:t>6.3 Superfícies</w:t>
      </w:r>
    </w:p>
    <w:p>
      <w:pPr>
        <w:spacing w:after="40"/>
        <w:ind w:left="331" w:hanging="245"/>
      </w:pPr>
      <w:r>
        <w:t xml:space="preserve">•  </w:t>
      </w:r>
      <w:r>
        <w:t>Cartões brancos, raio de 12 px, borda #D8DDE3 e sombra muito discreta.</w:t>
      </w:r>
    </w:p>
    <w:p>
      <w:pPr>
        <w:spacing w:after="40"/>
        <w:ind w:left="331" w:hanging="245"/>
      </w:pPr>
      <w:r>
        <w:t xml:space="preserve">•  </w:t>
      </w:r>
      <w:r>
        <w:t>Evitar excesso de cartões dentro de cartões.</w:t>
      </w:r>
    </w:p>
    <w:p>
      <w:pPr>
        <w:spacing w:after="40"/>
        <w:ind w:left="331" w:hanging="245"/>
      </w:pPr>
      <w:r>
        <w:t xml:space="preserve">•  </w:t>
      </w:r>
      <w:r>
        <w:t>Dourado apenas em detalhes; não criar blocos dourados extensos.</w:t>
      </w:r>
    </w:p>
    <w:p>
      <w:pPr>
        <w:spacing w:after="40"/>
        <w:ind w:left="331" w:hanging="245"/>
      </w:pPr>
      <w:r>
        <w:t xml:space="preserve">•  </w:t>
      </w:r>
      <w:r>
        <w:t>Fundo marfim separa a área de trabalho da navegação sem reduzir contraste.</w:t>
      </w:r>
    </w:p>
    <w:p>
      <w:pPr>
        <w:pStyle w:val="Heading1"/>
      </w:pPr>
      <w:r>
        <w:t>7. Componentes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2088"/>
            <w:shd w:fill="0A2947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7560"/>
            <w:shd w:fill="0A2947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Padrão visual e comportamento</w:t>
            </w:r>
          </w:p>
        </w:tc>
      </w:tr>
      <w:tr>
        <w:trPr>
          <w:cantSplit/>
        </w:trPr>
        <w:tc>
          <w:tcPr>
            <w:tcW w:type="dxa" w:w="2088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pPr>
              <w:spacing w:after="20" w:line="240" w:lineRule="auto"/>
            </w:pPr>
            <w:r>
              <w:rPr>
                <w:sz w:val="17"/>
              </w:rPr>
              <w:t>Botão primário</w:t>
            </w:r>
          </w:p>
        </w:tc>
        <w:tc>
          <w:tcPr>
            <w:tcW w:type="dxa" w:w="7560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pPr>
              <w:spacing w:after="20" w:line="240" w:lineRule="auto"/>
            </w:pPr>
            <w:r>
              <w:rPr>
                <w:sz w:val="17"/>
              </w:rPr>
              <w:t>Azul-marinho, texto branco, 40 px de altura; uma ação principal por contexto</w:t>
            </w:r>
          </w:p>
        </w:tc>
      </w:tr>
      <w:tr>
        <w:trPr>
          <w:cantSplit/>
        </w:trPr>
        <w:tc>
          <w:tcPr>
            <w:tcW w:type="dxa" w:w="2088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  <w:shd w:fill="F6F8FA"/>
          </w:tcPr>
          <w:p>
            <w:pPr>
              <w:spacing w:after="20" w:line="240" w:lineRule="auto"/>
            </w:pPr>
            <w:r>
              <w:rPr>
                <w:sz w:val="17"/>
              </w:rPr>
              <w:t>Botão secundário</w:t>
            </w:r>
          </w:p>
        </w:tc>
        <w:tc>
          <w:tcPr>
            <w:tcW w:type="dxa" w:w="7560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  <w:shd w:fill="F6F8FA"/>
          </w:tcPr>
          <w:p>
            <w:pPr>
              <w:spacing w:after="20" w:line="240" w:lineRule="auto"/>
            </w:pPr>
            <w:r>
              <w:rPr>
                <w:sz w:val="17"/>
              </w:rPr>
              <w:t>Branco, borda azul-marinho, texto azul-marinho</w:t>
            </w:r>
          </w:p>
        </w:tc>
      </w:tr>
      <w:tr>
        <w:trPr>
          <w:cantSplit/>
        </w:trPr>
        <w:tc>
          <w:tcPr>
            <w:tcW w:type="dxa" w:w="2088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pPr>
              <w:spacing w:after="20" w:line="240" w:lineRule="auto"/>
            </w:pPr>
            <w:r>
              <w:rPr>
                <w:sz w:val="17"/>
              </w:rPr>
              <w:t>Botão destrutivo</w:t>
            </w:r>
          </w:p>
        </w:tc>
        <w:tc>
          <w:tcPr>
            <w:tcW w:type="dxa" w:w="7560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pPr>
              <w:spacing w:after="20" w:line="240" w:lineRule="auto"/>
            </w:pPr>
            <w:r>
              <w:rPr>
                <w:sz w:val="17"/>
              </w:rPr>
              <w:t>Vermelho somente em confirmação de ação irreversível ou crítica</w:t>
            </w:r>
          </w:p>
        </w:tc>
      </w:tr>
      <w:tr>
        <w:trPr>
          <w:cantSplit/>
        </w:trPr>
        <w:tc>
          <w:tcPr>
            <w:tcW w:type="dxa" w:w="2088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  <w:shd w:fill="F6F8FA"/>
          </w:tcPr>
          <w:p>
            <w:pPr>
              <w:spacing w:after="20" w:line="240" w:lineRule="auto"/>
            </w:pPr>
            <w:r>
              <w:rPr>
                <w:sz w:val="17"/>
              </w:rPr>
              <w:t>Campo</w:t>
            </w:r>
          </w:p>
        </w:tc>
        <w:tc>
          <w:tcPr>
            <w:tcW w:type="dxa" w:w="7560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  <w:shd w:fill="F6F8FA"/>
          </w:tcPr>
          <w:p>
            <w:pPr>
              <w:spacing w:after="20" w:line="240" w:lineRule="auto"/>
            </w:pPr>
            <w:r>
              <w:rPr>
                <w:sz w:val="17"/>
              </w:rPr>
              <w:t>44 px de altura, raio 8 px, rótulo acima; ajuda e erro abaixo</w:t>
            </w:r>
          </w:p>
        </w:tc>
      </w:tr>
      <w:tr>
        <w:trPr>
          <w:cantSplit/>
        </w:trPr>
        <w:tc>
          <w:tcPr>
            <w:tcW w:type="dxa" w:w="2088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pPr>
              <w:spacing w:after="20" w:line="240" w:lineRule="auto"/>
            </w:pPr>
            <w:r>
              <w:rPr>
                <w:sz w:val="17"/>
              </w:rPr>
              <w:t>Tabela</w:t>
            </w:r>
          </w:p>
        </w:tc>
        <w:tc>
          <w:tcPr>
            <w:tcW w:type="dxa" w:w="7560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pPr>
              <w:spacing w:after="20" w:line="240" w:lineRule="auto"/>
            </w:pPr>
            <w:r>
              <w:rPr>
                <w:sz w:val="17"/>
              </w:rPr>
              <w:t>Cabeçalho azul muito claro ou marinho; linhas de 48 px; cabeçalho fixo em listas longas</w:t>
            </w:r>
          </w:p>
        </w:tc>
      </w:tr>
      <w:tr>
        <w:trPr>
          <w:cantSplit/>
        </w:trPr>
        <w:tc>
          <w:tcPr>
            <w:tcW w:type="dxa" w:w="2088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  <w:shd w:fill="F6F8FA"/>
          </w:tcPr>
          <w:p>
            <w:pPr>
              <w:spacing w:after="20" w:line="240" w:lineRule="auto"/>
            </w:pPr>
            <w:r>
              <w:rPr>
                <w:sz w:val="17"/>
              </w:rPr>
              <w:t>Filtro</w:t>
            </w:r>
          </w:p>
        </w:tc>
        <w:tc>
          <w:tcPr>
            <w:tcW w:type="dxa" w:w="7560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  <w:shd w:fill="F6F8FA"/>
          </w:tcPr>
          <w:p>
            <w:pPr>
              <w:spacing w:after="20" w:line="240" w:lineRule="auto"/>
            </w:pPr>
            <w:r>
              <w:rPr>
                <w:sz w:val="17"/>
              </w:rPr>
              <w:t>Barra resumida e painel expansível; chips para filtros aplicados</w:t>
            </w:r>
          </w:p>
        </w:tc>
      </w:tr>
      <w:tr>
        <w:trPr>
          <w:cantSplit/>
        </w:trPr>
        <w:tc>
          <w:tcPr>
            <w:tcW w:type="dxa" w:w="2088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pPr>
              <w:spacing w:after="20" w:line="240" w:lineRule="auto"/>
            </w:pPr>
            <w:r>
              <w:rPr>
                <w:sz w:val="17"/>
              </w:rPr>
              <w:t>Status</w:t>
            </w:r>
          </w:p>
        </w:tc>
        <w:tc>
          <w:tcPr>
            <w:tcW w:type="dxa" w:w="7560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pPr>
              <w:spacing w:after="20" w:line="240" w:lineRule="auto"/>
            </w:pPr>
            <w:r>
              <w:rPr>
                <w:sz w:val="17"/>
              </w:rPr>
              <w:t>Badge com texto, ícone e cor funcional; nunca apenas ponto colorido</w:t>
            </w:r>
          </w:p>
        </w:tc>
      </w:tr>
      <w:tr>
        <w:trPr>
          <w:cantSplit/>
        </w:trPr>
        <w:tc>
          <w:tcPr>
            <w:tcW w:type="dxa" w:w="2088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  <w:shd w:fill="F6F8FA"/>
          </w:tcPr>
          <w:p>
            <w:pPr>
              <w:spacing w:after="20" w:line="240" w:lineRule="auto"/>
            </w:pPr>
            <w:r>
              <w:rPr>
                <w:sz w:val="17"/>
              </w:rPr>
              <w:t>Modal</w:t>
            </w:r>
          </w:p>
        </w:tc>
        <w:tc>
          <w:tcPr>
            <w:tcW w:type="dxa" w:w="7560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  <w:shd w:fill="F6F8FA"/>
          </w:tcPr>
          <w:p>
            <w:pPr>
              <w:spacing w:after="20" w:line="240" w:lineRule="auto"/>
            </w:pPr>
            <w:r>
              <w:rPr>
                <w:sz w:val="17"/>
              </w:rPr>
              <w:t>Até 640 px; título, consequência, ação principal e cancelamento explícito</w:t>
            </w:r>
          </w:p>
        </w:tc>
      </w:tr>
      <w:tr>
        <w:trPr>
          <w:cantSplit/>
        </w:trPr>
        <w:tc>
          <w:tcPr>
            <w:tcW w:type="dxa" w:w="2088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pPr>
              <w:spacing w:after="20" w:line="240" w:lineRule="auto"/>
            </w:pPr>
            <w:r>
              <w:rPr>
                <w:sz w:val="17"/>
              </w:rPr>
              <w:t>Toast</w:t>
            </w:r>
          </w:p>
        </w:tc>
        <w:tc>
          <w:tcPr>
            <w:tcW w:type="dxa" w:w="7560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pPr>
              <w:spacing w:after="20" w:line="240" w:lineRule="auto"/>
            </w:pPr>
            <w:r>
              <w:rPr>
                <w:sz w:val="17"/>
              </w:rPr>
              <w:t>Confirmação breve; não usar para informação que o usuário precisa consultar depois</w:t>
            </w:r>
          </w:p>
        </w:tc>
      </w:tr>
      <w:tr>
        <w:trPr>
          <w:cantSplit/>
        </w:trPr>
        <w:tc>
          <w:tcPr>
            <w:tcW w:type="dxa" w:w="2088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  <w:shd w:fill="F6F8FA"/>
          </w:tcPr>
          <w:p>
            <w:pPr>
              <w:spacing w:after="20" w:line="240" w:lineRule="auto"/>
            </w:pPr>
            <w:r>
              <w:rPr>
                <w:sz w:val="17"/>
              </w:rPr>
              <w:t>Upload</w:t>
            </w:r>
          </w:p>
        </w:tc>
        <w:tc>
          <w:tcPr>
            <w:tcW w:type="dxa" w:w="7560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  <w:shd w:fill="F6F8FA"/>
          </w:tcPr>
          <w:p>
            <w:pPr>
              <w:spacing w:after="20" w:line="240" w:lineRule="auto"/>
            </w:pPr>
            <w:r>
              <w:rPr>
                <w:sz w:val="17"/>
              </w:rPr>
              <w:t>Área de seleção mais botão; formatos, tamanho, progresso e resultado por arquivo</w:t>
            </w:r>
          </w:p>
        </w:tc>
      </w:tr>
    </w:tbl>
    <w:p>
      <w:pPr>
        <w:spacing w:after="0"/>
      </w:pPr>
    </w:p>
    <w:p>
      <w:pPr>
        <w:pStyle w:val="Heading2"/>
      </w:pPr>
      <w:r>
        <w:t>7.1 Formulários sensíveis</w:t>
      </w:r>
    </w:p>
    <w:p>
      <w:pPr>
        <w:spacing w:after="40"/>
        <w:ind w:left="331" w:hanging="245"/>
      </w:pPr>
      <w:r>
        <w:t xml:space="preserve">•  </w:t>
      </w:r>
      <w:r>
        <w:t>Organizar por etapas: identificação, endereço, eleitoral, bancário, documentos e revisão.</w:t>
      </w:r>
    </w:p>
    <w:p>
      <w:pPr>
        <w:spacing w:after="40"/>
        <w:ind w:left="331" w:hanging="245"/>
      </w:pPr>
      <w:r>
        <w:t xml:space="preserve">•  </w:t>
      </w:r>
      <w:r>
        <w:t>Salvar rascunho automaticamente e mostrar data da última gravação.</w:t>
      </w:r>
    </w:p>
    <w:p>
      <w:pPr>
        <w:spacing w:after="40"/>
        <w:ind w:left="331" w:hanging="245"/>
      </w:pPr>
      <w:r>
        <w:t xml:space="preserve">•  </w:t>
      </w:r>
      <w:r>
        <w:t>Mascarar CPF, conta e demais dados em listagens; revelar somente por permissão e ação explícita.</w:t>
      </w:r>
    </w:p>
    <w:p>
      <w:pPr>
        <w:spacing w:after="40"/>
        <w:ind w:left="331" w:hanging="245"/>
      </w:pPr>
      <w:r>
        <w:t xml:space="preserve">•  </w:t>
      </w:r>
      <w:r>
        <w:t>Erro deve indicar o campo, o motivo e como corrigir.</w:t>
      </w:r>
    </w:p>
    <w:p>
      <w:pPr>
        <w:spacing w:after="40"/>
        <w:ind w:left="331" w:hanging="245"/>
      </w:pPr>
      <w:r>
        <w:t xml:space="preserve">•  </w:t>
      </w:r>
      <w:r>
        <w:t>Dados extraídos por IA aparecem como sugestão com origem e confiança, nunca como valor confirmado.</w:t>
      </w:r>
    </w:p>
    <w:p>
      <w:pPr>
        <w:pStyle w:val="Heading2"/>
      </w:pPr>
      <w:r>
        <w:t>7.2 Tabelas financeiras</w:t>
      </w:r>
    </w:p>
    <w:p>
      <w:pPr>
        <w:spacing w:after="40"/>
        <w:ind w:left="331" w:hanging="245"/>
      </w:pPr>
      <w:r>
        <w:t xml:space="preserve">•  </w:t>
      </w:r>
      <w:r>
        <w:t>Alinhar valores à direita e usar duas casas decimais.</w:t>
      </w:r>
    </w:p>
    <w:p>
      <w:pPr>
        <w:spacing w:after="40"/>
        <w:ind w:left="331" w:hanging="245"/>
      </w:pPr>
      <w:r>
        <w:t xml:space="preserve">•  </w:t>
      </w:r>
      <w:r>
        <w:t>Mostrar total pago, pendente e total previsto no mesmo contexto.</w:t>
      </w:r>
    </w:p>
    <w:p>
      <w:pPr>
        <w:spacing w:after="40"/>
        <w:ind w:left="331" w:hanging="245"/>
      </w:pPr>
      <w:r>
        <w:t xml:space="preserve">•  </w:t>
      </w:r>
      <w:r>
        <w:t>Cores acompanham rótulos; negativos e estornos precisam de sinal e descrição.</w:t>
      </w:r>
    </w:p>
    <w:p>
      <w:pPr>
        <w:spacing w:after="40"/>
        <w:ind w:left="331" w:hanging="245"/>
      </w:pPr>
      <w:r>
        <w:t xml:space="preserve">•  </w:t>
      </w:r>
      <w:r>
        <w:t>Linha clicável não substitui menu de ações; preservar navegação por teclado.</w:t>
      </w:r>
    </w:p>
    <w:p>
      <w:pPr>
        <w:pStyle w:val="Heading1"/>
      </w:pPr>
      <w:r>
        <w:t>8. Telas principais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1944"/>
            <w:shd w:fill="0A2947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Tela</w:t>
            </w:r>
          </w:p>
        </w:tc>
        <w:tc>
          <w:tcPr>
            <w:tcW w:type="dxa" w:w="7704"/>
            <w:shd w:fill="0A2947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Composição recomendada</w:t>
            </w:r>
          </w:p>
        </w:tc>
      </w:tr>
      <w:tr>
        <w:trPr>
          <w:cantSplit/>
        </w:trPr>
        <w:tc>
          <w:tcPr>
            <w:tcW w:type="dxa" w:w="1944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pPr>
              <w:spacing w:after="20" w:line="240" w:lineRule="auto"/>
            </w:pPr>
            <w:r>
              <w:rPr>
                <w:sz w:val="17"/>
              </w:rPr>
              <w:t>Login</w:t>
            </w:r>
          </w:p>
        </w:tc>
        <w:tc>
          <w:tcPr>
            <w:tcW w:type="dxa" w:w="7704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pPr>
              <w:spacing w:after="20" w:line="240" w:lineRule="auto"/>
            </w:pPr>
            <w:r>
              <w:rPr>
                <w:sz w:val="17"/>
              </w:rPr>
              <w:t>Brasão vertical, mensagem curta, formulário central, ajuda e @agilizetecnologia no rodapé</w:t>
            </w:r>
          </w:p>
        </w:tc>
      </w:tr>
      <w:tr>
        <w:trPr>
          <w:cantSplit/>
        </w:trPr>
        <w:tc>
          <w:tcPr>
            <w:tcW w:type="dxa" w:w="1944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  <w:shd w:fill="F6F8FA"/>
          </w:tcPr>
          <w:p>
            <w:pPr>
              <w:spacing w:after="20" w:line="240" w:lineRule="auto"/>
            </w:pPr>
            <w:r>
              <w:rPr>
                <w:sz w:val="17"/>
              </w:rPr>
              <w:t>Dashboard</w:t>
            </w:r>
          </w:p>
        </w:tc>
        <w:tc>
          <w:tcPr>
            <w:tcW w:type="dxa" w:w="7704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  <w:shd w:fill="F6F8FA"/>
          </w:tcPr>
          <w:p>
            <w:pPr>
              <w:spacing w:after="20" w:line="240" w:lineRule="auto"/>
            </w:pPr>
            <w:r>
              <w:rPr>
                <w:sz w:val="17"/>
              </w:rPr>
              <w:t>Título e período; quatro KPIs; pendências prioritárias; gráficos; atividades recentes</w:t>
            </w:r>
          </w:p>
        </w:tc>
      </w:tr>
      <w:tr>
        <w:trPr>
          <w:cantSplit/>
        </w:trPr>
        <w:tc>
          <w:tcPr>
            <w:tcW w:type="dxa" w:w="1944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pPr>
              <w:spacing w:after="20" w:line="240" w:lineRule="auto"/>
            </w:pPr>
            <w:r>
              <w:rPr>
                <w:sz w:val="17"/>
              </w:rPr>
              <w:t>Pessoas</w:t>
            </w:r>
          </w:p>
        </w:tc>
        <w:tc>
          <w:tcPr>
            <w:tcW w:type="dxa" w:w="7704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pPr>
              <w:spacing w:after="20" w:line="240" w:lineRule="auto"/>
            </w:pPr>
            <w:r>
              <w:rPr>
                <w:sz w:val="17"/>
              </w:rPr>
              <w:t>Busca, filtros, importação, novo cadastro, tabela e indicador de completude</w:t>
            </w:r>
          </w:p>
        </w:tc>
      </w:tr>
      <w:tr>
        <w:trPr>
          <w:cantSplit/>
        </w:trPr>
        <w:tc>
          <w:tcPr>
            <w:tcW w:type="dxa" w:w="1944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  <w:shd w:fill="F6F8FA"/>
          </w:tcPr>
          <w:p>
            <w:pPr>
              <w:spacing w:after="20" w:line="240" w:lineRule="auto"/>
            </w:pPr>
            <w:r>
              <w:rPr>
                <w:sz w:val="17"/>
              </w:rPr>
              <w:t>Pessoa</w:t>
            </w:r>
          </w:p>
        </w:tc>
        <w:tc>
          <w:tcPr>
            <w:tcW w:type="dxa" w:w="7704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  <w:shd w:fill="F6F8FA"/>
          </w:tcPr>
          <w:p>
            <w:pPr>
              <w:spacing w:after="20" w:line="240" w:lineRule="auto"/>
            </w:pPr>
            <w:r>
              <w:rPr>
                <w:sz w:val="17"/>
              </w:rPr>
              <w:t>Cabeçalho com status; abas Dados, Documentos, Contratos, Pagamentos e Auditoria</w:t>
            </w:r>
          </w:p>
        </w:tc>
      </w:tr>
      <w:tr>
        <w:trPr>
          <w:cantSplit/>
        </w:trPr>
        <w:tc>
          <w:tcPr>
            <w:tcW w:type="dxa" w:w="1944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pPr>
              <w:spacing w:after="20" w:line="240" w:lineRule="auto"/>
            </w:pPr>
            <w:r>
              <w:rPr>
                <w:sz w:val="17"/>
              </w:rPr>
              <w:t>Coordenador</w:t>
            </w:r>
          </w:p>
        </w:tc>
        <w:tc>
          <w:tcPr>
            <w:tcW w:type="dxa" w:w="7704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pPr>
              <w:spacing w:after="20" w:line="240" w:lineRule="auto"/>
            </w:pPr>
            <w:r>
              <w:rPr>
                <w:sz w:val="17"/>
              </w:rPr>
              <w:t>Resumo do grupo, pendências por pessoa, contratos, documentos e recebimentos</w:t>
            </w:r>
          </w:p>
        </w:tc>
      </w:tr>
      <w:tr>
        <w:trPr>
          <w:cantSplit/>
        </w:trPr>
        <w:tc>
          <w:tcPr>
            <w:tcW w:type="dxa" w:w="1944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  <w:shd w:fill="F6F8FA"/>
          </w:tcPr>
          <w:p>
            <w:pPr>
              <w:spacing w:after="20" w:line="240" w:lineRule="auto"/>
            </w:pPr>
            <w:r>
              <w:rPr>
                <w:sz w:val="17"/>
              </w:rPr>
              <w:t>Despesas</w:t>
            </w:r>
          </w:p>
        </w:tc>
        <w:tc>
          <w:tcPr>
            <w:tcW w:type="dxa" w:w="7704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  <w:shd w:fill="F6F8FA"/>
          </w:tcPr>
          <w:p>
            <w:pPr>
              <w:spacing w:after="20" w:line="240" w:lineRule="auto"/>
            </w:pPr>
            <w:r>
              <w:rPr>
                <w:sz w:val="17"/>
              </w:rPr>
              <w:t>KPIs, filtros, lista; autorizador visível; fluxo de revisão e comprovantes</w:t>
            </w:r>
          </w:p>
        </w:tc>
      </w:tr>
      <w:tr>
        <w:trPr>
          <w:cantSplit/>
        </w:trPr>
        <w:tc>
          <w:tcPr>
            <w:tcW w:type="dxa" w:w="1944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pPr>
              <w:spacing w:after="20" w:line="240" w:lineRule="auto"/>
            </w:pPr>
            <w:r>
              <w:rPr>
                <w:sz w:val="17"/>
              </w:rPr>
              <w:t>Central de IA</w:t>
            </w:r>
          </w:p>
        </w:tc>
        <w:tc>
          <w:tcPr>
            <w:tcW w:type="dxa" w:w="7704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pPr>
              <w:spacing w:after="20" w:line="240" w:lineRule="auto"/>
            </w:pPr>
            <w:r>
              <w:rPr>
                <w:sz w:val="17"/>
              </w:rPr>
              <w:t>Fila de análises, confiança, comparação antes/depois e decisão humana</w:t>
            </w:r>
          </w:p>
        </w:tc>
      </w:tr>
      <w:tr>
        <w:trPr>
          <w:cantSplit/>
        </w:trPr>
        <w:tc>
          <w:tcPr>
            <w:tcW w:type="dxa" w:w="1944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  <w:shd w:fill="F6F8FA"/>
          </w:tcPr>
          <w:p>
            <w:pPr>
              <w:spacing w:after="20" w:line="240" w:lineRule="auto"/>
            </w:pPr>
            <w:r>
              <w:rPr>
                <w:sz w:val="17"/>
              </w:rPr>
              <w:t>Relatórios</w:t>
            </w:r>
          </w:p>
        </w:tc>
        <w:tc>
          <w:tcPr>
            <w:tcW w:type="dxa" w:w="7704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  <w:shd w:fill="F6F8FA"/>
          </w:tcPr>
          <w:p>
            <w:pPr>
              <w:spacing w:after="20" w:line="240" w:lineRule="auto"/>
            </w:pPr>
            <w:r>
              <w:rPr>
                <w:sz w:val="17"/>
              </w:rPr>
              <w:t>Campos e filtros à esquerda; prévia e formato à direita; histórico de exportações</w:t>
            </w:r>
          </w:p>
        </w:tc>
      </w:tr>
    </w:tbl>
    <w:p>
      <w:pPr>
        <w:spacing w:after="0"/>
      </w:pPr>
    </w:p>
    <w:p>
      <w:pPr>
        <w:pStyle w:val="Heading2"/>
      </w:pPr>
      <w:r>
        <w:t>8.1 Dashboard</w:t>
      </w:r>
    </w:p>
    <w:p>
      <w:pPr>
        <w:spacing w:after="40"/>
        <w:ind w:left="331" w:hanging="245"/>
      </w:pPr>
      <w:r>
        <w:t xml:space="preserve">•  </w:t>
      </w:r>
      <w:r>
        <w:t>Primeira linha: Pessoas ativas, Cadastros pendentes, Total pago e Total pendente.</w:t>
      </w:r>
    </w:p>
    <w:p>
      <w:pPr>
        <w:spacing w:after="40"/>
        <w:ind w:left="331" w:hanging="245"/>
      </w:pPr>
      <w:r>
        <w:t xml:space="preserve">•  </w:t>
      </w:r>
      <w:r>
        <w:t>Segunda linha: pendências por tipo e situação por eixo/cidade.</w:t>
      </w:r>
    </w:p>
    <w:p>
      <w:pPr>
        <w:spacing w:after="40"/>
        <w:ind w:left="331" w:hanging="245"/>
      </w:pPr>
      <w:r>
        <w:t xml:space="preserve">•  </w:t>
      </w:r>
      <w:r>
        <w:t>Gráficos com no máximo seis séries; fornecer tabela equivalente quando necessário.</w:t>
      </w:r>
    </w:p>
    <w:p>
      <w:pPr>
        <w:spacing w:after="40"/>
        <w:ind w:left="331" w:hanging="245"/>
      </w:pPr>
      <w:r>
        <w:t xml:space="preserve">•  </w:t>
      </w:r>
      <w:r>
        <w:t>Uma lista “Exige sua ação” deve preceder gráficos meramente informativos.</w:t>
      </w:r>
    </w:p>
    <w:p>
      <w:pPr>
        <w:pStyle w:val="Heading2"/>
      </w:pPr>
      <w:r>
        <w:t>8.2 Central de IA</w:t>
      </w:r>
    </w:p>
    <w:p>
      <w:r>
        <w:t>A IA deve parecer uma ferramenta de conferência, não um chat genérico. Cada sugestão apresenta documento/origem, campo atual, valor sugerido, confiança, evidência e botões Aceitar, Corrigir e Rejeitar. Assistentes conversacionais ficam em área própria e respeitam o escopo do usuário.</w:t>
      </w:r>
    </w:p>
    <w:p>
      <w:pPr>
        <w:pStyle w:val="Heading1"/>
      </w:pPr>
      <w:r>
        <w:t>9. Iconografia, gráficos e imagens</w:t>
      </w:r>
    </w:p>
    <w:p>
      <w:pPr>
        <w:pStyle w:val="Heading2"/>
      </w:pPr>
      <w:r>
        <w:t>9.1 Ícones</w:t>
      </w:r>
    </w:p>
    <w:p>
      <w:pPr>
        <w:spacing w:after="40"/>
        <w:ind w:left="331" w:hanging="245"/>
      </w:pPr>
      <w:r>
        <w:t xml:space="preserve">•  </w:t>
      </w:r>
      <w:r>
        <w:t>Usar uma única biblioteca linear, preferencialmente Lucide, com traço de 1,75 a 2 px.</w:t>
      </w:r>
    </w:p>
    <w:p>
      <w:pPr>
        <w:spacing w:after="40"/>
        <w:ind w:left="331" w:hanging="245"/>
      </w:pPr>
      <w:r>
        <w:t xml:space="preserve">•  </w:t>
      </w:r>
      <w:r>
        <w:t>Tamanhos padrão: 16 px em campos, 20 px em navegação e 24 px em ações destacadas.</w:t>
      </w:r>
    </w:p>
    <w:p>
      <w:pPr>
        <w:spacing w:after="40"/>
        <w:ind w:left="331" w:hanging="245"/>
      </w:pPr>
      <w:r>
        <w:t xml:space="preserve">•  </w:t>
      </w:r>
      <w:r>
        <w:t>Não misturar ícones preenchidos, emojis e ilustrações 3D na interface administrativa.</w:t>
      </w:r>
    </w:p>
    <w:p>
      <w:pPr>
        <w:pStyle w:val="Heading2"/>
      </w:pPr>
      <w:r>
        <w:t>9.2 Gráficos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1728"/>
            <w:shd w:fill="0A2947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Ordem</w:t>
            </w:r>
          </w:p>
        </w:tc>
        <w:tc>
          <w:tcPr>
            <w:tcW w:type="dxa" w:w="7920"/>
            <w:shd w:fill="0A2947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Cor</w:t>
            </w:r>
          </w:p>
        </w:tc>
      </w:tr>
      <w:tr>
        <w:trPr>
          <w:cantSplit/>
        </w:trPr>
        <w:tc>
          <w:tcPr>
            <w:tcW w:type="dxa" w:w="1728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pPr>
              <w:spacing w:after="20" w:line="240" w:lineRule="auto"/>
            </w:pPr>
            <w:r>
              <w:rPr>
                <w:sz w:val="17"/>
              </w:rPr>
              <w:t>Série 1</w:t>
            </w:r>
          </w:p>
        </w:tc>
        <w:tc>
          <w:tcPr>
            <w:tcW w:type="dxa" w:w="7920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pPr>
              <w:spacing w:after="20" w:line="240" w:lineRule="auto"/>
            </w:pPr>
            <w:r>
              <w:rPr>
                <w:sz w:val="17"/>
              </w:rPr>
              <w:t>#0A2947</w:t>
            </w:r>
          </w:p>
        </w:tc>
      </w:tr>
      <w:tr>
        <w:trPr>
          <w:cantSplit/>
        </w:trPr>
        <w:tc>
          <w:tcPr>
            <w:tcW w:type="dxa" w:w="1728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  <w:shd w:fill="F6F8FA"/>
          </w:tcPr>
          <w:p>
            <w:pPr>
              <w:spacing w:after="20" w:line="240" w:lineRule="auto"/>
            </w:pPr>
            <w:r>
              <w:rPr>
                <w:sz w:val="17"/>
              </w:rPr>
              <w:t>Série 2</w:t>
            </w:r>
          </w:p>
        </w:tc>
        <w:tc>
          <w:tcPr>
            <w:tcW w:type="dxa" w:w="7920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  <w:shd w:fill="F6F8FA"/>
          </w:tcPr>
          <w:p>
            <w:pPr>
              <w:spacing w:after="20" w:line="240" w:lineRule="auto"/>
            </w:pPr>
            <w:r>
              <w:rPr>
                <w:sz w:val="17"/>
              </w:rPr>
              <w:t>#2E6DA4</w:t>
            </w:r>
          </w:p>
        </w:tc>
      </w:tr>
      <w:tr>
        <w:trPr>
          <w:cantSplit/>
        </w:trPr>
        <w:tc>
          <w:tcPr>
            <w:tcW w:type="dxa" w:w="1728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pPr>
              <w:spacing w:after="20" w:line="240" w:lineRule="auto"/>
            </w:pPr>
            <w:r>
              <w:rPr>
                <w:sz w:val="17"/>
              </w:rPr>
              <w:t>Série 3</w:t>
            </w:r>
          </w:p>
        </w:tc>
        <w:tc>
          <w:tcPr>
            <w:tcW w:type="dxa" w:w="7920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pPr>
              <w:spacing w:after="20" w:line="240" w:lineRule="auto"/>
            </w:pPr>
            <w:r>
              <w:rPr>
                <w:sz w:val="17"/>
              </w:rPr>
              <w:t>#B7943E</w:t>
            </w:r>
          </w:p>
        </w:tc>
      </w:tr>
      <w:tr>
        <w:trPr>
          <w:cantSplit/>
        </w:trPr>
        <w:tc>
          <w:tcPr>
            <w:tcW w:type="dxa" w:w="1728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  <w:shd w:fill="F6F8FA"/>
          </w:tcPr>
          <w:p>
            <w:pPr>
              <w:spacing w:after="20" w:line="240" w:lineRule="auto"/>
            </w:pPr>
            <w:r>
              <w:rPr>
                <w:sz w:val="17"/>
              </w:rPr>
              <w:t>Série 4</w:t>
            </w:r>
          </w:p>
        </w:tc>
        <w:tc>
          <w:tcPr>
            <w:tcW w:type="dxa" w:w="7920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  <w:shd w:fill="F6F8FA"/>
          </w:tcPr>
          <w:p>
            <w:pPr>
              <w:spacing w:after="20" w:line="240" w:lineRule="auto"/>
            </w:pPr>
            <w:r>
              <w:rPr>
                <w:sz w:val="17"/>
              </w:rPr>
              <w:t>#19795A</w:t>
            </w:r>
          </w:p>
        </w:tc>
      </w:tr>
      <w:tr>
        <w:trPr>
          <w:cantSplit/>
        </w:trPr>
        <w:tc>
          <w:tcPr>
            <w:tcW w:type="dxa" w:w="1728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pPr>
              <w:spacing w:after="20" w:line="240" w:lineRule="auto"/>
            </w:pPr>
            <w:r>
              <w:rPr>
                <w:sz w:val="17"/>
              </w:rPr>
              <w:t>Série 5</w:t>
            </w:r>
          </w:p>
        </w:tc>
        <w:tc>
          <w:tcPr>
            <w:tcW w:type="dxa" w:w="7920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pPr>
              <w:spacing w:after="20" w:line="240" w:lineRule="auto"/>
            </w:pPr>
            <w:r>
              <w:rPr>
                <w:sz w:val="17"/>
              </w:rPr>
              <w:t>#7B8794</w:t>
            </w:r>
          </w:p>
        </w:tc>
      </w:tr>
      <w:tr>
        <w:trPr>
          <w:cantSplit/>
        </w:trPr>
        <w:tc>
          <w:tcPr>
            <w:tcW w:type="dxa" w:w="1728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  <w:shd w:fill="F6F8FA"/>
          </w:tcPr>
          <w:p>
            <w:pPr>
              <w:spacing w:after="20" w:line="240" w:lineRule="auto"/>
            </w:pPr>
            <w:r>
              <w:rPr>
                <w:sz w:val="17"/>
              </w:rPr>
              <w:t>Alerta</w:t>
            </w:r>
          </w:p>
        </w:tc>
        <w:tc>
          <w:tcPr>
            <w:tcW w:type="dxa" w:w="7920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  <w:shd w:fill="F6F8FA"/>
          </w:tcPr>
          <w:p>
            <w:pPr>
              <w:spacing w:after="20" w:line="240" w:lineRule="auto"/>
            </w:pPr>
            <w:r>
              <w:rPr>
                <w:sz w:val="17"/>
              </w:rPr>
              <w:t>#B93B45</w:t>
            </w:r>
          </w:p>
        </w:tc>
      </w:tr>
    </w:tbl>
    <w:p>
      <w:pPr>
        <w:spacing w:after="0"/>
      </w:pPr>
    </w:p>
    <w:p>
      <w:pPr>
        <w:spacing w:after="40"/>
        <w:ind w:left="331" w:hanging="245"/>
      </w:pPr>
      <w:r>
        <w:t xml:space="preserve">•  </w:t>
      </w:r>
      <w:r>
        <w:t>Evitar gráfico de pizza com mais de cinco categorias.</w:t>
      </w:r>
    </w:p>
    <w:p>
      <w:pPr>
        <w:spacing w:after="40"/>
        <w:ind w:left="331" w:hanging="245"/>
      </w:pPr>
      <w:r>
        <w:t xml:space="preserve">•  </w:t>
      </w:r>
      <w:r>
        <w:t>Começar eixos em zero quando a comparação puder ser distorcida.</w:t>
      </w:r>
    </w:p>
    <w:p>
      <w:pPr>
        <w:spacing w:after="40"/>
        <w:ind w:left="331" w:hanging="245"/>
      </w:pPr>
      <w:r>
        <w:t xml:space="preserve">•  </w:t>
      </w:r>
      <w:r>
        <w:t>Exibir unidade, período, fonte e data de atualização.</w:t>
      </w:r>
    </w:p>
    <w:p>
      <w:pPr>
        <w:spacing w:after="40"/>
        <w:ind w:left="331" w:hanging="245"/>
      </w:pPr>
      <w:r>
        <w:t xml:space="preserve">•  </w:t>
      </w:r>
      <w:r>
        <w:t>Não usar dourado e amarelo como única distinção entre séries próximas.</w:t>
      </w:r>
    </w:p>
    <w:p>
      <w:pPr>
        <w:pStyle w:val="Heading2"/>
      </w:pPr>
      <w:r>
        <w:t>9.3 Fotografias</w:t>
      </w:r>
    </w:p>
    <w:p>
      <w:r>
        <w:t>Fotos não são necessárias na operação diária. Quando usadas em institucional ou suporte, devem mostrar tecnologia e trabalho real com iluminação natural, sem estética partidária. Documentos enviados pelo usuário nunca viram elementos decorativos.</w:t>
      </w:r>
    </w:p>
    <w:p>
      <w:pPr>
        <w:pStyle w:val="Heading1"/>
      </w:pPr>
      <w:r>
        <w:t>10. Acessibilidade e responsividade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1944"/>
            <w:shd w:fill="0A2947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7704"/>
            <w:shd w:fill="0A2947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Regra</w:t>
            </w:r>
          </w:p>
        </w:tc>
      </w:tr>
      <w:tr>
        <w:trPr>
          <w:cantSplit/>
        </w:trPr>
        <w:tc>
          <w:tcPr>
            <w:tcW w:type="dxa" w:w="1944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pPr>
              <w:spacing w:after="20" w:line="240" w:lineRule="auto"/>
            </w:pPr>
            <w:r>
              <w:rPr>
                <w:sz w:val="17"/>
              </w:rPr>
              <w:t>Teclado</w:t>
            </w:r>
          </w:p>
        </w:tc>
        <w:tc>
          <w:tcPr>
            <w:tcW w:type="dxa" w:w="7704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pPr>
              <w:spacing w:after="20" w:line="240" w:lineRule="auto"/>
            </w:pPr>
            <w:r>
              <w:rPr>
                <w:sz w:val="17"/>
              </w:rPr>
              <w:t>Ordem lógica, foco visível de 2 px e nenhuma ação disponível apenas por mouse</w:t>
            </w:r>
          </w:p>
        </w:tc>
      </w:tr>
      <w:tr>
        <w:trPr>
          <w:cantSplit/>
        </w:trPr>
        <w:tc>
          <w:tcPr>
            <w:tcW w:type="dxa" w:w="1944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  <w:shd w:fill="F6F8FA"/>
          </w:tcPr>
          <w:p>
            <w:pPr>
              <w:spacing w:after="20" w:line="240" w:lineRule="auto"/>
            </w:pPr>
            <w:r>
              <w:rPr>
                <w:sz w:val="17"/>
              </w:rPr>
              <w:t>Leitor de tela</w:t>
            </w:r>
          </w:p>
        </w:tc>
        <w:tc>
          <w:tcPr>
            <w:tcW w:type="dxa" w:w="7704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  <w:shd w:fill="F6F8FA"/>
          </w:tcPr>
          <w:p>
            <w:pPr>
              <w:spacing w:after="20" w:line="240" w:lineRule="auto"/>
            </w:pPr>
            <w:r>
              <w:rPr>
                <w:sz w:val="17"/>
              </w:rPr>
              <w:t>Rótulos associados, títulos hierárquicos, mensagens de estado e alt text</w:t>
            </w:r>
          </w:p>
        </w:tc>
      </w:tr>
      <w:tr>
        <w:trPr>
          <w:cantSplit/>
        </w:trPr>
        <w:tc>
          <w:tcPr>
            <w:tcW w:type="dxa" w:w="1944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pPr>
              <w:spacing w:after="20" w:line="240" w:lineRule="auto"/>
            </w:pPr>
            <w:r>
              <w:rPr>
                <w:sz w:val="17"/>
              </w:rPr>
              <w:t>Cor</w:t>
            </w:r>
          </w:p>
        </w:tc>
        <w:tc>
          <w:tcPr>
            <w:tcW w:type="dxa" w:w="7704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pPr>
              <w:spacing w:after="20" w:line="240" w:lineRule="auto"/>
            </w:pPr>
            <w:r>
              <w:rPr>
                <w:sz w:val="17"/>
              </w:rPr>
              <w:t>Contraste AA; texto/ícone além da cor para status</w:t>
            </w:r>
          </w:p>
        </w:tc>
      </w:tr>
      <w:tr>
        <w:trPr>
          <w:cantSplit/>
        </w:trPr>
        <w:tc>
          <w:tcPr>
            <w:tcW w:type="dxa" w:w="1944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  <w:shd w:fill="F6F8FA"/>
          </w:tcPr>
          <w:p>
            <w:pPr>
              <w:spacing w:after="20" w:line="240" w:lineRule="auto"/>
            </w:pPr>
            <w:r>
              <w:rPr>
                <w:sz w:val="17"/>
              </w:rPr>
              <w:t>Zoom</w:t>
            </w:r>
          </w:p>
        </w:tc>
        <w:tc>
          <w:tcPr>
            <w:tcW w:type="dxa" w:w="7704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  <w:shd w:fill="F6F8FA"/>
          </w:tcPr>
          <w:p>
            <w:pPr>
              <w:spacing w:after="20" w:line="240" w:lineRule="auto"/>
            </w:pPr>
            <w:r>
              <w:rPr>
                <w:sz w:val="17"/>
              </w:rPr>
              <w:t>Interface utilizável a 200% sem perda de conteúdo ou função</w:t>
            </w:r>
          </w:p>
        </w:tc>
      </w:tr>
      <w:tr>
        <w:trPr>
          <w:cantSplit/>
        </w:trPr>
        <w:tc>
          <w:tcPr>
            <w:tcW w:type="dxa" w:w="1944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pPr>
              <w:spacing w:after="20" w:line="240" w:lineRule="auto"/>
            </w:pPr>
            <w:r>
              <w:rPr>
                <w:sz w:val="17"/>
              </w:rPr>
              <w:t>Toque</w:t>
            </w:r>
          </w:p>
        </w:tc>
        <w:tc>
          <w:tcPr>
            <w:tcW w:type="dxa" w:w="7704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pPr>
              <w:spacing w:after="20" w:line="240" w:lineRule="auto"/>
            </w:pPr>
            <w:r>
              <w:rPr>
                <w:sz w:val="17"/>
              </w:rPr>
              <w:t>Alvos de pelo menos 44 x 44 px em celular</w:t>
            </w:r>
          </w:p>
        </w:tc>
      </w:tr>
      <w:tr>
        <w:trPr>
          <w:cantSplit/>
        </w:trPr>
        <w:tc>
          <w:tcPr>
            <w:tcW w:type="dxa" w:w="1944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  <w:shd w:fill="F6F8FA"/>
          </w:tcPr>
          <w:p>
            <w:pPr>
              <w:spacing w:after="20" w:line="240" w:lineRule="auto"/>
            </w:pPr>
            <w:r>
              <w:rPr>
                <w:sz w:val="17"/>
              </w:rPr>
              <w:t>Movimento</w:t>
            </w:r>
          </w:p>
        </w:tc>
        <w:tc>
          <w:tcPr>
            <w:tcW w:type="dxa" w:w="7704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  <w:shd w:fill="F6F8FA"/>
          </w:tcPr>
          <w:p>
            <w:pPr>
              <w:spacing w:after="20" w:line="240" w:lineRule="auto"/>
            </w:pPr>
            <w:r>
              <w:rPr>
                <w:sz w:val="17"/>
              </w:rPr>
              <w:t>Animações de 150 a 250 ms e respeito a prefers-reduced-motion</w:t>
            </w:r>
          </w:p>
        </w:tc>
      </w:tr>
      <w:tr>
        <w:trPr>
          <w:cantSplit/>
        </w:trPr>
        <w:tc>
          <w:tcPr>
            <w:tcW w:type="dxa" w:w="1944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pPr>
              <w:spacing w:after="20" w:line="240" w:lineRule="auto"/>
            </w:pPr>
            <w:r>
              <w:rPr>
                <w:sz w:val="17"/>
              </w:rPr>
              <w:t>Erros</w:t>
            </w:r>
          </w:p>
        </w:tc>
        <w:tc>
          <w:tcPr>
            <w:tcW w:type="dxa" w:w="7704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pPr>
              <w:spacing w:after="20" w:line="240" w:lineRule="auto"/>
            </w:pPr>
            <w:r>
              <w:rPr>
                <w:sz w:val="17"/>
              </w:rPr>
              <w:t>Resumo no topo e indicação junto ao campo, com foco no primeiro erro</w:t>
            </w:r>
          </w:p>
        </w:tc>
      </w:tr>
    </w:tbl>
    <w:p>
      <w:pPr>
        <w:spacing w:after="0"/>
      </w:pPr>
    </w:p>
    <w:p>
      <w:pPr>
        <w:pStyle w:val="Heading2"/>
      </w:pPr>
      <w:r>
        <w:t>10.1 Pontos de quebra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2160"/>
            <w:shd w:fill="0A2947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Faixa</w:t>
            </w:r>
          </w:p>
        </w:tc>
        <w:tc>
          <w:tcPr>
            <w:tcW w:type="dxa" w:w="7488"/>
            <w:shd w:fill="0A2947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Comportamento</w:t>
            </w:r>
          </w:p>
        </w:tc>
      </w:tr>
      <w:tr>
        <w:trPr>
          <w:cantSplit/>
        </w:trPr>
        <w:tc>
          <w:tcPr>
            <w:tcW w:type="dxa" w:w="2160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pPr>
              <w:spacing w:after="20" w:line="240" w:lineRule="auto"/>
            </w:pPr>
            <w:r>
              <w:rPr>
                <w:sz w:val="17"/>
              </w:rPr>
              <w:t>Até 639 px</w:t>
            </w:r>
          </w:p>
        </w:tc>
        <w:tc>
          <w:tcPr>
            <w:tcW w:type="dxa" w:w="7488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pPr>
              <w:spacing w:after="20" w:line="240" w:lineRule="auto"/>
            </w:pPr>
            <w:r>
              <w:rPr>
                <w:sz w:val="17"/>
              </w:rPr>
              <w:t>Uma coluna; drawer; tabelas viram lista ou rolagem contextual</w:t>
            </w:r>
          </w:p>
        </w:tc>
      </w:tr>
      <w:tr>
        <w:trPr>
          <w:cantSplit/>
        </w:trPr>
        <w:tc>
          <w:tcPr>
            <w:tcW w:type="dxa" w:w="2160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  <w:shd w:fill="F6F8FA"/>
          </w:tcPr>
          <w:p>
            <w:pPr>
              <w:spacing w:after="20" w:line="240" w:lineRule="auto"/>
            </w:pPr>
            <w:r>
              <w:rPr>
                <w:sz w:val="17"/>
              </w:rPr>
              <w:t>640 a 1023 px</w:t>
            </w:r>
          </w:p>
        </w:tc>
        <w:tc>
          <w:tcPr>
            <w:tcW w:type="dxa" w:w="7488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  <w:shd w:fill="F6F8FA"/>
          </w:tcPr>
          <w:p>
            <w:pPr>
              <w:spacing w:after="20" w:line="240" w:lineRule="auto"/>
            </w:pPr>
            <w:r>
              <w:rPr>
                <w:sz w:val="17"/>
              </w:rPr>
              <w:t>Duas colunas quando possível; sidebar recolhida</w:t>
            </w:r>
          </w:p>
        </w:tc>
      </w:tr>
      <w:tr>
        <w:trPr>
          <w:cantSplit/>
        </w:trPr>
        <w:tc>
          <w:tcPr>
            <w:tcW w:type="dxa" w:w="2160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pPr>
              <w:spacing w:after="20" w:line="240" w:lineRule="auto"/>
            </w:pPr>
            <w:r>
              <w:rPr>
                <w:sz w:val="17"/>
              </w:rPr>
              <w:t>1024 a 1439 px</w:t>
            </w:r>
          </w:p>
        </w:tc>
        <w:tc>
          <w:tcPr>
            <w:tcW w:type="dxa" w:w="7488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pPr>
              <w:spacing w:after="20" w:line="240" w:lineRule="auto"/>
            </w:pPr>
            <w:r>
              <w:rPr>
                <w:sz w:val="17"/>
              </w:rPr>
              <w:t>Layout completo; grid de 12 colunas</w:t>
            </w:r>
          </w:p>
        </w:tc>
      </w:tr>
      <w:tr>
        <w:trPr>
          <w:cantSplit/>
        </w:trPr>
        <w:tc>
          <w:tcPr>
            <w:tcW w:type="dxa" w:w="2160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  <w:shd w:fill="F6F8FA"/>
          </w:tcPr>
          <w:p>
            <w:pPr>
              <w:spacing w:after="20" w:line="240" w:lineRule="auto"/>
            </w:pPr>
            <w:r>
              <w:rPr>
                <w:sz w:val="17"/>
              </w:rPr>
              <w:t>1440 px ou mais</w:t>
            </w:r>
          </w:p>
        </w:tc>
        <w:tc>
          <w:tcPr>
            <w:tcW w:type="dxa" w:w="7488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  <w:shd w:fill="F6F8FA"/>
          </w:tcPr>
          <w:p>
            <w:pPr>
              <w:spacing w:after="20" w:line="240" w:lineRule="auto"/>
            </w:pPr>
            <w:r>
              <w:rPr>
                <w:sz w:val="17"/>
              </w:rPr>
              <w:t>Conteúdo centralizado; não esticar linhas indefinidamente</w:t>
            </w:r>
          </w:p>
        </w:tc>
      </w:tr>
    </w:tbl>
    <w:p>
      <w:pPr>
        <w:spacing w:after="0"/>
      </w:pPr>
    </w:p>
    <w:p>
      <w:pPr>
        <w:pStyle w:val="Heading1"/>
      </w:pPr>
      <w:r>
        <w:t>11. Documentos e relatórios</w:t>
      </w:r>
    </w:p>
    <w:p>
      <w:pPr>
        <w:spacing w:after="40"/>
        <w:ind w:left="331" w:hanging="245"/>
      </w:pPr>
      <w:r>
        <w:t xml:space="preserve">•  </w:t>
      </w:r>
      <w:r>
        <w:t>Capa com brasão, nome do relatório, campanha, período e data de emissão.</w:t>
      </w:r>
    </w:p>
    <w:p>
      <w:pPr>
        <w:spacing w:after="40"/>
        <w:ind w:left="331" w:hanging="245"/>
      </w:pPr>
      <w:r>
        <w:t xml:space="preserve">•  </w:t>
      </w:r>
      <w:r>
        <w:t>Cabeçalhos pretos; azul-marinho em tabelas; dourado apenas como detalhe.</w:t>
      </w:r>
    </w:p>
    <w:p>
      <w:pPr>
        <w:spacing w:after="40"/>
        <w:ind w:left="331" w:hanging="245"/>
      </w:pPr>
      <w:r>
        <w:t xml:space="preserve">•  </w:t>
      </w:r>
      <w:r>
        <w:t>Rodapé com Agilize Tecnologia Ltda., @agilizetecnologia, data e identificação do relatório.</w:t>
      </w:r>
    </w:p>
    <w:p>
      <w:pPr>
        <w:spacing w:after="40"/>
        <w:ind w:left="331" w:hanging="245"/>
      </w:pPr>
      <w:r>
        <w:t xml:space="preserve">•  </w:t>
      </w:r>
      <w:r>
        <w:t>CPF, conta e dados pessoais mascarados conforme perfil e finalidade.</w:t>
      </w:r>
    </w:p>
    <w:p>
      <w:pPr>
        <w:spacing w:after="40"/>
        <w:ind w:left="331" w:hanging="245"/>
      </w:pPr>
      <w:r>
        <w:t xml:space="preserve">•  </w:t>
      </w:r>
      <w:r>
        <w:t>PDF e Excel devem registrar responsável, filtros aplicados e horário de geração.</w:t>
      </w:r>
    </w:p>
    <w:p>
      <w:pPr>
        <w:pStyle w:val="Heading2"/>
      </w:pPr>
      <w:r>
        <w:t>11.1 Assinatura institucional</w:t>
      </w:r>
    </w:p>
    <w:p>
      <w:r>
        <w:t>Agilize Tecnologia Ltda.</w:t>
        <w:br/>
        <w:t>Desenvolvimento de Sistemas</w:t>
        <w:br/>
        <w:t>@agilizetecnologia</w:t>
      </w:r>
    </w:p>
    <w:p>
      <w:pPr>
        <w:pStyle w:val="Heading2"/>
      </w:pPr>
      <w:r>
        <w:t>11.2 Nome do produto</w:t>
      </w:r>
    </w:p>
    <w:p>
      <w:r>
        <w:t>Na interface, usar “RH Eleitoral”. Em títulos legais ou institucionais, usar “Sistema RH Eleitoral”. Não abreviar para RHE em comunicação com usuários.</w:t>
      </w:r>
    </w:p>
    <w:p>
      <w:pPr>
        <w:pStyle w:val="Heading1"/>
      </w:pPr>
      <w:r>
        <w:t>12. Tokens para implementação</w:t>
      </w:r>
    </w:p>
    <w:p>
      <w:r>
        <w:t>Os tokens abaixo são a fonte técnica de verdade. Devem ser centralizados no tema do Tailwind/CSS e não repetidos como valores soltos nos componentes.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3168"/>
            <w:shd w:fill="0A2947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Token</w:t>
            </w:r>
          </w:p>
        </w:tc>
        <w:tc>
          <w:tcPr>
            <w:tcW w:type="dxa" w:w="6480"/>
            <w:shd w:fill="0A2947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rPr>
          <w:cantSplit/>
        </w:trPr>
        <w:tc>
          <w:tcPr>
            <w:tcW w:type="dxa" w:w="3168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pPr>
              <w:spacing w:after="20" w:line="240" w:lineRule="auto"/>
            </w:pPr>
            <w:r>
              <w:rPr>
                <w:sz w:val="17"/>
              </w:rPr>
              <w:t>--brand-navy</w:t>
            </w:r>
          </w:p>
        </w:tc>
        <w:tc>
          <w:tcPr>
            <w:tcW w:type="dxa" w:w="6480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pPr>
              <w:spacing w:after="20" w:line="240" w:lineRule="auto"/>
            </w:pPr>
            <w:r>
              <w:rPr>
                <w:sz w:val="17"/>
              </w:rPr>
              <w:t>#0A2947</w:t>
            </w:r>
          </w:p>
        </w:tc>
      </w:tr>
      <w:tr>
        <w:trPr>
          <w:cantSplit/>
        </w:trPr>
        <w:tc>
          <w:tcPr>
            <w:tcW w:type="dxa" w:w="3168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  <w:shd w:fill="F6F8FA"/>
          </w:tcPr>
          <w:p>
            <w:pPr>
              <w:spacing w:after="20" w:line="240" w:lineRule="auto"/>
            </w:pPr>
            <w:r>
              <w:rPr>
                <w:sz w:val="17"/>
              </w:rPr>
              <w:t>--brand-gold</w:t>
            </w:r>
          </w:p>
        </w:tc>
        <w:tc>
          <w:tcPr>
            <w:tcW w:type="dxa" w:w="6480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  <w:shd w:fill="F6F8FA"/>
          </w:tcPr>
          <w:p>
            <w:pPr>
              <w:spacing w:after="20" w:line="240" w:lineRule="auto"/>
            </w:pPr>
            <w:r>
              <w:rPr>
                <w:sz w:val="17"/>
              </w:rPr>
              <w:t>#B7943E</w:t>
            </w:r>
          </w:p>
        </w:tc>
      </w:tr>
      <w:tr>
        <w:trPr>
          <w:cantSplit/>
        </w:trPr>
        <w:tc>
          <w:tcPr>
            <w:tcW w:type="dxa" w:w="3168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pPr>
              <w:spacing w:after="20" w:line="240" w:lineRule="auto"/>
            </w:pPr>
            <w:r>
              <w:rPr>
                <w:sz w:val="17"/>
              </w:rPr>
              <w:t>--brand-graphite</w:t>
            </w:r>
          </w:p>
        </w:tc>
        <w:tc>
          <w:tcPr>
            <w:tcW w:type="dxa" w:w="6480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pPr>
              <w:spacing w:after="20" w:line="240" w:lineRule="auto"/>
            </w:pPr>
            <w:r>
              <w:rPr>
                <w:sz w:val="17"/>
              </w:rPr>
              <w:t>#4B5158</w:t>
            </w:r>
          </w:p>
        </w:tc>
      </w:tr>
      <w:tr>
        <w:trPr>
          <w:cantSplit/>
        </w:trPr>
        <w:tc>
          <w:tcPr>
            <w:tcW w:type="dxa" w:w="3168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  <w:shd w:fill="F6F8FA"/>
          </w:tcPr>
          <w:p>
            <w:pPr>
              <w:spacing w:after="20" w:line="240" w:lineRule="auto"/>
            </w:pPr>
            <w:r>
              <w:rPr>
                <w:sz w:val="17"/>
              </w:rPr>
              <w:t>--surface-page</w:t>
            </w:r>
          </w:p>
        </w:tc>
        <w:tc>
          <w:tcPr>
            <w:tcW w:type="dxa" w:w="6480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  <w:shd w:fill="F6F8FA"/>
          </w:tcPr>
          <w:p>
            <w:pPr>
              <w:spacing w:after="20" w:line="240" w:lineRule="auto"/>
            </w:pPr>
            <w:r>
              <w:rPr>
                <w:sz w:val="17"/>
              </w:rPr>
              <w:t>#F7F6F1</w:t>
            </w:r>
          </w:p>
        </w:tc>
      </w:tr>
      <w:tr>
        <w:trPr>
          <w:cantSplit/>
        </w:trPr>
        <w:tc>
          <w:tcPr>
            <w:tcW w:type="dxa" w:w="3168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pPr>
              <w:spacing w:after="20" w:line="240" w:lineRule="auto"/>
            </w:pPr>
            <w:r>
              <w:rPr>
                <w:sz w:val="17"/>
              </w:rPr>
              <w:t>--surface-card</w:t>
            </w:r>
          </w:p>
        </w:tc>
        <w:tc>
          <w:tcPr>
            <w:tcW w:type="dxa" w:w="6480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pPr>
              <w:spacing w:after="20" w:line="240" w:lineRule="auto"/>
            </w:pPr>
            <w:r>
              <w:rPr>
                <w:sz w:val="17"/>
              </w:rPr>
              <w:t>#FFFFFF</w:t>
            </w:r>
          </w:p>
        </w:tc>
      </w:tr>
      <w:tr>
        <w:trPr>
          <w:cantSplit/>
        </w:trPr>
        <w:tc>
          <w:tcPr>
            <w:tcW w:type="dxa" w:w="3168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  <w:shd w:fill="F6F8FA"/>
          </w:tcPr>
          <w:p>
            <w:pPr>
              <w:spacing w:after="20" w:line="240" w:lineRule="auto"/>
            </w:pPr>
            <w:r>
              <w:rPr>
                <w:sz w:val="17"/>
              </w:rPr>
              <w:t>--border-default</w:t>
            </w:r>
          </w:p>
        </w:tc>
        <w:tc>
          <w:tcPr>
            <w:tcW w:type="dxa" w:w="6480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  <w:shd w:fill="F6F8FA"/>
          </w:tcPr>
          <w:p>
            <w:pPr>
              <w:spacing w:after="20" w:line="240" w:lineRule="auto"/>
            </w:pPr>
            <w:r>
              <w:rPr>
                <w:sz w:val="17"/>
              </w:rPr>
              <w:t>#D8DDE3</w:t>
            </w:r>
          </w:p>
        </w:tc>
      </w:tr>
      <w:tr>
        <w:trPr>
          <w:cantSplit/>
        </w:trPr>
        <w:tc>
          <w:tcPr>
            <w:tcW w:type="dxa" w:w="3168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pPr>
              <w:spacing w:after="20" w:line="240" w:lineRule="auto"/>
            </w:pPr>
            <w:r>
              <w:rPr>
                <w:sz w:val="17"/>
              </w:rPr>
              <w:t>--state-info</w:t>
            </w:r>
          </w:p>
        </w:tc>
        <w:tc>
          <w:tcPr>
            <w:tcW w:type="dxa" w:w="6480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pPr>
              <w:spacing w:after="20" w:line="240" w:lineRule="auto"/>
            </w:pPr>
            <w:r>
              <w:rPr>
                <w:sz w:val="17"/>
              </w:rPr>
              <w:t>#2E6DA4</w:t>
            </w:r>
          </w:p>
        </w:tc>
      </w:tr>
      <w:tr>
        <w:trPr>
          <w:cantSplit/>
        </w:trPr>
        <w:tc>
          <w:tcPr>
            <w:tcW w:type="dxa" w:w="3168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  <w:shd w:fill="F6F8FA"/>
          </w:tcPr>
          <w:p>
            <w:pPr>
              <w:spacing w:after="20" w:line="240" w:lineRule="auto"/>
            </w:pPr>
            <w:r>
              <w:rPr>
                <w:sz w:val="17"/>
              </w:rPr>
              <w:t>--state-success</w:t>
            </w:r>
          </w:p>
        </w:tc>
        <w:tc>
          <w:tcPr>
            <w:tcW w:type="dxa" w:w="6480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  <w:shd w:fill="F6F8FA"/>
          </w:tcPr>
          <w:p>
            <w:pPr>
              <w:spacing w:after="20" w:line="240" w:lineRule="auto"/>
            </w:pPr>
            <w:r>
              <w:rPr>
                <w:sz w:val="17"/>
              </w:rPr>
              <w:t>#19795A</w:t>
            </w:r>
          </w:p>
        </w:tc>
      </w:tr>
      <w:tr>
        <w:trPr>
          <w:cantSplit/>
        </w:trPr>
        <w:tc>
          <w:tcPr>
            <w:tcW w:type="dxa" w:w="3168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pPr>
              <w:spacing w:after="20" w:line="240" w:lineRule="auto"/>
            </w:pPr>
            <w:r>
              <w:rPr>
                <w:sz w:val="17"/>
              </w:rPr>
              <w:t>--state-warning</w:t>
            </w:r>
          </w:p>
        </w:tc>
        <w:tc>
          <w:tcPr>
            <w:tcW w:type="dxa" w:w="6480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pPr>
              <w:spacing w:after="20" w:line="240" w:lineRule="auto"/>
            </w:pPr>
            <w:r>
              <w:rPr>
                <w:sz w:val="17"/>
              </w:rPr>
              <w:t>#B56816</w:t>
            </w:r>
          </w:p>
        </w:tc>
      </w:tr>
      <w:tr>
        <w:trPr>
          <w:cantSplit/>
        </w:trPr>
        <w:tc>
          <w:tcPr>
            <w:tcW w:type="dxa" w:w="3168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  <w:shd w:fill="F6F8FA"/>
          </w:tcPr>
          <w:p>
            <w:pPr>
              <w:spacing w:after="20" w:line="240" w:lineRule="auto"/>
            </w:pPr>
            <w:r>
              <w:rPr>
                <w:sz w:val="17"/>
              </w:rPr>
              <w:t>--state-danger</w:t>
            </w:r>
          </w:p>
        </w:tc>
        <w:tc>
          <w:tcPr>
            <w:tcW w:type="dxa" w:w="6480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  <w:shd w:fill="F6F8FA"/>
          </w:tcPr>
          <w:p>
            <w:pPr>
              <w:spacing w:after="20" w:line="240" w:lineRule="auto"/>
            </w:pPr>
            <w:r>
              <w:rPr>
                <w:sz w:val="17"/>
              </w:rPr>
              <w:t>#B93B45</w:t>
            </w:r>
          </w:p>
        </w:tc>
      </w:tr>
      <w:tr>
        <w:trPr>
          <w:cantSplit/>
        </w:trPr>
        <w:tc>
          <w:tcPr>
            <w:tcW w:type="dxa" w:w="3168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pPr>
              <w:spacing w:after="20" w:line="240" w:lineRule="auto"/>
            </w:pPr>
            <w:r>
              <w:rPr>
                <w:sz w:val="17"/>
              </w:rPr>
              <w:t>--radius-field</w:t>
            </w:r>
          </w:p>
        </w:tc>
        <w:tc>
          <w:tcPr>
            <w:tcW w:type="dxa" w:w="6480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pPr>
              <w:spacing w:after="20" w:line="240" w:lineRule="auto"/>
            </w:pPr>
            <w:r>
              <w:rPr>
                <w:sz w:val="17"/>
              </w:rPr>
              <w:t>8px</w:t>
            </w:r>
          </w:p>
        </w:tc>
      </w:tr>
      <w:tr>
        <w:trPr>
          <w:cantSplit/>
        </w:trPr>
        <w:tc>
          <w:tcPr>
            <w:tcW w:type="dxa" w:w="3168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  <w:shd w:fill="F6F8FA"/>
          </w:tcPr>
          <w:p>
            <w:pPr>
              <w:spacing w:after="20" w:line="240" w:lineRule="auto"/>
            </w:pPr>
            <w:r>
              <w:rPr>
                <w:sz w:val="17"/>
              </w:rPr>
              <w:t>--radius-card</w:t>
            </w:r>
          </w:p>
        </w:tc>
        <w:tc>
          <w:tcPr>
            <w:tcW w:type="dxa" w:w="6480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  <w:shd w:fill="F6F8FA"/>
          </w:tcPr>
          <w:p>
            <w:pPr>
              <w:spacing w:after="20" w:line="240" w:lineRule="auto"/>
            </w:pPr>
            <w:r>
              <w:rPr>
                <w:sz w:val="17"/>
              </w:rPr>
              <w:t>12px</w:t>
            </w:r>
          </w:p>
        </w:tc>
      </w:tr>
      <w:tr>
        <w:trPr>
          <w:cantSplit/>
        </w:trPr>
        <w:tc>
          <w:tcPr>
            <w:tcW w:type="dxa" w:w="3168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pPr>
              <w:spacing w:after="20" w:line="240" w:lineRule="auto"/>
            </w:pPr>
            <w:r>
              <w:rPr>
                <w:sz w:val="17"/>
              </w:rPr>
              <w:t>--shadow-card</w:t>
            </w:r>
          </w:p>
        </w:tc>
        <w:tc>
          <w:tcPr>
            <w:tcW w:type="dxa" w:w="6480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pPr>
              <w:spacing w:after="20" w:line="240" w:lineRule="auto"/>
            </w:pPr>
            <w:r>
              <w:rPr>
                <w:sz w:val="17"/>
              </w:rPr>
              <w:t>0 2px 10px rgba(10,41,71,.06)</w:t>
            </w:r>
          </w:p>
        </w:tc>
      </w:tr>
      <w:tr>
        <w:trPr>
          <w:cantSplit/>
        </w:trPr>
        <w:tc>
          <w:tcPr>
            <w:tcW w:type="dxa" w:w="3168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  <w:shd w:fill="F6F8FA"/>
          </w:tcPr>
          <w:p>
            <w:pPr>
              <w:spacing w:after="20" w:line="240" w:lineRule="auto"/>
            </w:pPr>
            <w:r>
              <w:rPr>
                <w:sz w:val="17"/>
              </w:rPr>
              <w:t>--focus-ring</w:t>
            </w:r>
          </w:p>
        </w:tc>
        <w:tc>
          <w:tcPr>
            <w:tcW w:type="dxa" w:w="6480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  <w:shd w:fill="F6F8FA"/>
          </w:tcPr>
          <w:p>
            <w:pPr>
              <w:spacing w:after="20" w:line="240" w:lineRule="auto"/>
            </w:pPr>
            <w:r>
              <w:rPr>
                <w:sz w:val="17"/>
              </w:rPr>
              <w:t>0 0 0 3px rgba(46,109,164,.28)</w:t>
            </w:r>
          </w:p>
        </w:tc>
      </w:tr>
    </w:tbl>
    <w:p>
      <w:pPr>
        <w:spacing w:after="0"/>
      </w:pPr>
    </w:p>
    <w:p>
      <w:pPr>
        <w:pStyle w:val="Heading2"/>
      </w:pPr>
      <w:r>
        <w:t>12.1 Regras de desenvolvimento</w:t>
      </w:r>
    </w:p>
    <w:p>
      <w:pPr>
        <w:spacing w:after="40"/>
        <w:ind w:left="331" w:hanging="245"/>
      </w:pPr>
      <w:r>
        <w:t xml:space="preserve">•  </w:t>
      </w:r>
      <w:r>
        <w:t>Criar componentes reutilizáveis para Button, Input, Select, Badge, Table, Card, Modal, Upload e EmptyState.</w:t>
      </w:r>
    </w:p>
    <w:p>
      <w:pPr>
        <w:spacing w:after="40"/>
        <w:ind w:left="331" w:hanging="245"/>
      </w:pPr>
      <w:r>
        <w:t xml:space="preserve">•  </w:t>
      </w:r>
      <w:r>
        <w:t>Não codificar status por texto espalhado; mapear estado para rótulo, cor e ícone em arquivo central.</w:t>
      </w:r>
    </w:p>
    <w:p>
      <w:pPr>
        <w:spacing w:after="40"/>
        <w:ind w:left="331" w:hanging="245"/>
      </w:pPr>
      <w:r>
        <w:t xml:space="preserve">•  </w:t>
      </w:r>
      <w:r>
        <w:t>Implementar modo escuro somente depois da versão clara estar homologada.</w:t>
      </w:r>
    </w:p>
    <w:p>
      <w:pPr>
        <w:spacing w:after="40"/>
        <w:ind w:left="331" w:hanging="245"/>
      </w:pPr>
      <w:r>
        <w:t xml:space="preserve">•  </w:t>
      </w:r>
      <w:r>
        <w:t>Usar skeletons em consultas e mensagens de vazio que indiquem o próximo passo.</w:t>
      </w:r>
    </w:p>
    <w:p>
      <w:pPr>
        <w:spacing w:after="40"/>
        <w:ind w:left="331" w:hanging="245"/>
      </w:pPr>
      <w:r>
        <w:t xml:space="preserve">•  </w:t>
      </w:r>
      <w:r>
        <w:t>Registrar testes visuais das telas principais em desktop e mobile.</w:t>
      </w:r>
    </w:p>
    <w:p>
      <w:pPr>
        <w:pStyle w:val="Heading1"/>
      </w:pPr>
      <w:r>
        <w:t>13. Checklist de aprovação visual</w:t>
      </w:r>
    </w:p>
    <w:p>
      <w:pPr>
        <w:spacing w:after="40"/>
        <w:ind w:left="331" w:hanging="245"/>
      </w:pPr>
      <w:r>
        <w:t xml:space="preserve">•  </w:t>
      </w:r>
      <w:r>
        <w:t>Marca aplicada na versão correta e com área de proteção.</w:t>
      </w:r>
    </w:p>
    <w:p>
      <w:pPr>
        <w:spacing w:after="40"/>
        <w:ind w:left="331" w:hanging="245"/>
      </w:pPr>
      <w:r>
        <w:t xml:space="preserve">•  </w:t>
      </w:r>
      <w:r>
        <w:t>Somente cores previstas neste manual.</w:t>
      </w:r>
    </w:p>
    <w:p>
      <w:pPr>
        <w:spacing w:after="40"/>
        <w:ind w:left="331" w:hanging="245"/>
      </w:pPr>
      <w:r>
        <w:t xml:space="preserve">•  </w:t>
      </w:r>
      <w:r>
        <w:t>Títulos e corpo seguem a hierarquia tipográfica.</w:t>
      </w:r>
    </w:p>
    <w:p>
      <w:pPr>
        <w:spacing w:after="40"/>
        <w:ind w:left="331" w:hanging="245"/>
      </w:pPr>
      <w:r>
        <w:t xml:space="preserve">•  </w:t>
      </w:r>
      <w:r>
        <w:t>A ação principal está evidente e não há competição entre botões.</w:t>
      </w:r>
    </w:p>
    <w:p>
      <w:pPr>
        <w:spacing w:after="40"/>
        <w:ind w:left="331" w:hanging="245"/>
      </w:pPr>
      <w:r>
        <w:t xml:space="preserve">•  </w:t>
      </w:r>
      <w:r>
        <w:t>Status tem rótulo, ícone e cor acessível.</w:t>
      </w:r>
    </w:p>
    <w:p>
      <w:pPr>
        <w:spacing w:after="40"/>
        <w:ind w:left="331" w:hanging="245"/>
      </w:pPr>
      <w:r>
        <w:t xml:space="preserve">•  </w:t>
      </w:r>
      <w:r>
        <w:t>Campos possuem rótulos, ajuda, erro e foco visível.</w:t>
      </w:r>
    </w:p>
    <w:p>
      <w:pPr>
        <w:spacing w:after="40"/>
        <w:ind w:left="331" w:hanging="245"/>
      </w:pPr>
      <w:r>
        <w:t xml:space="preserve">•  </w:t>
      </w:r>
      <w:r>
        <w:t>Tabelas mantêm alinhamento numérico, filtros e leitura em telas menores.</w:t>
      </w:r>
    </w:p>
    <w:p>
      <w:pPr>
        <w:spacing w:after="40"/>
        <w:ind w:left="331" w:hanging="245"/>
      </w:pPr>
      <w:r>
        <w:t xml:space="preserve">•  </w:t>
      </w:r>
      <w:r>
        <w:t>Dados pessoais aparecem mascarados conforme o contexto.</w:t>
      </w:r>
    </w:p>
    <w:p>
      <w:pPr>
        <w:spacing w:after="40"/>
        <w:ind w:left="331" w:hanging="245"/>
      </w:pPr>
      <w:r>
        <w:t xml:space="preserve">•  </w:t>
      </w:r>
      <w:r>
        <w:t>A interface funciona por teclado e com zoom de 200%.</w:t>
      </w:r>
    </w:p>
    <w:p>
      <w:pPr>
        <w:spacing w:after="40"/>
        <w:ind w:left="331" w:hanging="245"/>
      </w:pPr>
      <w:r>
        <w:t xml:space="preserve">•  </w:t>
      </w:r>
      <w:r>
        <w:t>Login, dashboard, pessoa, despesas, relatórios e Central de IA foram revisados.</w:t>
      </w:r>
    </w:p>
    <w:p>
      <w:pPr>
        <w:pStyle w:val="Heading1"/>
      </w:pPr>
      <w:r>
        <w:t>14. Entregáveis visuais necessários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328"/>
            <w:shd w:fill="0A2947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Arquivo</w:t>
            </w:r>
          </w:p>
        </w:tc>
        <w:tc>
          <w:tcPr>
            <w:tcW w:type="dxa" w:w="4320"/>
            <w:shd w:fill="0A2947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Formato</w:t>
            </w:r>
          </w:p>
        </w:tc>
      </w:tr>
      <w:tr>
        <w:trPr>
          <w:cantSplit/>
        </w:trPr>
        <w:tc>
          <w:tcPr>
            <w:tcW w:type="dxa" w:w="5328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pPr>
              <w:spacing w:after="20" w:line="240" w:lineRule="auto"/>
            </w:pPr>
            <w:r>
              <w:rPr>
                <w:sz w:val="17"/>
              </w:rPr>
              <w:t>Brasão principal vetorial</w:t>
            </w:r>
          </w:p>
        </w:tc>
        <w:tc>
          <w:tcPr>
            <w:tcW w:type="dxa" w:w="4320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pPr>
              <w:spacing w:after="20" w:line="240" w:lineRule="auto"/>
            </w:pPr>
            <w:r>
              <w:rPr>
                <w:sz w:val="17"/>
              </w:rPr>
              <w:t>SVG</w:t>
            </w:r>
          </w:p>
        </w:tc>
      </w:tr>
      <w:tr>
        <w:trPr>
          <w:cantSplit/>
        </w:trPr>
        <w:tc>
          <w:tcPr>
            <w:tcW w:type="dxa" w:w="5328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  <w:shd w:fill="F6F8FA"/>
          </w:tcPr>
          <w:p>
            <w:pPr>
              <w:spacing w:after="20" w:line="240" w:lineRule="auto"/>
            </w:pPr>
            <w:r>
              <w:rPr>
                <w:sz w:val="17"/>
              </w:rPr>
              <w:t>Marca horizontal e vertical</w:t>
            </w:r>
          </w:p>
        </w:tc>
        <w:tc>
          <w:tcPr>
            <w:tcW w:type="dxa" w:w="4320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  <w:shd w:fill="F6F8FA"/>
          </w:tcPr>
          <w:p>
            <w:pPr>
              <w:spacing w:after="20" w:line="240" w:lineRule="auto"/>
            </w:pPr>
            <w:r>
              <w:rPr>
                <w:sz w:val="17"/>
              </w:rPr>
              <w:t>SVG e PNG transparente</w:t>
            </w:r>
          </w:p>
        </w:tc>
      </w:tr>
      <w:tr>
        <w:trPr>
          <w:cantSplit/>
        </w:trPr>
        <w:tc>
          <w:tcPr>
            <w:tcW w:type="dxa" w:w="5328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pPr>
              <w:spacing w:after="20" w:line="240" w:lineRule="auto"/>
            </w:pPr>
            <w:r>
              <w:rPr>
                <w:sz w:val="17"/>
              </w:rPr>
              <w:t>Símbolo simplificado</w:t>
            </w:r>
          </w:p>
        </w:tc>
        <w:tc>
          <w:tcPr>
            <w:tcW w:type="dxa" w:w="4320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pPr>
              <w:spacing w:after="20" w:line="240" w:lineRule="auto"/>
            </w:pPr>
            <w:r>
              <w:rPr>
                <w:sz w:val="17"/>
              </w:rPr>
              <w:t>SVG, PNG 512 px e favicon ICO/PNG</w:t>
            </w:r>
          </w:p>
        </w:tc>
      </w:tr>
      <w:tr>
        <w:trPr>
          <w:cantSplit/>
        </w:trPr>
        <w:tc>
          <w:tcPr>
            <w:tcW w:type="dxa" w:w="5328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  <w:shd w:fill="F6F8FA"/>
          </w:tcPr>
          <w:p>
            <w:pPr>
              <w:spacing w:after="20" w:line="240" w:lineRule="auto"/>
            </w:pPr>
            <w:r>
              <w:rPr>
                <w:sz w:val="17"/>
              </w:rPr>
              <w:t>Versões monocromática e negativa</w:t>
            </w:r>
          </w:p>
        </w:tc>
        <w:tc>
          <w:tcPr>
            <w:tcW w:type="dxa" w:w="4320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  <w:shd w:fill="F6F8FA"/>
          </w:tcPr>
          <w:p>
            <w:pPr>
              <w:spacing w:after="20" w:line="240" w:lineRule="auto"/>
            </w:pPr>
            <w:r>
              <w:rPr>
                <w:sz w:val="17"/>
              </w:rPr>
              <w:t>SVG</w:t>
            </w:r>
          </w:p>
        </w:tc>
      </w:tr>
      <w:tr>
        <w:trPr>
          <w:cantSplit/>
        </w:trPr>
        <w:tc>
          <w:tcPr>
            <w:tcW w:type="dxa" w:w="5328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pPr>
              <w:spacing w:after="20" w:line="240" w:lineRule="auto"/>
            </w:pPr>
            <w:r>
              <w:rPr>
                <w:sz w:val="17"/>
              </w:rPr>
              <w:t>Tokens de design</w:t>
            </w:r>
          </w:p>
        </w:tc>
        <w:tc>
          <w:tcPr>
            <w:tcW w:type="dxa" w:w="4320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pPr>
              <w:spacing w:after="20" w:line="240" w:lineRule="auto"/>
            </w:pPr>
            <w:r>
              <w:rPr>
                <w:sz w:val="17"/>
              </w:rPr>
              <w:t>CSS e configuração Tailwind</w:t>
            </w:r>
          </w:p>
        </w:tc>
      </w:tr>
      <w:tr>
        <w:trPr>
          <w:cantSplit/>
        </w:trPr>
        <w:tc>
          <w:tcPr>
            <w:tcW w:type="dxa" w:w="5328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  <w:shd w:fill="F6F8FA"/>
          </w:tcPr>
          <w:p>
            <w:pPr>
              <w:spacing w:after="20" w:line="240" w:lineRule="auto"/>
            </w:pPr>
            <w:r>
              <w:rPr>
                <w:sz w:val="17"/>
              </w:rPr>
              <w:t>Biblioteca de componentes</w:t>
            </w:r>
          </w:p>
        </w:tc>
        <w:tc>
          <w:tcPr>
            <w:tcW w:type="dxa" w:w="4320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  <w:shd w:fill="F6F8FA"/>
          </w:tcPr>
          <w:p>
            <w:pPr>
              <w:spacing w:after="20" w:line="240" w:lineRule="auto"/>
            </w:pPr>
            <w:r>
              <w:rPr>
                <w:sz w:val="17"/>
              </w:rPr>
              <w:t>Storybook ou página interna de design system</w:t>
            </w:r>
          </w:p>
        </w:tc>
      </w:tr>
      <w:tr>
        <w:trPr>
          <w:cantSplit/>
        </w:trPr>
        <w:tc>
          <w:tcPr>
            <w:tcW w:type="dxa" w:w="5328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pPr>
              <w:spacing w:after="20" w:line="240" w:lineRule="auto"/>
            </w:pPr>
            <w:r>
              <w:rPr>
                <w:sz w:val="17"/>
              </w:rPr>
              <w:t>Modelos de relatório</w:t>
            </w:r>
          </w:p>
        </w:tc>
        <w:tc>
          <w:tcPr>
            <w:tcW w:type="dxa" w:w="4320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</w:tcPr>
          <w:p>
            <w:pPr>
              <w:spacing w:after="20" w:line="240" w:lineRule="auto"/>
            </w:pPr>
            <w:r>
              <w:rPr>
                <w:sz w:val="17"/>
              </w:rPr>
              <w:t>DOCX/PDF e planilha</w:t>
            </w:r>
          </w:p>
        </w:tc>
      </w:tr>
      <w:tr>
        <w:trPr>
          <w:cantSplit/>
        </w:trPr>
        <w:tc>
          <w:tcPr>
            <w:tcW w:type="dxa" w:w="5328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  <w:shd w:fill="F6F8FA"/>
          </w:tcPr>
          <w:p>
            <w:pPr>
              <w:spacing w:after="20" w:line="240" w:lineRule="auto"/>
            </w:pPr>
            <w:r>
              <w:rPr>
                <w:sz w:val="17"/>
              </w:rPr>
              <w:t>Telas de referência</w:t>
            </w:r>
          </w:p>
        </w:tc>
        <w:tc>
          <w:tcPr>
            <w:tcW w:type="dxa" w:w="4320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5" w:color="D8DDE3"/>
              <w:left w:val="single" w:sz="5" w:color="D8DDE3"/>
              <w:bottom w:val="single" w:sz="5" w:color="D8DDE3"/>
              <w:right w:val="single" w:sz="5" w:color="D8DDE3"/>
              <w:insideH w:val="single" w:sz="5" w:color="D8DDE3"/>
              <w:insideV w:val="single" w:sz="5" w:color="D8DDE3"/>
            </w:tcBorders>
            <w:vAlign w:val="center"/>
            <w:shd w:fill="F6F8FA"/>
          </w:tcPr>
          <w:p>
            <w:pPr>
              <w:spacing w:after="20" w:line="240" w:lineRule="auto"/>
            </w:pPr>
            <w:r>
              <w:rPr>
                <w:sz w:val="17"/>
              </w:rPr>
              <w:t>Desktop e mobile</w:t>
            </w:r>
          </w:p>
        </w:tc>
      </w:tr>
    </w:tbl>
    <w:p>
      <w:pPr>
        <w:spacing w:after="0"/>
      </w:pPr>
    </w:p>
    <w:p>
      <w:r>
        <w:t>A arte conceitual aprovada deve ser redesenhada em vetor antes do uso definitivo. Isso garante simetria, legibilidade em tamanhos pequenos e reprodução consistente em tela e impressão.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965" w:right="1080" w:bottom="965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B5158"/>
        <w:sz w:val="15"/>
      </w:rPr>
      <w:t>Desenvolvimento de Sistemas  |  @agilizetecnologia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4B5158"/>
        <w:sz w:val="15"/>
      </w:rPr>
      <w:t>Agilize Tecnologia Ltda.  |  Manual de identidade do RH Eleitoral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identidade visual do RH Eleitoral</dc:title>
  <dc:subject>Marca, cores, tipografia, componentes e diretrizes de interface</dc:subject>
  <dc:creator>Agilize Tecnologia Ltda.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