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rPr>
          <w:color w:val="2563EB"/>
        </w:rPr>
        <w:t xml:space="preserve">Value Lifecycle Platform — Solution Design Document</w:t>
      </w:r>
    </w:p>
    <w:p>
      <w:pPr>
        <w:spacing w:after="120" w:line="264"/>
      </w:pPr>
      <w:r>
        <w:rPr>
          <w:i/>
          <w:iCs/>
          <w:color w:val="64748B"/>
        </w:rPr>
        <w:t xml:space="preserve">One workspace for the whole value lifecycle — a value engineer who finds and quantifies value, a realization manager who implements and proves it, and a customer success manager who retains and grows the relationship. This document explains the design and shows the workflow and architecture as diagrams.</w:t>
      </w:r>
    </w:p>
    <w:p>
      <w:pPr>
        <w:pBdr>
          <w:bottom w:val="single" w:color="DBE3F0" w:sz="6" w:space="1"/>
        </w:pBdr>
        <w:spacing w:after="160"/>
      </w:pPr>
    </w:p>
    <w:p>
      <w:pPr>
        <w:pStyle w:val="Heading1"/>
        <w:spacing w:after="100" w:before="300"/>
      </w:pPr>
      <w:r>
        <w:rPr>
          <w:color w:val="2563EB"/>
        </w:rPr>
        <w:t xml:space="preserve">1. Purpose</w:t>
      </w:r>
    </w:p>
    <w:p>
      <w:pPr>
        <w:spacing w:after="120" w:line="264"/>
      </w:pPr>
      <w:r>
        <w:t xml:space="preserve">Organisations are good at identifying value — value-engineering studies, business cases, board approvals — and poor at proving it was ever realized, then keeping and growing the accounts where it was. The study lives in one team's deck; the realization lives in another team's spreadsheet; the renewal conversation runs on activity metrics rather than proven value; the links between them are email threads. The Value Lifecycle Platform closes that loop by running all three roles in one system and making the handovers between them first-class.</w:t>
      </w:r>
    </w:p>
    <w:p>
      <w:pPr>
        <w:spacing w:after="120" w:line="264"/>
      </w:pPr>
      <w:r>
        <w:t xml:space="preserve">Three complementary roles, three structured methods: </w:t>
      </w:r>
      <w:r>
        <w:rPr>
          <w:b/>
          <w:bCs/>
        </w:rPr>
        <w:t xml:space="preserve">the Value Engineer runs an 8-phase VE Job Plan; the Value Realization Manager runs a 7-phase realization lifecycle; the Customer Success Manager runs a continuous 8-stage customer-success lifecycle. </w:t>
      </w:r>
      <w:r>
        <w:t xml:space="preserve">Every realization track traces back to the study, business case and success criteria it came from — and every customer-success engagement references, but never re-keys, the value those studies and tracks prove.</w:t>
      </w:r>
    </w:p>
    <w:p>
      <w:pPr>
        <w:pStyle w:val="Heading1"/>
        <w:spacing w:after="100" w:before="300"/>
      </w:pPr>
      <w:r>
        <w:rPr>
          <w:color w:val="2563EB"/>
        </w:rPr>
        <w:t xml:space="preserve">2. The value lifecycle</w:t>
      </w:r>
    </w:p>
    <w:p>
      <w:pPr>
        <w:spacing w:after="120" w:line="264"/>
      </w:pPr>
      <w:r>
        <w:t xml:space="preserve">A piece of work moves from a framed problem, through a quantified business case and a governance gate, into implementation and proof of realized value. The platform turns that lifecycle into a guided sequence, teaching at each phase and using each phase's exit criteria as a quality gate.</w:t>
      </w:r>
    </w:p>
    <w:p>
      <w:pPr>
        <w:spacing w:after="180" w:before="60"/>
        <w:jc w:val="center"/>
      </w:pPr>
      <w:r>
        <w:drawing>
          <wp:inline distT="0" distB="0" distL="0" distR="0">
            <wp:extent cx="5905500" cy="2352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264"/>
      </w:pPr>
      <w:r>
        <w:t xml:space="preserve">The engineering side ends where the realization side begins — at the handover; realization ends at close-out, where Customer Success picks up the continuous relationship (§6). Three deliberately different methods, joined by first-class links.</w:t>
      </w:r>
    </w:p>
    <w:p>
      <w:pPr>
        <w:pStyle w:val="Heading1"/>
        <w:spacing w:after="100" w:before="300"/>
      </w:pPr>
      <w:r>
        <w:rPr>
          <w:color w:val="2563EB"/>
        </w:rPr>
        <w:t xml:space="preserve">3. Industry as configuration</w:t>
      </w:r>
    </w:p>
    <w:p>
      <w:pPr>
        <w:spacing w:after="120" w:line="264"/>
      </w:pPr>
      <w:r>
        <w:t xml:space="preserve">The workflow is data-driven, not hard-coded. The core engine — the 8 VE and 7 VR phases, the deliverables, the finance engine and the KPI catalogue — is the same for everyone. An industry profile layers on the study types, cost drivers, value levers and default KPIs that make a study feel native to that sector.</w:t>
      </w:r>
    </w:p>
    <w:p>
      <w:pPr>
        <w:spacing w:after="180" w:before="60"/>
        <w:jc w:val="center"/>
      </w:pPr>
      <w:r>
        <w:drawing>
          <wp:inline distT="0" distB="0" distL="0" distR="0">
            <wp:extent cx="5715000" cy="2066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264"/>
      </w:pPr>
      <w:r>
        <w:t xml:space="preserve">Adding an industry means editing a TypeScript module in </w:t>
      </w:r>
      <w:r>
        <w:rPr>
          <w:rFonts w:ascii="Consolas" w:cs="Consolas" w:eastAsia="Consolas" w:hAnsi="Consolas"/>
          <w:color w:val="B91C1C"/>
        </w:rPr>
        <w:t xml:space="preserve">src/lib/domain/</w:t>
      </w:r>
      <w:r>
        <w:t xml:space="preserve"> and re-seeding — workload automation, mainframe optimization, service &amp; operations and software reseller ship out of the box. The engine never changes.</w:t>
      </w:r>
    </w:p>
    <w:p>
      <w:pPr>
        <w:pStyle w:val="Heading1"/>
        <w:spacing w:after="100" w:before="300"/>
      </w:pPr>
      <w:r>
        <w:rPr>
          <w:color w:val="2563EB"/>
        </w:rPr>
        <w:t xml:space="preserve">4. From data to documents</w:t>
      </w:r>
    </w:p>
    <w:p>
      <w:pPr>
        <w:spacing w:after="120" w:line="264"/>
      </w:pPr>
      <w:r>
        <w:t xml:space="preserve">Function analysis, the business case, work packages, benefits and KPIs are entered once. The finance and export engine turns that live data into the deliverables leadership actually asks for — a board-ready business case, a Value Realization Plan / QBR pack, and a KPI workbook.</w:t>
      </w:r>
    </w:p>
    <w:p>
      <w:pPr>
        <w:spacing w:after="180" w:before="60"/>
        <w:jc w:val="center"/>
      </w:pPr>
      <w:r>
        <w:drawing>
          <wp:inline distT="0" distB="0" distL="0" distR="0">
            <wp:extent cx="4191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264"/>
      </w:pPr>
      <w:r>
        <w:t xml:space="preserve">Because documents are generated from live data they always reflect the current state — regenerate before a steering meeting and the pack is up to date. ROI, payback, NPV, IRR and life-cycle cost are computed deterministically in the finance engine, not typed by hand.</w:t>
      </w:r>
    </w:p>
    <w:p>
      <w:pPr>
        <w:pStyle w:val="Heading1"/>
        <w:spacing w:after="100" w:before="300"/>
      </w:pPr>
      <w:r>
        <w:rPr>
          <w:color w:val="2563EB"/>
        </w:rPr>
        <w:t xml:space="preserve">5. The handover — the marquee flow</w:t>
      </w:r>
    </w:p>
    <w:p>
      <w:pPr>
        <w:spacing w:after="120" w:line="264"/>
      </w:pPr>
      <w:r>
        <w:t xml:space="preserve">This is the point of the product. From a study with at least one accepted recommendation, one action creates a linked realization track and pre-populates it from the study.</w:t>
      </w:r>
    </w:p>
    <w:p>
      <w:pPr>
        <w:spacing w:after="180" w:before="60"/>
        <w:jc w:val="center"/>
      </w:pPr>
      <w:r>
        <w:drawing>
          <wp:inline distT="0" distB="0" distL="0" distR="0">
            <wp:extent cx="5905500" cy="2343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Guarded:</w:t>
      </w:r>
      <w:r>
        <w:t xml:space="preserve"> the handover requires at least one reviewer-</w:t>
      </w:r>
      <w:r>
        <w:rPr>
          <w:b/>
          <w:bCs/>
        </w:rPr>
        <w:t xml:space="preserve">accepted</w:t>
      </w:r>
      <w:r>
        <w:t xml:space="preserve"> recommendation — the governance gate between proposed and committed value.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Seeded, not re-keyed:</w:t>
      </w:r>
      <w:r>
        <w:t xml:space="preserve"> work packages come from the recommendations, benefits from the expected-benefit artifacts, KPI targets (with baselines) from the KPI artifacts, and success criteria carry across.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Traceable:</w:t>
      </w:r>
      <w:r>
        <w:t xml:space="preserve"> the study is marked handed-over, an audit event is written, and the track back-links to its source study.</w:t>
      </w:r>
    </w:p>
    <w:p>
      <w:pPr>
        <w:pStyle w:val="Heading1"/>
        <w:spacing w:after="100" w:before="300"/>
      </w:pPr>
      <w:r>
        <w:rPr>
          <w:color w:val="2563EB"/>
        </w:rPr>
        <w:t xml:space="preserve">6. Customer Success — the continuing relationship</w:t>
      </w:r>
    </w:p>
    <w:p>
      <w:pPr>
        <w:spacing w:after="120" w:line="264"/>
      </w:pPr>
      <w:r>
        <w:t xml:space="preserve">Value Realization proves one initiative and then ends at close-out; Customer Success is the continuous, per-account layer that carries the relationship on through renewal and expansion. It is a separate pillar with its own role (the CSM) and its own 8-stage lifecycle — not a change to VR.</w:t>
      </w:r>
    </w:p>
    <w:p>
      <w:pPr>
        <w:spacing w:after="180" w:before="60"/>
        <w:jc w:val="center"/>
      </w:pPr>
      <w:r>
        <w:drawing>
          <wp:inline distT="0" distB="0" distL="0" distR="0">
            <wp:extent cx="5905500" cy="2390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References, never duplicates.</w:t>
      </w:r>
      <w:r>
        <w:t xml:space="preserve"> A CS engagement links to the account's VE studies and VR tracks and surfaces their planned/realized value; the numbers still live on the tracks (single source of truth).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Health, proactively.</w:t>
      </w:r>
      <w:r>
        <w:t xml:space="preserve"> A weighted </w:t>
      </w:r>
      <w:r>
        <w:rPr>
          <w:b/>
          <w:bCs/>
        </w:rPr>
        <w:t xml:space="preserve">Health Scorecard</w:t>
      </w:r>
      <w:r>
        <w:t xml:space="preserve"> (adoption, value, sentiment, support, engagement) rolls up to a green/amber/red band, and </w:t>
      </w:r>
      <w:r>
        <w:rPr>
          <w:b/>
          <w:bCs/>
        </w:rPr>
        <w:t xml:space="preserve">attention signals</w:t>
      </w:r>
      <w:r>
        <w:t xml:space="preserve"> flag renewals due, poor health, overdue actions, detractor stakeholders and value below plan — on the engagement and in the portfolio.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Governance &amp; growth.</w:t>
      </w:r>
      <w:r>
        <w:t xml:space="preserve"> Stakeholder map, action log, renewal and growth plans; an </w:t>
      </w:r>
      <w:r>
        <w:rPr>
          <w:b/>
          <w:bCs/>
        </w:rPr>
        <w:t xml:space="preserve">EBR narrative</w:t>
      </w:r>
      <w:r>
        <w:t xml:space="preserve"> (AI via the Anthropic seam, or a template fallback) that seeds its next-best-actions into the action log; and an Account Success Review export.</w:t>
      </w:r>
    </w:p>
    <w:p>
      <w:pPr>
        <w:pStyle w:val="Heading1"/>
        <w:spacing w:after="100" w:before="300"/>
      </w:pPr>
      <w:r>
        <w:rPr>
          <w:color w:val="2563EB"/>
        </w:rPr>
        <w:t xml:space="preserve">7. System architecture</w:t>
      </w:r>
    </w:p>
    <w:p>
      <w:pPr>
        <w:spacing w:after="120" w:line="264"/>
      </w:pPr>
      <w:r>
        <w:t xml:space="preserve">A single-language, type-safe stack. Role-aware React Server Components render the dashboards; server actions and REST routes handle mutations and exports; Prisma talks to PostgreSQL through an organisation-scoped client; and the relational model holds the VE↔VR↔CS graph together.</w:t>
      </w:r>
    </w:p>
    <w:p>
      <w:pPr>
        <w:spacing w:after="180" w:before="60"/>
        <w:jc w:val="center"/>
      </w:pPr>
      <w:r>
        <w:drawing>
          <wp:inline distT="0" distB="0" distL="0" distR="0">
            <wp:extent cx="4381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Role-aware UI:</w:t>
      </w:r>
      <w:r>
        <w:t xml:space="preserve"> </w:t>
      </w:r>
      <w:r>
        <w:rPr>
          <w:rFonts w:ascii="Consolas" w:cs="Consolas" w:eastAsia="Consolas" w:hAnsi="Consolas"/>
          <w:color w:val="B91C1C"/>
        </w:rPr>
        <w:t xml:space="preserve">/portfolio</w:t>
      </w:r>
      <w:r>
        <w:t xml:space="preserve">, </w:t>
      </w:r>
      <w:r>
        <w:rPr>
          <w:rFonts w:ascii="Consolas" w:cs="Consolas" w:eastAsia="Consolas" w:hAnsi="Consolas"/>
          <w:color w:val="B91C1C"/>
        </w:rPr>
        <w:t xml:space="preserve">/ve</w:t>
      </w:r>
      <w:r>
        <w:t xml:space="preserve">, </w:t>
      </w:r>
      <w:r>
        <w:rPr>
          <w:rFonts w:ascii="Consolas" w:cs="Consolas" w:eastAsia="Consolas" w:hAnsi="Consolas"/>
          <w:color w:val="B91C1C"/>
        </w:rPr>
        <w:t xml:space="preserve">/vr</w:t>
      </w:r>
      <w:r>
        <w:t xml:space="preserve">, </w:t>
      </w:r>
      <w:r>
        <w:rPr>
          <w:rFonts w:ascii="Consolas" w:cs="Consolas" w:eastAsia="Consolas" w:hAnsi="Consolas"/>
          <w:color w:val="B91C1C"/>
        </w:rPr>
        <w:t xml:space="preserve">/cs</w:t>
      </w:r>
      <w:r>
        <w:t xml:space="preserve">, </w:t>
      </w:r>
      <w:r>
        <w:rPr>
          <w:rFonts w:ascii="Consolas" w:cs="Consolas" w:eastAsia="Consolas" w:hAnsi="Consolas"/>
          <w:color w:val="B91C1C"/>
        </w:rPr>
        <w:t xml:space="preserve">/kpis</w:t>
      </w:r>
      <w:r>
        <w:t xml:space="preserve">, </w:t>
      </w:r>
      <w:r>
        <w:rPr>
          <w:rFonts w:ascii="Consolas" w:cs="Consolas" w:eastAsia="Consolas" w:hAnsi="Consolas"/>
          <w:color w:val="B91C1C"/>
        </w:rPr>
        <w:t xml:space="preserve">/templates</w:t>
      </w:r>
      <w:r>
        <w:t xml:space="preserve">; capabilities resolve from the signed-in user's role.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Application layer:</w:t>
      </w:r>
      <w:r>
        <w:t xml:space="preserve"> server actions (create study, phase status, recommendation decisions, handover, KPI actuals) plus REST routes and the finance/export engine.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AI is optional and never authoritative:</w:t>
      </w:r>
      <w:r>
        <w:t xml:space="preserve"> the Anthropic seam produces starter text only; the static template library is the fallback.</w:t>
      </w:r>
    </w:p>
    <w:p>
      <w:pPr>
        <w:pStyle w:val="Heading1"/>
        <w:spacing w:after="100" w:before="300"/>
      </w:pPr>
      <w:r>
        <w:rPr>
          <w:color w:val="2563EB"/>
        </w:rPr>
        <w:t xml:space="preserve">8. Domain &amp; data model</w:t>
      </w:r>
    </w:p>
    <w:p>
      <w:pPr>
        <w:spacing w:after="120" w:line="264"/>
      </w:pPr>
      <w:r>
        <w:t xml:space="preserve">Everything hangs off the Organisation (the tenant). On the engineering side: Study → StudyPhase → PhaseTask, FunctionItem → Alternative → Recommendation, and BusinessCase → Scenario → CostItem. On the realization side: RealizationTrack → VrPhaseInstance, WorkPackage, AdoptionPlan, Benefit, ValueReport and LessonLearned.</w:t>
      </w:r>
    </w:p>
    <w:p>
      <w:pPr>
        <w:spacing w:after="120" w:line="264"/>
      </w:pPr>
      <w:r>
        <w:rPr>
          <w:b/>
          <w:bCs/>
        </w:rPr>
        <w:t xml:space="preserve">The bridge: </w:t>
      </w:r>
      <w:r>
        <w:t xml:space="preserve">a HandoverArtifact captures each expected benefit, KPI, baseline, measurement plan and success criterion on the study, and is linked to the RealizationTrack on handover. A track's studyId is optional — origin is VE_HANDOVER (has a source study) or STANDALONE (software already in place, no study). Customer Success adds CustomerSuccessEngagement → CsStageInstance plus Stakeholder, ActionItem, HealthScore, RenewalPlan and GrowthPlan; studies and tracks carry an optional engagementId so an engagement references them without copying. KPIs are modelled as KpiDefinition (catalogue) → KpiTarget (on a study or track) → KpiActual (time series). Comment, AuditEvent and DocumentVersion provide governance across the model.</w:t>
      </w:r>
    </w:p>
    <w:p>
      <w:pPr>
        <w:pStyle w:val="Heading1"/>
        <w:spacing w:after="100" w:before="300"/>
      </w:pPr>
      <w:r>
        <w:rPr>
          <w:color w:val="2563EB"/>
        </w:rPr>
        <w:t xml:space="preserve">9. Multi-tenancy, roles &amp; governance</w:t>
      </w:r>
    </w:p>
    <w:p>
      <w:pPr>
        <w:spacing w:after="120" w:line="264"/>
      </w:pPr>
      <w:r>
        <w:t xml:space="preserve">Self-service registration creates a new, isolated Organisation with the signer as Admin; every study and track is scoped to its organisation. Role-based access maps each role — Value Engineer, Value Realization Manager, Customer Success Manager, Reviewer, Viewer, Admin — to a capability set enforced on the server; the UI merely hides what a role can't do.</w:t>
      </w:r>
    </w:p>
    <w:p>
      <w:pPr>
        <w:spacing w:after="120" w:line="264"/>
      </w:pPr>
      <w:r>
        <w:t xml:space="preserve">Admins manage the team from a dedicated page: add members with an initial password, change roles, reset passwords, and remove access. Removing a member who owns studies, tracks or comments reassigns that work to another member first, so nothing is orphaned. Business-case snapshots (version history) and an audit log keep the realized-vs-planned reconciliation defensible.</w:t>
      </w:r>
    </w:p>
    <w:p>
      <w:pPr>
        <w:pStyle w:val="Heading1"/>
        <w:spacing w:after="100" w:before="300"/>
      </w:pPr>
      <w:r>
        <w:rPr>
          <w:color w:val="2563EB"/>
        </w:rPr>
        <w:t xml:space="preserve">10. Key design principles</w:t>
      </w:r>
    </w:p>
    <w:tbl>
      <w:tblPr>
        <w:tblW w:type="dxa" w:w="9360"/>
        <w:tblBorders>
          <w:top w:val="single" w:color="DBE3F0" w:sz="2"/>
          <w:left w:val="single" w:color="DBE3F0" w:sz="2"/>
          <w:bottom w:val="single" w:color="DBE3F0" w:sz="2"/>
          <w:right w:val="single" w:color="DBE3F0" w:sz="2"/>
          <w:insideH w:val="single" w:color="EEF2F8" w:sz="2"/>
          <w:insideV w:val="single" w:color="EEF2F8" w:sz="2"/>
        </w:tblBorders>
      </w:tblPr>
      <w:tblGrid>
        <w:gridCol w:w="3100"/>
        <w:gridCol w:w="6260"/>
      </w:tblGrid>
      <w:tr>
        <w:trPr>
          <w:tblHeader/>
        </w:trPr>
        <w:tc>
          <w:tcPr>
            <w:tcW w:type="dxa" w:w="3100"/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563EB"/>
              </w:rPr>
              <w:t xml:space="preserve">Principle</w:t>
            </w:r>
          </w:p>
        </w:tc>
        <w:tc>
          <w:tcPr>
            <w:tcW w:type="dxa" w:w="6260"/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563EB"/>
              </w:rPr>
              <w:t xml:space="preserve">What it means in the product</w:t>
            </w:r>
          </w:p>
        </w:tc>
      </w:tr>
      <w:tr>
        <w:tc>
          <w:tcPr>
            <w:tcW w:type="dxa" w:w="3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The handover is first-class</w:t>
            </w:r>
          </w:p>
        </w:tc>
        <w:tc>
          <w:tcPr>
            <w:tcW w:type="dxa" w:w="62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Every realization track has a required link to its source study; work packages, benefits and KPI targets are seeded from the study — nothing is re-keyed.</w:t>
            </w:r>
          </w:p>
        </w:tc>
      </w:tr>
      <w:tr>
        <w:tc>
          <w:tcPr>
            <w:tcW w:type="dxa" w:w="3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One source of truth</w:t>
            </w:r>
          </w:p>
        </w:tc>
        <w:tc>
          <w:tcPr>
            <w:tcW w:type="dxa" w:w="62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Function analysis, business case, baselines and KPIs are entered once and drive every register, document and report.</w:t>
            </w:r>
          </w:p>
        </w:tc>
      </w:tr>
      <w:tr>
        <w:tc>
          <w:tcPr>
            <w:tcW w:type="dxa" w:w="3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Separation of duties</w:t>
            </w:r>
          </w:p>
        </w:tc>
        <w:tc>
          <w:tcPr>
            <w:tcW w:type="dxa" w:w="62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The engineer builds, a reviewer approves, the manager realizes — role capabilities enforced on the server, not just hidden in the UI.</w:t>
            </w:r>
          </w:p>
        </w:tc>
      </w:tr>
      <w:tr>
        <w:tc>
          <w:tcPr>
            <w:tcW w:type="dxa" w:w="3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Prove it against a baseline</w:t>
            </w:r>
          </w:p>
        </w:tc>
        <w:tc>
          <w:tcPr>
            <w:tcW w:type="dxa" w:w="62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Realized value is measured against baselines captured at handover; versions and an audit log keep the reconciliation honest.</w:t>
            </w:r>
          </w:p>
        </w:tc>
      </w:tr>
      <w:tr>
        <w:tc>
          <w:tcPr>
            <w:tcW w:type="dxa" w:w="3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Industry is configuration</w:t>
            </w:r>
          </w:p>
        </w:tc>
        <w:tc>
          <w:tcPr>
            <w:tcW w:type="dxa" w:w="62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Study types, cost drivers, value levers and default KPIs live as seeded data — add an industry without touching the engine.</w:t>
            </w:r>
          </w:p>
        </w:tc>
      </w:tr>
      <w:tr>
        <w:tc>
          <w:tcPr>
            <w:tcW w:type="dxa" w:w="3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Deterministic finance</w:t>
            </w:r>
          </w:p>
        </w:tc>
        <w:tc>
          <w:tcPr>
            <w:tcW w:type="dxa" w:w="62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ROI, payback, NPV, IRR and life-cycle cost are computed in code; the finance engine is authoritative.</w:t>
            </w:r>
          </w:p>
        </w:tc>
      </w:tr>
      <w:tr>
        <w:tc>
          <w:tcPr>
            <w:tcW w:type="dxa" w:w="3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AI proposes, human disposes</w:t>
            </w:r>
          </w:p>
        </w:tc>
        <w:tc>
          <w:tcPr>
            <w:tcW w:type="dxa" w:w="62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AI produces starter text only, with a template fallback; the product is fully usable with AI switched off.</w:t>
            </w:r>
          </w:p>
        </w:tc>
      </w:tr>
    </w:tbl>
    <w:p>
      <w:pPr>
        <w:spacing w:after="120" w:line="264"/>
      </w:pPr>
      <w:r>
        <w:t xml:space="preserve"/>
      </w:r>
    </w:p>
    <w:p>
      <w:pPr>
        <w:pStyle w:val="Heading1"/>
        <w:spacing w:after="100" w:before="300"/>
      </w:pPr>
      <w:r>
        <w:rPr>
          <w:color w:val="2563EB"/>
        </w:rPr>
        <w:t xml:space="preserve">11. Technology stack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Frontend:</w:t>
      </w:r>
      <w:r>
        <w:t xml:space="preserve"> Next.js 15 (App Router) · React Server Components · TypeScript (strict) · Tailwind CSS (VE = blue, VR = emerald, CS = cyan)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Application:</w:t>
      </w:r>
      <w:r>
        <w:t xml:space="preserve"> server actions + REST API · zod validation · finance engine (ROI · payback · NPV · IRR · LCC)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Data:</w:t>
      </w:r>
      <w:r>
        <w:t xml:space="preserve"> Prisma 6 · PostgreSQL — the VE↔VR↔CS relational graph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Auth:</w:t>
      </w:r>
      <w:r>
        <w:t xml:space="preserve"> Auth.js (NextAuth v5) credentials, JWT sessions, edge-safe middleware · capability-based RBAC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AI (optional):</w:t>
      </w:r>
      <w:r>
        <w:t xml:space="preserve"> Anthropic API, structured outputs, starter text with a template fallback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Exports:</w:t>
      </w:r>
      <w:r>
        <w:t xml:space="preserve"> docx (Word business case &amp; VRP/QBR) · exceljs (Excel KPI workbook)</w:t>
      </w:r>
    </w:p>
    <w:p>
      <w:pPr>
        <w:pStyle w:val="Heading1"/>
        <w:spacing w:after="100" w:before="300"/>
      </w:pPr>
      <w:r>
        <w:rPr>
          <w:color w:val="2563EB"/>
        </w:rPr>
        <w:t xml:space="preserve">12. What's built</w:t>
      </w:r>
    </w:p>
    <w:p>
      <w:pPr>
        <w:spacing w:after="120" w:line="264"/>
      </w:pPr>
      <w:r>
        <w:t xml:space="preserve">A complete platform across all three pillars: the 8-phase VE Job Plan with function analysis, a FAST diagram, a weighted evaluation matrix and inline editing throughout; a live business-case builder with the finance engine, multi-currency, version history and Word export; the first-class VE→VR handover plus standalone VR tracks (software already in place); the 7-phase realization lifecycle with work packages, adoption plan, KPI tracker and benefits realization; the Customer Success pillar — per-account engagements, the 8-stage lifecycle, a weighted health scorecard, attention signals, stakeholder map, action log, renewal/growth plans, AI-assisted EBRs and an Account Success Review export; portfolio and KPI dashboards (with a CS lens); real Auth.js login with role-based access; self-service registration with admin team management including owner reassignment; and Excel capture-workbooks with an importer for all three pillars.</w:t>
      </w:r>
    </w:p>
    <w:p>
      <w:pPr>
        <w:spacing w:after="120" w:line="264"/>
      </w:pPr>
      <w:r>
        <w:rPr>
          <w:i/>
          <w:iCs/>
          <w:color w:val="64748B"/>
        </w:rPr>
        <w:t xml:space="preserve">The Value Lifecycle Platform — one workspace that turns approved value into proven value and proven value into a retained, growing relationship.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F17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940de98ec894150ab5b6da1b3b5607a8172806d.png"/><Relationship Id="rId8" Type="http://schemas.openxmlformats.org/officeDocument/2006/relationships/image" Target="media/d596f8e11a7d69d75170108d6fd0551c2a497951.png"/><Relationship Id="rId9" Type="http://schemas.openxmlformats.org/officeDocument/2006/relationships/image" Target="media/843117496299b619bba8e81a67e38f2a66a2dd37.png"/><Relationship Id="rId10" Type="http://schemas.openxmlformats.org/officeDocument/2006/relationships/image" Target="media/22c4a8107696e984034f3d1d710bb267da95f23a.png"/><Relationship Id="rId11" Type="http://schemas.openxmlformats.org/officeDocument/2006/relationships/image" Target="media/72402d8cdda6669a87d0425732e864639d423d18.png"/><Relationship Id="rId12" Type="http://schemas.openxmlformats.org/officeDocument/2006/relationships/image" Target="media/d2ab1dedc6ad9600a8130167055218e98bfcec6b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Value Lifecycle Platform</dc:creator>
  <cp:lastModifiedBy>Un-named</cp:lastModifiedBy>
  <cp:revision>1</cp:revision>
  <dcterms:created xsi:type="dcterms:W3CDTF">2026-09-08T10:13:05.853Z</dcterms:created>
  <dcterms:modified xsi:type="dcterms:W3CDTF">2026-09-08T10:13:05.854Z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