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TI VERDE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SUSTENTABILIDADE POR MEIO DA VIRTUALIZAÇÃO DE SERVIDORES.</w:t>
      </w:r>
    </w:p>
    <w:p>
      <w:pPr>
        <w:spacing w:before="0" w:after="200" w:line="276"/>
        <w:ind w:right="0" w:left="0" w:firstLine="0"/>
        <w:jc w:val="both"/>
        <w:rPr>
          <w:rFonts w:ascii="Arial" w:hAnsi="Arial" w:cs="Arial" w:eastAsia="Arial"/>
          <w:color w:val="auto"/>
          <w:spacing w:val="0"/>
          <w:position w:val="0"/>
          <w:sz w:val="32"/>
          <w:shd w:fill="auto" w:val="clear"/>
        </w:rPr>
      </w:pP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 Crescimento das mídias sociais;</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Maior volume de investimento e processaento em tecnologia por empresas que não podem ficar alheia essa evolução.</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Estratégias de Negócios( Cloud,Virtualização,Mobile,Business Inteligence e Big Data);</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Alta escalabilidade e disponibilidade é o desafio dos Cios das empresas, no atendimento das necessidade de negócios;</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Economia Energética e redução dos gastos de infraestrutura e administração (POWER CHANNEL,2008);</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Hypervisor: utilização de máquina virtual, no consumo de energia eficiente;(Pesquisar). Redução energética em cerca de 30% a 40%;</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Simuladores de TI Verde disponíveis na Web (TWT,2012);</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Investimento Cloud Compunting;</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NB 1334 E 1335 E BS 7799, ISSO/IEC 1.779;</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THIEME(2005);</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Premissa da TI Verde;</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Certificação de LEED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Leadership in Energy  na Enviroment Desing;</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Certificação 14001 e 14064;</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Fones Certificadas 80Plus;</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Maciel( 2013)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infraestrutura de TI agora deve ser eficiente, flexível, robusta e dinâmica;</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virtualização é um tema amplamente discutido em ambientes corporativos;</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Impacto ambiental, servidores para virtualização exigindo um número menor de máquinas, espaço físico e emite menor calor no ambiente;</w:t>
      </w: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Bouker(2012) :impacto inicial  da virtualização, consolidar a carga  de múltiplas aplicações em hosts físicos reduz os custos e maior eficiência;</w:t>
      </w:r>
    </w:p>
    <w:p>
      <w:pPr>
        <w:spacing w:before="0" w:after="200" w:line="276"/>
        <w:ind w:right="0" w:left="0" w:firstLine="0"/>
        <w:jc w:val="both"/>
        <w:rPr>
          <w:rFonts w:ascii="Arial" w:hAnsi="Arial" w:cs="Arial" w:eastAsia="Arial"/>
          <w:color w:val="auto"/>
          <w:spacing w:val="0"/>
          <w:position w:val="0"/>
          <w:sz w:val="32"/>
          <w:shd w:fill="auto" w:val="clear"/>
        </w:rPr>
      </w:pPr>
    </w:p>
    <w:p>
      <w:pPr>
        <w:spacing w:before="0" w:after="200" w:line="276"/>
        <w:ind w:right="0" w:left="0" w:firstLine="0"/>
        <w:jc w:val="both"/>
        <w:rPr>
          <w:rFonts w:ascii="Arial" w:hAnsi="Arial" w:cs="Arial" w:eastAsia="Arial"/>
          <w:color w:val="auto"/>
          <w:spacing w:val="0"/>
          <w:position w:val="0"/>
          <w:sz w:val="32"/>
          <w:shd w:fill="auto" w:val="clear"/>
        </w:rPr>
      </w:pP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Referências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8"/>
          <w:shd w:fill="auto" w:val="clear"/>
        </w:rPr>
        <w:t xml:space="preserve">REFERÊNCIAS</w:t>
      </w:r>
      <w:r>
        <w:rPr>
          <w:rFonts w:ascii="Calibri" w:hAnsi="Calibri" w:cs="Calibri" w:eastAsia="Calibri"/>
          <w:color w:val="000000"/>
          <w:spacing w:val="0"/>
          <w:position w:val="0"/>
          <w:sz w:val="22"/>
          <w:shd w:fill="auto" w:val="clear"/>
        </w:rPr>
        <w:t xml:space="preserve"> Bowker, M. Virtualization and Cloud Computing move the SMB market forward. ESG Enterprise Strategy Group. Recuperado em 09 de Julho, 2013 do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http://www.vmware.com</w:t>
        </w:r>
      </w:hyperlink>
      <w:r>
        <w:rPr>
          <w:rFonts w:ascii="Calibri" w:hAnsi="Calibri" w:cs="Calibri" w:eastAsia="Calibri"/>
          <w:color w:val="000000"/>
          <w:spacing w:val="0"/>
          <w:position w:val="0"/>
          <w:sz w:val="22"/>
          <w:shd w:fill="auto" w:val="clear"/>
        </w:rPr>
        <w:t xml:space="preserve"> /files/pdf/smb/EG_Exec_Summary_VMware_SMB.Pdf. Bradesco. Relatórios de Sustentabilidade 2012. Recuperado em 25 de julho, 2013 do </w:t>
      </w: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www.bradescori.com.br</w:t>
        </w:r>
      </w:hyperlink>
      <w:r>
        <w:rPr>
          <w:rFonts w:ascii="Calibri" w:hAnsi="Calibri" w:cs="Calibri" w:eastAsia="Calibri"/>
          <w:color w:val="000000"/>
          <w:spacing w:val="0"/>
          <w:position w:val="0"/>
          <w:sz w:val="22"/>
          <w:shd w:fill="auto" w:val="clear"/>
        </w:rPr>
        <w:t xml:space="preserve">. Cloud System News (2013, maio, 28) “HP inaugura mais um Cloud Center of Excellence no Brasil”: Revista Cloud System News, São Paulo, Editora Cloud System, ano 2, edição 5, p. 28, Environmental Protection Agency. Report to Congress on Server and Data Center Energy Efficiency Public Law 109-431. Recuperado em 28 de maio, 2013 do US EnergyStar Program:</w:t>
        <w:br/>
      </w:r>
      <w:hyperlink xmlns:r="http://schemas.openxmlformats.org/officeDocument/2006/relationships" r:id="docRId2">
        <w:r>
          <w:rPr>
            <w:rFonts w:ascii="Calibri" w:hAnsi="Calibri" w:cs="Calibri" w:eastAsia="Calibri"/>
            <w:color w:val="003399"/>
            <w:spacing w:val="0"/>
            <w:position w:val="0"/>
            <w:sz w:val="22"/>
            <w:u w:val="single"/>
            <w:shd w:fill="auto" w:val="clear"/>
          </w:rPr>
          <w:t xml:space="preserve">www.energystar.gov/ia/partners/prod_development/downloads/EPA_Datacenter_Re</w:t>
        </w:r>
      </w:hyperlink>
      <w:r>
        <w:rPr>
          <w:rFonts w:ascii="Calibri" w:hAnsi="Calibri" w:cs="Calibri" w:eastAsia="Calibri"/>
          <w:color w:val="003399"/>
          <w:spacing w:val="0"/>
          <w:position w:val="0"/>
          <w:sz w:val="22"/>
          <w:shd w:fill="auto" w:val="clear"/>
        </w:rPr>
        <w:t xml:space="preserve"> port _Con</w:t>
        <w:br/>
        <w:t xml:space="preserve">gress_Final1.pdf</w:t>
      </w:r>
      <w:r>
        <w:rPr>
          <w:rFonts w:ascii="Calibri" w:hAnsi="Calibri" w:cs="Calibri" w:eastAsia="Calibri"/>
          <w:color w:val="000000"/>
          <w:spacing w:val="0"/>
          <w:position w:val="0"/>
          <w:sz w:val="22"/>
          <w:shd w:fill="auto" w:val="clear"/>
        </w:rPr>
        <w:t xml:space="preserve">. Harmon, R. &amp; Auseklis, N. Sustainable IT Services: Assessing the impact of green computing practices. PICMET, 2009. ITS. The IT Solution Center. Arquitetura Tradicional x Virtualização. Recuperado em 10, de julho, 2013 do </w:t>
      </w:r>
      <w:hyperlink xmlns:r="http://schemas.openxmlformats.org/officeDocument/2006/relationships" r:id="docRId3">
        <w:r>
          <w:rPr>
            <w:rFonts w:ascii="Calibri" w:hAnsi="Calibri" w:cs="Calibri" w:eastAsia="Calibri"/>
            <w:color w:val="000000"/>
            <w:spacing w:val="0"/>
            <w:position w:val="0"/>
            <w:sz w:val="22"/>
            <w:u w:val="single"/>
            <w:shd w:fill="auto" w:val="clear"/>
          </w:rPr>
          <w:t xml:space="preserve">http://www2.itssolucoes.com.br/virtualizacao</w:t>
        </w:r>
      </w:hyperlink>
      <w:r>
        <w:rPr>
          <w:rFonts w:ascii="Calibri" w:hAnsi="Calibri" w:cs="Calibri" w:eastAsia="Calibri"/>
          <w:color w:val="000000"/>
          <w:spacing w:val="0"/>
          <w:position w:val="0"/>
          <w:sz w:val="22"/>
          <w:shd w:fill="auto" w:val="clear"/>
        </w:rPr>
        <w:t xml:space="preserve">. Maciel, C. (Jan-Mar 2012) “PowerVM”: a solução de virtualização ideal para sua empresa. Revista Power Channel, São Paulo, Ano 5, Edição 15, p. 23. Power Channel (Jan-Mar 2012). Revista Informativa das Soluções IBM Power Systems. São Paulo, Ano 1, Edição 1, p. 29. Power Channel (Jan-Mar 2012). Revista Informativa das Soluções IBM Power Systems. São Paulo, Ano 5, Edição 15, p. 23. Schulz, M. &amp; Silva, N. (Mai-Ago 2012). TI Verde e eficiência energética em Data Centers. Revista de Gestão Social e Ambiental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RGSA, S</w:t>
      </w:r>
      <w:r>
        <w:rPr>
          <w:rFonts w:ascii="Calibri" w:hAnsi="Calibri" w:cs="Calibri" w:eastAsia="Calibri"/>
          <w:color w:val="000000"/>
          <w:spacing w:val="0"/>
          <w:position w:val="0"/>
          <w:sz w:val="22"/>
          <w:shd w:fill="auto" w:val="clear"/>
        </w:rPr>
        <w:t xml:space="preserve">ão Paulo, v.6, n.1, p.121 -133.</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Thieme, M. (2005). Modelo de Governança em Facilidades Prediais para Centros de Tecnologia da Informação em Instituições Financeiras. Monografia (MBA em Gerenciamento de Facilidades) Escola Politécnica da Universidade de São Paulo. Programa de Educação Continuada em Engenharia. São Paulo.</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TWT Info. Virtualização: vantagens em tempos de crise. Recuperado em 28 de maio, 2013 do </w:t>
      </w: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http://www</w:t>
        </w:r>
      </w:hyperlink>
      <w:r>
        <w:rPr>
          <w:rFonts w:ascii="Calibri" w:hAnsi="Calibri" w:cs="Calibri" w:eastAsia="Calibri"/>
          <w:color w:val="000000"/>
          <w:spacing w:val="0"/>
          <w:position w:val="0"/>
          <w:sz w:val="22"/>
          <w:shd w:fill="auto" w:val="clear"/>
        </w:rPr>
        <w:t xml:space="preserve">. twtinfo. com.br/SiteTWT/not/noticia.php?noticiasId=11. </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Veras, L., &amp; Kassick R. (2011). Virtualização de Servidores. Rio de Janeiro: RNP/ESR.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both"/>
        <w:rPr>
          <w:rFonts w:ascii="Arial" w:hAnsi="Arial" w:cs="Arial" w:eastAsia="Arial"/>
          <w:color w:val="2A2A2A"/>
          <w:spacing w:val="0"/>
          <w:position w:val="0"/>
          <w:sz w:val="36"/>
          <w:shd w:fill="FFFF00" w:val="clear"/>
        </w:rPr>
      </w:pPr>
      <w:r>
        <w:rPr>
          <w:rFonts w:ascii="Arial" w:hAnsi="Arial" w:cs="Arial" w:eastAsia="Arial"/>
          <w:color w:val="auto"/>
          <w:spacing w:val="0"/>
          <w:position w:val="0"/>
          <w:sz w:val="36"/>
          <w:shd w:fill="FFFF00" w:val="clear"/>
        </w:rPr>
        <w:t xml:space="preserve">Tecnologia da informação verde (TI verde), uma abordagem sobre a educação ambiental e a sustentabilidade na educação profissional e tecnológica.</w:t>
      </w:r>
    </w:p>
    <w:p>
      <w:pPr>
        <w:spacing w:before="0" w:after="200" w:line="276"/>
        <w:ind w:right="0" w:left="0" w:firstLine="0"/>
        <w:jc w:val="both"/>
        <w:rPr>
          <w:rFonts w:ascii="Arial" w:hAnsi="Arial" w:cs="Arial" w:eastAsia="Arial"/>
          <w:color w:val="2A2A2A"/>
          <w:spacing w:val="0"/>
          <w:position w:val="0"/>
          <w:sz w:val="36"/>
          <w:shd w:fill="auto" w:val="clear"/>
        </w:rPr>
      </w:pPr>
    </w:p>
    <w:p>
      <w:pPr>
        <w:spacing w:before="0" w:after="200" w:line="276"/>
        <w:ind w:right="0" w:left="0" w:firstLine="0"/>
        <w:jc w:val="both"/>
        <w:rPr>
          <w:rFonts w:ascii="Arial" w:hAnsi="Arial" w:cs="Arial" w:eastAsia="Arial"/>
          <w:color w:val="2A2A2A"/>
          <w:spacing w:val="0"/>
          <w:position w:val="0"/>
          <w:sz w:val="36"/>
          <w:shd w:fill="auto" w:val="clear"/>
        </w:rPr>
      </w:pPr>
      <w:r>
        <w:rPr>
          <w:rFonts w:ascii="Arial" w:hAnsi="Arial" w:cs="Arial" w:eastAsia="Arial"/>
          <w:color w:val="2A2A2A"/>
          <w:spacing w:val="0"/>
          <w:position w:val="0"/>
          <w:sz w:val="36"/>
          <w:shd w:fill="auto" w:val="clear"/>
        </w:rPr>
        <w:t xml:space="preserve">Mansur(2009) </w:t>
      </w:r>
      <w:r>
        <w:rPr>
          <w:rFonts w:ascii="Arial" w:hAnsi="Arial" w:cs="Arial" w:eastAsia="Arial"/>
          <w:color w:val="2A2A2A"/>
          <w:spacing w:val="0"/>
          <w:position w:val="0"/>
          <w:sz w:val="36"/>
          <w:shd w:fill="auto" w:val="clear"/>
        </w:rPr>
        <w:t xml:space="preserve">–</w:t>
      </w:r>
      <w:r>
        <w:rPr>
          <w:rFonts w:ascii="Arial" w:hAnsi="Arial" w:cs="Arial" w:eastAsia="Arial"/>
          <w:color w:val="2A2A2A"/>
          <w:spacing w:val="0"/>
          <w:position w:val="0"/>
          <w:sz w:val="36"/>
          <w:shd w:fill="auto" w:val="clear"/>
        </w:rPr>
        <w:t xml:space="preserve"> Une tecnologia e sustentabilidade com TI Verde;</w:t>
      </w:r>
    </w:p>
    <w:p>
      <w:pPr>
        <w:spacing w:before="0" w:after="200" w:line="276"/>
        <w:ind w:right="0" w:left="0" w:firstLine="0"/>
        <w:jc w:val="both"/>
        <w:rPr>
          <w:rFonts w:ascii="Arial" w:hAnsi="Arial" w:cs="Arial" w:eastAsia="Arial"/>
          <w:color w:val="2A2A2A"/>
          <w:spacing w:val="0"/>
          <w:position w:val="0"/>
          <w:sz w:val="36"/>
          <w:shd w:fill="auto" w:val="clear"/>
        </w:rPr>
      </w:pPr>
      <w:r>
        <w:rPr>
          <w:rFonts w:ascii="Arial" w:hAnsi="Arial" w:cs="Arial" w:eastAsia="Arial"/>
          <w:color w:val="2A2A2A"/>
          <w:spacing w:val="0"/>
          <w:position w:val="0"/>
          <w:sz w:val="36"/>
          <w:shd w:fill="auto" w:val="clear"/>
        </w:rPr>
        <w:t xml:space="preserve">Segundo O'Brein (2001), a TI é um conjunto de hardware, software , peopleware, bd, e outras tecnologias;</w:t>
      </w:r>
    </w:p>
    <w:p>
      <w:pPr>
        <w:spacing w:before="0" w:after="200" w:line="276"/>
        <w:ind w:right="0" w:left="0" w:firstLine="0"/>
        <w:jc w:val="both"/>
        <w:rPr>
          <w:rFonts w:ascii="Arial" w:hAnsi="Arial" w:cs="Arial" w:eastAsia="Arial"/>
          <w:color w:val="2A2A2A"/>
          <w:spacing w:val="0"/>
          <w:position w:val="0"/>
          <w:sz w:val="36"/>
          <w:shd w:fill="auto" w:val="clear"/>
        </w:rPr>
      </w:pPr>
      <w:r>
        <w:rPr>
          <w:rFonts w:ascii="Arial" w:hAnsi="Arial" w:cs="Arial" w:eastAsia="Arial"/>
          <w:color w:val="2A2A2A"/>
          <w:spacing w:val="0"/>
          <w:position w:val="0"/>
          <w:sz w:val="36"/>
          <w:shd w:fill="auto" w:val="clear"/>
        </w:rPr>
        <w:t xml:space="preserve">A grande preocupação com os resíduos tecnológicos vem crescendo, dando força  ao termo denominado TI Verdde ou Green IT, conceito que abrange desde a concepção,utilização e descarte de tecnologia durante seu ciclo de vida, a fim de diminuir o impacto no ambiente.</w:t>
      </w:r>
    </w:p>
    <w:p>
      <w:pPr>
        <w:spacing w:before="0" w:after="200" w:line="276"/>
        <w:ind w:right="0" w:left="0" w:firstLine="0"/>
        <w:jc w:val="both"/>
        <w:rPr>
          <w:rFonts w:ascii="Arial" w:hAnsi="Arial" w:cs="Arial" w:eastAsia="Arial"/>
          <w:color w:val="2A2A2A"/>
          <w:spacing w:val="0"/>
          <w:position w:val="0"/>
          <w:sz w:val="36"/>
          <w:shd w:fill="auto" w:val="clear"/>
        </w:rPr>
      </w:pPr>
      <w:r>
        <w:rPr>
          <w:rFonts w:ascii="Arial" w:hAnsi="Arial" w:cs="Arial" w:eastAsia="Arial"/>
          <w:color w:val="2A2A2A"/>
          <w:spacing w:val="0"/>
          <w:position w:val="0"/>
          <w:sz w:val="36"/>
          <w:shd w:fill="auto" w:val="clear"/>
        </w:rPr>
        <w:t xml:space="preserve">Radfahrer(2008), os recursos estão presentes no cotidiano dos acadêmicos, os materiais didáticos estão deixando os trabalhos físicos como cópias, apostilas impressas, transformados em arquivos digitais.O desenvolvimento de novas práticas inovadoras, promovem a diminuição considerável dos recursos físicos, como papéis durante impressão de apostilas e trabalhos acadêmicos, um ponto importantes seriam as Tics, como a Educação à Distância, viabilizando práticas educativas.</w:t>
      </w:r>
    </w:p>
    <w:p>
      <w:pPr>
        <w:spacing w:before="0" w:after="200" w:line="276"/>
        <w:ind w:right="0" w:left="0" w:firstLine="0"/>
        <w:jc w:val="both"/>
        <w:rPr>
          <w:rFonts w:ascii="Arial" w:hAnsi="Arial" w:cs="Arial" w:eastAsia="Arial"/>
          <w:color w:val="2A2A2A"/>
          <w:spacing w:val="0"/>
          <w:position w:val="0"/>
          <w:sz w:val="36"/>
          <w:shd w:fill="auto" w:val="clear"/>
        </w:rPr>
      </w:pPr>
      <w:r>
        <w:rPr>
          <w:rFonts w:ascii="Arial" w:hAnsi="Arial" w:cs="Arial" w:eastAsia="Arial"/>
          <w:color w:val="2A2A2A"/>
          <w:spacing w:val="0"/>
          <w:position w:val="0"/>
          <w:sz w:val="36"/>
          <w:shd w:fill="auto" w:val="clear"/>
        </w:rPr>
        <w:t xml:space="preserve">De acordo com Pinto(2005), a utilização da tecnologia no dia-a-dia (trabalho, casa e outros) proporciona maior comodidade, porém tem como resultado a geração de resíduos, provocando um graves danos ao meio ambiente.</w:t>
      </w:r>
    </w:p>
    <w:p>
      <w:pPr>
        <w:spacing w:before="0" w:after="200" w:line="276"/>
        <w:ind w:right="0" w:left="0" w:firstLine="0"/>
        <w:jc w:val="both"/>
        <w:rPr>
          <w:rFonts w:ascii="Arial" w:hAnsi="Arial" w:cs="Arial" w:eastAsia="Arial"/>
          <w:color w:val="2A2A2A"/>
          <w:spacing w:val="0"/>
          <w:position w:val="0"/>
          <w:sz w:val="36"/>
          <w:shd w:fill="auto" w:val="clear"/>
        </w:rPr>
      </w:pPr>
      <w:r>
        <w:rPr>
          <w:rFonts w:ascii="Arial" w:hAnsi="Arial" w:cs="Arial" w:eastAsia="Arial"/>
          <w:color w:val="2A2A2A"/>
          <w:spacing w:val="0"/>
          <w:position w:val="0"/>
          <w:sz w:val="36"/>
          <w:shd w:fill="auto" w:val="clear"/>
        </w:rPr>
        <w:t xml:space="preserve">Mansur(2009), conceito de TI Verde usar de forma ambiental os recursos tecnológicos,principalmente em orientara utilização dos recursos visando a sustentabilidade econômica e ambiental.</w:t>
      </w:r>
    </w:p>
    <w:p>
      <w:pPr>
        <w:spacing w:before="0" w:after="200" w:line="276"/>
        <w:ind w:right="0" w:left="0" w:firstLine="0"/>
        <w:jc w:val="both"/>
        <w:rPr>
          <w:rFonts w:ascii="Arial" w:hAnsi="Arial" w:cs="Arial" w:eastAsia="Arial"/>
          <w:color w:val="2A2A2A"/>
          <w:spacing w:val="0"/>
          <w:position w:val="0"/>
          <w:sz w:val="36"/>
          <w:shd w:fill="auto" w:val="clear"/>
        </w:rPr>
      </w:pPr>
    </w:p>
    <w:p>
      <w:pPr>
        <w:spacing w:before="0" w:after="200" w:line="276"/>
        <w:ind w:right="0" w:left="0" w:firstLine="0"/>
        <w:jc w:val="both"/>
        <w:rPr>
          <w:rFonts w:ascii="Arial" w:hAnsi="Arial" w:cs="Arial" w:eastAsia="Arial"/>
          <w:color w:val="auto"/>
          <w:spacing w:val="0"/>
          <w:position w:val="0"/>
          <w:sz w:val="32"/>
          <w:shd w:fill="auto" w:val="clear"/>
        </w:rPr>
      </w:pPr>
    </w:p>
    <w:p>
      <w:pPr>
        <w:spacing w:before="0" w:after="200" w:line="276"/>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both"/>
        <w:rPr>
          <w:rFonts w:ascii="Arial" w:hAnsi="Arial" w:cs="Arial" w:eastAsia="Arial"/>
          <w:color w:val="auto"/>
          <w:spacing w:val="0"/>
          <w:position w:val="0"/>
          <w:sz w:val="32"/>
          <w:shd w:fill="auto" w:val="clear"/>
        </w:rPr>
      </w:pPr>
    </w:p>
    <w:p>
      <w:pPr>
        <w:spacing w:before="0" w:after="200" w:line="276"/>
        <w:ind w:right="0" w:left="0" w:firstLine="0"/>
        <w:jc w:val="both"/>
        <w:rPr>
          <w:rFonts w:ascii="Arial" w:hAnsi="Arial" w:cs="Arial" w:eastAsia="Arial"/>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bradescori.com.br/" Id="docRId1" Type="http://schemas.openxmlformats.org/officeDocument/2006/relationships/hyperlink" /><Relationship TargetMode="External" Target="http://www2.itssolucoes.com.br/virtualizacao" Id="docRId3" Type="http://schemas.openxmlformats.org/officeDocument/2006/relationships/hyperlink" /><Relationship Target="numbering.xml" Id="docRId5" Type="http://schemas.openxmlformats.org/officeDocument/2006/relationships/numbering" /><Relationship TargetMode="External" Target="http://www.vmware.com/" Id="docRId0" Type="http://schemas.openxmlformats.org/officeDocument/2006/relationships/hyperlink" /><Relationship TargetMode="External" Target="http://www.energystar.gov/ia/partners/prod_development/downloads/EPA_Datacenter_Re" Id="docRId2" Type="http://schemas.openxmlformats.org/officeDocument/2006/relationships/hyperlink" /><Relationship TargetMode="External" Target="http://www/" Id="docRId4" Type="http://schemas.openxmlformats.org/officeDocument/2006/relationships/hyperlink" /><Relationship Target="styles.xml" Id="docRId6" Type="http://schemas.openxmlformats.org/officeDocument/2006/relationships/styles" /></Relationships>
</file>