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DIAZEN</w:t>
      </w:r>
    </w:p>
    <w:p>
      <w:r>
        <w:t>DESIGN SYSTEM  •  VERSÃO 1.1  •  MVP 0.1</w:t>
      </w:r>
    </w:p>
    <w:p>
      <w:r>
        <w:t>Direção visual: Dark Premium / Athletic Editorial</w:t>
      </w:r>
    </w:p>
    <w:p>
      <w:r>
        <w:t>Documento de implementação para produto, UX/UI e frontend. 21 de outubro de 2026.</w:t>
      </w:r>
    </w:p>
    <w:p>
      <w:r>
        <w:t>Status: baseline visual derivada das duas referências de Dribbble e do protótipo atualizado do Diazen (12 telas). Os tokens numéricos são especificações iniciais para validação em interface real.</w:t>
      </w:r>
    </w:p>
    <w:p>
      <w:pPr>
        <w:pStyle w:val="Heading1"/>
      </w:pPr>
      <w:r>
        <w:t>1. Princípios de design</w:t>
      </w:r>
    </w:p>
    <w:p>
      <w:pPr>
        <w:pStyle w:val="ListBullet"/>
      </w:pPr>
      <w:r>
        <w:t>Dark mode de alto acabamento: superfícies em camadas, bordas sutis e sombras difusas; evitar preto chapado em todos os elementos.</w:t>
      </w:r>
    </w:p>
    <w:p>
      <w:pPr>
        <w:pStyle w:val="ListBullet"/>
      </w:pPr>
      <w:r>
        <w:t>Hierarquia editorial: números de métricas grandes, títulos curtos, textos de apoio discretos e bastante respiro.</w:t>
      </w:r>
    </w:p>
    <w:p>
      <w:pPr>
        <w:pStyle w:val="ListBullet"/>
      </w:pPr>
      <w:r>
        <w:t>Âmbar como destaque funcional: ações primárias, seleções e progresso; não usar como cor para todo o conteúdo.</w:t>
      </w:r>
    </w:p>
    <w:p>
      <w:pPr>
        <w:pStyle w:val="ListBullet"/>
      </w:pPr>
      <w:r>
        <w:t>Fotografia com tratamento natural, recortes fortes e gradientes de proteção de texto, inspirada nas referências sem copiá-las.</w:t>
      </w:r>
    </w:p>
    <w:p>
      <w:pPr>
        <w:pStyle w:val="ListBullet"/>
      </w:pPr>
      <w:r>
        <w:t>Mobile-first e acessível: interação por toque, legibilidade e feedback de estado acima de decoração.</w:t>
      </w:r>
    </w:p>
    <w:p>
      <w:pPr>
        <w:pStyle w:val="ListBullet"/>
      </w:pPr>
      <w:r>
        <w:t>Navegação centrada no dashboard, conforme decisão funcional 63; a barra inferior mostrada no mockup é apenas exploratória e não faz parte do escopo aprovado.</w:t>
      </w:r>
    </w:p>
    <w:p>
      <w:pPr>
        <w:pStyle w:val="Heading1"/>
      </w:pPr>
      <w:r>
        <w:t>2. Tokens de cores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Token</w:t>
            </w:r>
          </w:p>
        </w:tc>
        <w:tc>
          <w:tcPr>
            <w:tcW w:type="dxa" w:w="3264"/>
          </w:tcPr>
          <w:p>
            <w:r>
              <w:t>Valor</w:t>
            </w:r>
          </w:p>
        </w:tc>
        <w:tc>
          <w:tcPr>
            <w:tcW w:type="dxa" w:w="3264"/>
          </w:tcPr>
          <w:p>
            <w:r>
              <w:t>Aplicação</w:t>
            </w:r>
          </w:p>
        </w:tc>
      </w:tr>
      <w:tr>
        <w:tc>
          <w:tcPr>
            <w:tcW w:type="dxa" w:w="3264"/>
          </w:tcPr>
          <w:p>
            <w:r>
              <w:t>--color-bg</w:t>
            </w:r>
          </w:p>
        </w:tc>
        <w:tc>
          <w:tcPr>
            <w:tcW w:type="dxa" w:w="3264"/>
          </w:tcPr>
          <w:p>
            <w:r>
              <w:t>#0C0E12</w:t>
            </w:r>
          </w:p>
        </w:tc>
        <w:tc>
          <w:tcPr>
            <w:tcW w:type="dxa" w:w="3264"/>
          </w:tcPr>
          <w:p>
            <w:r>
              <w:t>Fundo principal</w:t>
            </w:r>
          </w:p>
        </w:tc>
      </w:tr>
      <w:tr>
        <w:tc>
          <w:tcPr>
            <w:tcW w:type="dxa" w:w="3264"/>
          </w:tcPr>
          <w:p>
            <w:r>
              <w:t>--color-surface</w:t>
            </w:r>
          </w:p>
        </w:tc>
        <w:tc>
          <w:tcPr>
            <w:tcW w:type="dxa" w:w="3264"/>
          </w:tcPr>
          <w:p>
            <w:r>
              <w:t>#191C22</w:t>
            </w:r>
          </w:p>
        </w:tc>
        <w:tc>
          <w:tcPr>
            <w:tcW w:type="dxa" w:w="3264"/>
          </w:tcPr>
          <w:p>
            <w:r>
              <w:t>Cards e painéis</w:t>
            </w:r>
          </w:p>
        </w:tc>
      </w:tr>
      <w:tr>
        <w:tc>
          <w:tcPr>
            <w:tcW w:type="dxa" w:w="3264"/>
          </w:tcPr>
          <w:p>
            <w:r>
              <w:t>--color-surface-raised</w:t>
            </w:r>
          </w:p>
        </w:tc>
        <w:tc>
          <w:tcPr>
            <w:tcW w:type="dxa" w:w="3264"/>
          </w:tcPr>
          <w:p>
            <w:r>
              <w:t>#252A32</w:t>
            </w:r>
          </w:p>
        </w:tc>
        <w:tc>
          <w:tcPr>
            <w:tcW w:type="dxa" w:w="3264"/>
          </w:tcPr>
          <w:p>
            <w:r>
              <w:t>Controles elevados / hover</w:t>
            </w:r>
          </w:p>
        </w:tc>
      </w:tr>
      <w:tr>
        <w:tc>
          <w:tcPr>
            <w:tcW w:type="dxa" w:w="3264"/>
          </w:tcPr>
          <w:p>
            <w:r>
              <w:t>--color-surface-sunken</w:t>
            </w:r>
          </w:p>
        </w:tc>
        <w:tc>
          <w:tcPr>
            <w:tcW w:type="dxa" w:w="3264"/>
          </w:tcPr>
          <w:p>
            <w:r>
              <w:t>#13161B</w:t>
            </w:r>
          </w:p>
        </w:tc>
        <w:tc>
          <w:tcPr>
            <w:tcW w:type="dxa" w:w="3264"/>
          </w:tcPr>
          <w:p>
            <w:r>
              <w:t>Inputs e áreas internas</w:t>
            </w:r>
          </w:p>
        </w:tc>
      </w:tr>
      <w:tr>
        <w:tc>
          <w:tcPr>
            <w:tcW w:type="dxa" w:w="3264"/>
          </w:tcPr>
          <w:p>
            <w:r>
              <w:t>--color-border</w:t>
            </w:r>
          </w:p>
        </w:tc>
        <w:tc>
          <w:tcPr>
            <w:tcW w:type="dxa" w:w="3264"/>
          </w:tcPr>
          <w:p>
            <w:r>
              <w:t>#30343B</w:t>
            </w:r>
          </w:p>
        </w:tc>
        <w:tc>
          <w:tcPr>
            <w:tcW w:type="dxa" w:w="3264"/>
          </w:tcPr>
          <w:p>
            <w:r>
              <w:t>Bordas padrão, 1 px</w:t>
            </w:r>
          </w:p>
        </w:tc>
      </w:tr>
      <w:tr>
        <w:tc>
          <w:tcPr>
            <w:tcW w:type="dxa" w:w="3264"/>
          </w:tcPr>
          <w:p>
            <w:r>
              <w:t>--color-border-strong</w:t>
            </w:r>
          </w:p>
        </w:tc>
        <w:tc>
          <w:tcPr>
            <w:tcW w:type="dxa" w:w="3264"/>
          </w:tcPr>
          <w:p>
            <w:r>
              <w:t>#414751</w:t>
            </w:r>
          </w:p>
        </w:tc>
        <w:tc>
          <w:tcPr>
            <w:tcW w:type="dxa" w:w="3264"/>
          </w:tcPr>
          <w:p>
            <w:r>
              <w:t>Foco neutro / separadores fortes</w:t>
            </w:r>
          </w:p>
        </w:tc>
      </w:tr>
      <w:tr>
        <w:tc>
          <w:tcPr>
            <w:tcW w:type="dxa" w:w="3264"/>
          </w:tcPr>
          <w:p>
            <w:r>
              <w:t>--color-text</w:t>
            </w:r>
          </w:p>
        </w:tc>
        <w:tc>
          <w:tcPr>
            <w:tcW w:type="dxa" w:w="3264"/>
          </w:tcPr>
          <w:p>
            <w:r>
              <w:t>#F5F6F8</w:t>
            </w:r>
          </w:p>
        </w:tc>
        <w:tc>
          <w:tcPr>
            <w:tcW w:type="dxa" w:w="3264"/>
          </w:tcPr>
          <w:p>
            <w:r>
              <w:t>Texto principal</w:t>
            </w:r>
          </w:p>
        </w:tc>
      </w:tr>
      <w:tr>
        <w:tc>
          <w:tcPr>
            <w:tcW w:type="dxa" w:w="3264"/>
          </w:tcPr>
          <w:p>
            <w:r>
              <w:t>--color-text-muted</w:t>
            </w:r>
          </w:p>
        </w:tc>
        <w:tc>
          <w:tcPr>
            <w:tcW w:type="dxa" w:w="3264"/>
          </w:tcPr>
          <w:p>
            <w:r>
              <w:t>#A0A6B1</w:t>
            </w:r>
          </w:p>
        </w:tc>
        <w:tc>
          <w:tcPr>
            <w:tcW w:type="dxa" w:w="3264"/>
          </w:tcPr>
          <w:p>
            <w:r>
              <w:t>Texto secundário</w:t>
            </w:r>
          </w:p>
        </w:tc>
      </w:tr>
      <w:tr>
        <w:tc>
          <w:tcPr>
            <w:tcW w:type="dxa" w:w="3264"/>
          </w:tcPr>
          <w:p>
            <w:r>
              <w:t>--color-text-subtle</w:t>
            </w:r>
          </w:p>
        </w:tc>
        <w:tc>
          <w:tcPr>
            <w:tcW w:type="dxa" w:w="3264"/>
          </w:tcPr>
          <w:p>
            <w:r>
              <w:t>#777E8A</w:t>
            </w:r>
          </w:p>
        </w:tc>
        <w:tc>
          <w:tcPr>
            <w:tcW w:type="dxa" w:w="3264"/>
          </w:tcPr>
          <w:p>
            <w:r>
              <w:t>Metadados</w:t>
            </w:r>
          </w:p>
        </w:tc>
      </w:tr>
      <w:tr>
        <w:tc>
          <w:tcPr>
            <w:tcW w:type="dxa" w:w="3264"/>
          </w:tcPr>
          <w:p>
            <w:r>
              <w:t>--color-accent</w:t>
            </w:r>
          </w:p>
        </w:tc>
        <w:tc>
          <w:tcPr>
            <w:tcW w:type="dxa" w:w="3264"/>
          </w:tcPr>
          <w:p>
            <w:r>
              <w:t>#FF9F24</w:t>
            </w:r>
          </w:p>
        </w:tc>
        <w:tc>
          <w:tcPr>
            <w:tcW w:type="dxa" w:w="3264"/>
          </w:tcPr>
          <w:p>
            <w:r>
              <w:t>CTA e progresso</w:t>
            </w:r>
          </w:p>
        </w:tc>
      </w:tr>
      <w:tr>
        <w:tc>
          <w:tcPr>
            <w:tcW w:type="dxa" w:w="3264"/>
          </w:tcPr>
          <w:p>
            <w:r>
              <w:t>--color-accent-hover</w:t>
            </w:r>
          </w:p>
        </w:tc>
        <w:tc>
          <w:tcPr>
            <w:tcW w:type="dxa" w:w="3264"/>
          </w:tcPr>
          <w:p>
            <w:r>
              <w:t>#FFB14A</w:t>
            </w:r>
          </w:p>
        </w:tc>
        <w:tc>
          <w:tcPr>
            <w:tcW w:type="dxa" w:w="3264"/>
          </w:tcPr>
          <w:p>
            <w:r>
              <w:t>Hover de CTA</w:t>
            </w:r>
          </w:p>
        </w:tc>
      </w:tr>
      <w:tr>
        <w:tc>
          <w:tcPr>
            <w:tcW w:type="dxa" w:w="3264"/>
          </w:tcPr>
          <w:p>
            <w:r>
              <w:t>--color-accent-pressed</w:t>
            </w:r>
          </w:p>
        </w:tc>
        <w:tc>
          <w:tcPr>
            <w:tcW w:type="dxa" w:w="3264"/>
          </w:tcPr>
          <w:p>
            <w:r>
              <w:t>#E8890E</w:t>
            </w:r>
          </w:p>
        </w:tc>
        <w:tc>
          <w:tcPr>
            <w:tcW w:type="dxa" w:w="3264"/>
          </w:tcPr>
          <w:p>
            <w:r>
              <w:t>Pressed de CTA</w:t>
            </w:r>
          </w:p>
        </w:tc>
      </w:tr>
      <w:tr>
        <w:tc>
          <w:tcPr>
            <w:tcW w:type="dxa" w:w="3264"/>
          </w:tcPr>
          <w:p>
            <w:r>
              <w:t>--color-accent-soft</w:t>
            </w:r>
          </w:p>
        </w:tc>
        <w:tc>
          <w:tcPr>
            <w:tcW w:type="dxa" w:w="3264"/>
          </w:tcPr>
          <w:p>
            <w:r>
              <w:t>#302514</w:t>
            </w:r>
          </w:p>
        </w:tc>
        <w:tc>
          <w:tcPr>
            <w:tcW w:type="dxa" w:w="3264"/>
          </w:tcPr>
          <w:p>
            <w:r>
              <w:t>Fundo de ícones destacados</w:t>
            </w:r>
          </w:p>
        </w:tc>
      </w:tr>
      <w:tr>
        <w:tc>
          <w:tcPr>
            <w:tcW w:type="dxa" w:w="3264"/>
          </w:tcPr>
          <w:p>
            <w:r>
              <w:t>--color-success</w:t>
            </w:r>
          </w:p>
        </w:tc>
        <w:tc>
          <w:tcPr>
            <w:tcW w:type="dxa" w:w="3264"/>
          </w:tcPr>
          <w:p>
            <w:r>
              <w:t>#4FD18B</w:t>
            </w:r>
          </w:p>
        </w:tc>
        <w:tc>
          <w:tcPr>
            <w:tcW w:type="dxa" w:w="3264"/>
          </w:tcPr>
          <w:p>
            <w:r>
              <w:t>Estado positivo</w:t>
            </w:r>
          </w:p>
        </w:tc>
      </w:tr>
      <w:tr>
        <w:tc>
          <w:tcPr>
            <w:tcW w:type="dxa" w:w="3264"/>
          </w:tcPr>
          <w:p>
            <w:r>
              <w:t>--color-warning</w:t>
            </w:r>
          </w:p>
        </w:tc>
        <w:tc>
          <w:tcPr>
            <w:tcW w:type="dxa" w:w="3264"/>
          </w:tcPr>
          <w:p>
            <w:r>
              <w:t>#F5B942</w:t>
            </w:r>
          </w:p>
        </w:tc>
        <w:tc>
          <w:tcPr>
            <w:tcW w:type="dxa" w:w="3264"/>
          </w:tcPr>
          <w:p>
            <w:r>
              <w:t>Atenção</w:t>
            </w:r>
          </w:p>
        </w:tc>
      </w:tr>
      <w:tr>
        <w:tc>
          <w:tcPr>
            <w:tcW w:type="dxa" w:w="3264"/>
          </w:tcPr>
          <w:p>
            <w:r>
              <w:t>--color-danger</w:t>
            </w:r>
          </w:p>
        </w:tc>
        <w:tc>
          <w:tcPr>
            <w:tcW w:type="dxa" w:w="3264"/>
          </w:tcPr>
          <w:p>
            <w:r>
              <w:t>#FF646D</w:t>
            </w:r>
          </w:p>
        </w:tc>
        <w:tc>
          <w:tcPr>
            <w:tcW w:type="dxa" w:w="3264"/>
          </w:tcPr>
          <w:p>
            <w:r>
              <w:t>Erro e exclusão</w:t>
            </w:r>
          </w:p>
        </w:tc>
      </w:tr>
    </w:tbl>
    <w:p/>
    <w:p>
      <w:r>
        <w:t>Regra: estados de sucesso, erro e alerta nunca devem depender apenas da cor; usar texto e/ou ícone. Validar contraste WCAG AA no frontend.</w:t>
      </w:r>
    </w:p>
    <w:p>
      <w:pPr>
        <w:pStyle w:val="Heading1"/>
      </w:pPr>
      <w:r>
        <w:t>3. Tipografia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Token</w:t>
            </w:r>
          </w:p>
        </w:tc>
        <w:tc>
          <w:tcPr>
            <w:tcW w:type="dxa" w:w="3264"/>
          </w:tcPr>
          <w:p>
            <w:r>
              <w:t>Fonte / peso</w:t>
            </w:r>
          </w:p>
        </w:tc>
        <w:tc>
          <w:tcPr>
            <w:tcW w:type="dxa" w:w="3264"/>
          </w:tcPr>
          <w:p>
            <w:r>
              <w:t>Tamanho / linha</w:t>
            </w:r>
          </w:p>
        </w:tc>
      </w:tr>
      <w:tr>
        <w:tc>
          <w:tcPr>
            <w:tcW w:type="dxa" w:w="3264"/>
          </w:tcPr>
          <w:p>
            <w:r>
              <w:t>display</w:t>
            </w:r>
          </w:p>
        </w:tc>
        <w:tc>
          <w:tcPr>
            <w:tcW w:type="dxa" w:w="3264"/>
          </w:tcPr>
          <w:p>
            <w:r>
              <w:t>Inter ou Manrope / 800</w:t>
            </w:r>
          </w:p>
        </w:tc>
        <w:tc>
          <w:tcPr>
            <w:tcW w:type="dxa" w:w="3264"/>
          </w:tcPr>
          <w:p>
            <w:r>
              <w:t>36 / 42 px</w:t>
            </w:r>
          </w:p>
        </w:tc>
      </w:tr>
      <w:tr>
        <w:tc>
          <w:tcPr>
            <w:tcW w:type="dxa" w:w="3264"/>
          </w:tcPr>
          <w:p>
            <w:r>
              <w:t>heading-xl</w:t>
            </w:r>
          </w:p>
        </w:tc>
        <w:tc>
          <w:tcPr>
            <w:tcW w:type="dxa" w:w="3264"/>
          </w:tcPr>
          <w:p>
            <w:r>
              <w:t>Inter ou Manrope / 750</w:t>
            </w:r>
          </w:p>
        </w:tc>
        <w:tc>
          <w:tcPr>
            <w:tcW w:type="dxa" w:w="3264"/>
          </w:tcPr>
          <w:p>
            <w:r>
              <w:t>28 / 34 px</w:t>
            </w:r>
          </w:p>
        </w:tc>
      </w:tr>
      <w:tr>
        <w:tc>
          <w:tcPr>
            <w:tcW w:type="dxa" w:w="3264"/>
          </w:tcPr>
          <w:p>
            <w:r>
              <w:t>heading-lg</w:t>
            </w:r>
          </w:p>
        </w:tc>
        <w:tc>
          <w:tcPr>
            <w:tcW w:type="dxa" w:w="3264"/>
          </w:tcPr>
          <w:p>
            <w:r>
              <w:t>Inter ou Manrope / 700</w:t>
            </w:r>
          </w:p>
        </w:tc>
        <w:tc>
          <w:tcPr>
            <w:tcW w:type="dxa" w:w="3264"/>
          </w:tcPr>
          <w:p>
            <w:r>
              <w:t>22 / 28 px</w:t>
            </w:r>
          </w:p>
        </w:tc>
      </w:tr>
      <w:tr>
        <w:tc>
          <w:tcPr>
            <w:tcW w:type="dxa" w:w="3264"/>
          </w:tcPr>
          <w:p>
            <w:r>
              <w:t>heading-md</w:t>
            </w:r>
          </w:p>
        </w:tc>
        <w:tc>
          <w:tcPr>
            <w:tcW w:type="dxa" w:w="3264"/>
          </w:tcPr>
          <w:p>
            <w:r>
              <w:t>Inter ou Manrope / 650</w:t>
            </w:r>
          </w:p>
        </w:tc>
        <w:tc>
          <w:tcPr>
            <w:tcW w:type="dxa" w:w="3264"/>
          </w:tcPr>
          <w:p>
            <w:r>
              <w:t>18 / 24 px</w:t>
            </w:r>
          </w:p>
        </w:tc>
      </w:tr>
      <w:tr>
        <w:tc>
          <w:tcPr>
            <w:tcW w:type="dxa" w:w="3264"/>
          </w:tcPr>
          <w:p>
            <w:r>
              <w:t>body</w:t>
            </w:r>
          </w:p>
        </w:tc>
        <w:tc>
          <w:tcPr>
            <w:tcW w:type="dxa" w:w="3264"/>
          </w:tcPr>
          <w:p>
            <w:r>
              <w:t>Inter / 400</w:t>
            </w:r>
          </w:p>
        </w:tc>
        <w:tc>
          <w:tcPr>
            <w:tcW w:type="dxa" w:w="3264"/>
          </w:tcPr>
          <w:p>
            <w:r>
              <w:t>14 / 21 px</w:t>
            </w:r>
          </w:p>
        </w:tc>
      </w:tr>
      <w:tr>
        <w:tc>
          <w:tcPr>
            <w:tcW w:type="dxa" w:w="3264"/>
          </w:tcPr>
          <w:p>
            <w:r>
              <w:t>body-strong</w:t>
            </w:r>
          </w:p>
        </w:tc>
        <w:tc>
          <w:tcPr>
            <w:tcW w:type="dxa" w:w="3264"/>
          </w:tcPr>
          <w:p>
            <w:r>
              <w:t>Inter / 600</w:t>
            </w:r>
          </w:p>
        </w:tc>
        <w:tc>
          <w:tcPr>
            <w:tcW w:type="dxa" w:w="3264"/>
          </w:tcPr>
          <w:p>
            <w:r>
              <w:t>14 / 21 px</w:t>
            </w:r>
          </w:p>
        </w:tc>
      </w:tr>
      <w:tr>
        <w:tc>
          <w:tcPr>
            <w:tcW w:type="dxa" w:w="3264"/>
          </w:tcPr>
          <w:p>
            <w:r>
              <w:t>caption</w:t>
            </w:r>
          </w:p>
        </w:tc>
        <w:tc>
          <w:tcPr>
            <w:tcW w:type="dxa" w:w="3264"/>
          </w:tcPr>
          <w:p>
            <w:r>
              <w:t>Inter / 450</w:t>
            </w:r>
          </w:p>
        </w:tc>
        <w:tc>
          <w:tcPr>
            <w:tcW w:type="dxa" w:w="3264"/>
          </w:tcPr>
          <w:p>
            <w:r>
              <w:t>12 / 17 px</w:t>
            </w:r>
          </w:p>
        </w:tc>
      </w:tr>
      <w:tr>
        <w:tc>
          <w:tcPr>
            <w:tcW w:type="dxa" w:w="3264"/>
          </w:tcPr>
          <w:p>
            <w:r>
              <w:t>micro-label</w:t>
            </w:r>
          </w:p>
        </w:tc>
        <w:tc>
          <w:tcPr>
            <w:tcW w:type="dxa" w:w="3264"/>
          </w:tcPr>
          <w:p>
            <w:r>
              <w:t>Inter / 650, tracking .08em</w:t>
            </w:r>
          </w:p>
        </w:tc>
        <w:tc>
          <w:tcPr>
            <w:tcW w:type="dxa" w:w="3264"/>
          </w:tcPr>
          <w:p>
            <w:r>
              <w:t>10 / 14 px</w:t>
            </w:r>
          </w:p>
        </w:tc>
      </w:tr>
      <w:tr>
        <w:tc>
          <w:tcPr>
            <w:tcW w:type="dxa" w:w="3264"/>
          </w:tcPr>
          <w:p>
            <w:r>
              <w:t>metric</w:t>
            </w:r>
          </w:p>
        </w:tc>
        <w:tc>
          <w:tcPr>
            <w:tcW w:type="dxa" w:w="3264"/>
          </w:tcPr>
          <w:p>
            <w:r>
              <w:t>Inter / 750, tabular numbers</w:t>
            </w:r>
          </w:p>
        </w:tc>
        <w:tc>
          <w:tcPr>
            <w:tcW w:type="dxa" w:w="3264"/>
          </w:tcPr>
          <w:p>
            <w:r>
              <w:t>26–34 / 32–40 px</w:t>
            </w:r>
          </w:p>
        </w:tc>
      </w:tr>
    </w:tbl>
    <w:p/>
    <w:p>
      <w:r>
        <w:t>Preferir fontes locais/autohospedadas quando apropriado; definir fallback system-ui. Não depender de fontes da imagem de referência.</w:t>
      </w:r>
    </w:p>
    <w:p>
      <w:pPr>
        <w:pStyle w:val="Heading1"/>
      </w:pPr>
      <w:r>
        <w:t>4. Espaçamento, grid e dimensões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Token</w:t>
            </w:r>
          </w:p>
        </w:tc>
        <w:tc>
          <w:tcPr>
            <w:tcW w:type="dxa" w:w="3264"/>
          </w:tcPr>
          <w:p>
            <w:r>
              <w:t>Valor</w:t>
            </w:r>
          </w:p>
        </w:tc>
        <w:tc>
          <w:tcPr>
            <w:tcW w:type="dxa" w:w="3264"/>
          </w:tcPr>
          <w:p>
            <w:r>
              <w:t>Uso</w:t>
            </w:r>
          </w:p>
        </w:tc>
      </w:tr>
      <w:tr>
        <w:tc>
          <w:tcPr>
            <w:tcW w:type="dxa" w:w="3264"/>
          </w:tcPr>
          <w:p>
            <w:r>
              <w:t>space-1/2/3</w:t>
            </w:r>
          </w:p>
        </w:tc>
        <w:tc>
          <w:tcPr>
            <w:tcW w:type="dxa" w:w="3264"/>
          </w:tcPr>
          <w:p>
            <w:r>
              <w:t>4 / 8 / 12 px</w:t>
            </w:r>
          </w:p>
        </w:tc>
        <w:tc>
          <w:tcPr>
            <w:tcW w:type="dxa" w:w="3264"/>
          </w:tcPr>
          <w:p>
            <w:r>
              <w:t>Ícones, microespaços</w:t>
            </w:r>
          </w:p>
        </w:tc>
      </w:tr>
      <w:tr>
        <w:tc>
          <w:tcPr>
            <w:tcW w:type="dxa" w:w="3264"/>
          </w:tcPr>
          <w:p>
            <w:r>
              <w:t>space-4/5/6</w:t>
            </w:r>
          </w:p>
        </w:tc>
        <w:tc>
          <w:tcPr>
            <w:tcW w:type="dxa" w:w="3264"/>
          </w:tcPr>
          <w:p>
            <w:r>
              <w:t>16 / 20 / 24 px</w:t>
            </w:r>
          </w:p>
        </w:tc>
        <w:tc>
          <w:tcPr>
            <w:tcW w:type="dxa" w:w="3264"/>
          </w:tcPr>
          <w:p>
            <w:r>
              <w:t>Padding de componentes e cards</w:t>
            </w:r>
          </w:p>
        </w:tc>
      </w:tr>
      <w:tr>
        <w:tc>
          <w:tcPr>
            <w:tcW w:type="dxa" w:w="3264"/>
          </w:tcPr>
          <w:p>
            <w:r>
              <w:t>space-8/10</w:t>
            </w:r>
          </w:p>
        </w:tc>
        <w:tc>
          <w:tcPr>
            <w:tcW w:type="dxa" w:w="3264"/>
          </w:tcPr>
          <w:p>
            <w:r>
              <w:t>32 / 40 px</w:t>
            </w:r>
          </w:p>
        </w:tc>
        <w:tc>
          <w:tcPr>
            <w:tcW w:type="dxa" w:w="3264"/>
          </w:tcPr>
          <w:p>
            <w:r>
              <w:t>Separação de seções</w:t>
            </w:r>
          </w:p>
        </w:tc>
      </w:tr>
      <w:tr>
        <w:tc>
          <w:tcPr>
            <w:tcW w:type="dxa" w:w="3264"/>
          </w:tcPr>
          <w:p>
            <w:r>
              <w:t>radius-sm/md</w:t>
            </w:r>
          </w:p>
        </w:tc>
        <w:tc>
          <w:tcPr>
            <w:tcW w:type="dxa" w:w="3264"/>
          </w:tcPr>
          <w:p>
            <w:r>
              <w:t>10 / 14 px</w:t>
            </w:r>
          </w:p>
        </w:tc>
        <w:tc>
          <w:tcPr>
            <w:tcW w:type="dxa" w:w="3264"/>
          </w:tcPr>
          <w:p>
            <w:r>
              <w:t>Chips, campos</w:t>
            </w:r>
          </w:p>
        </w:tc>
      </w:tr>
      <w:tr>
        <w:tc>
          <w:tcPr>
            <w:tcW w:type="dxa" w:w="3264"/>
          </w:tcPr>
          <w:p>
            <w:r>
              <w:t>radius-lg/xl</w:t>
            </w:r>
          </w:p>
        </w:tc>
        <w:tc>
          <w:tcPr>
            <w:tcW w:type="dxa" w:w="3264"/>
          </w:tcPr>
          <w:p>
            <w:r>
              <w:t>18 / 22 px</w:t>
            </w:r>
          </w:p>
        </w:tc>
        <w:tc>
          <w:tcPr>
            <w:tcW w:type="dxa" w:w="3264"/>
          </w:tcPr>
          <w:p>
            <w:r>
              <w:t>Cards e painéis</w:t>
            </w:r>
          </w:p>
        </w:tc>
      </w:tr>
      <w:tr>
        <w:tc>
          <w:tcPr>
            <w:tcW w:type="dxa" w:w="3264"/>
          </w:tcPr>
          <w:p>
            <w:r>
              <w:t>radius-2xl</w:t>
            </w:r>
          </w:p>
        </w:tc>
        <w:tc>
          <w:tcPr>
            <w:tcW w:type="dxa" w:w="3264"/>
          </w:tcPr>
          <w:p>
            <w:r>
              <w:t>28 px</w:t>
            </w:r>
          </w:p>
        </w:tc>
        <w:tc>
          <w:tcPr>
            <w:tcW w:type="dxa" w:w="3264"/>
          </w:tcPr>
          <w:p>
            <w:r>
              <w:t>Hero cards e modais</w:t>
            </w:r>
          </w:p>
        </w:tc>
      </w:tr>
      <w:tr>
        <w:tc>
          <w:tcPr>
            <w:tcW w:type="dxa" w:w="3264"/>
          </w:tcPr>
          <w:p>
            <w:r>
              <w:t>radius-pill</w:t>
            </w:r>
          </w:p>
        </w:tc>
        <w:tc>
          <w:tcPr>
            <w:tcW w:type="dxa" w:w="3264"/>
          </w:tcPr>
          <w:p>
            <w:r>
              <w:t>999 px</w:t>
            </w:r>
          </w:p>
        </w:tc>
        <w:tc>
          <w:tcPr>
            <w:tcW w:type="dxa" w:w="3264"/>
          </w:tcPr>
          <w:p>
            <w:r>
              <w:t>Badges e botões pílula</w:t>
            </w:r>
          </w:p>
        </w:tc>
      </w:tr>
      <w:tr>
        <w:tc>
          <w:tcPr>
            <w:tcW w:type="dxa" w:w="3264"/>
          </w:tcPr>
          <w:p>
            <w:r>
              <w:t>control-height</w:t>
            </w:r>
          </w:p>
        </w:tc>
        <w:tc>
          <w:tcPr>
            <w:tcW w:type="dxa" w:w="3264"/>
          </w:tcPr>
          <w:p>
            <w:r>
              <w:t>48 px mínimo</w:t>
            </w:r>
          </w:p>
        </w:tc>
        <w:tc>
          <w:tcPr>
            <w:tcW w:type="dxa" w:w="3264"/>
          </w:tcPr>
          <w:p>
            <w:r>
              <w:t>Inputs e botões principais</w:t>
            </w:r>
          </w:p>
        </w:tc>
      </w:tr>
      <w:tr>
        <w:tc>
          <w:tcPr>
            <w:tcW w:type="dxa" w:w="3264"/>
          </w:tcPr>
          <w:p>
            <w:r>
              <w:t>tap-target</w:t>
            </w:r>
          </w:p>
        </w:tc>
        <w:tc>
          <w:tcPr>
            <w:tcW w:type="dxa" w:w="3264"/>
          </w:tcPr>
          <w:p>
            <w:r>
              <w:t>44 × 44 px mínimo</w:t>
            </w:r>
          </w:p>
        </w:tc>
        <w:tc>
          <w:tcPr>
            <w:tcW w:type="dxa" w:w="3264"/>
          </w:tcPr>
          <w:p>
            <w:r>
              <w:t>Áreas clicáveis</w:t>
            </w:r>
          </w:p>
        </w:tc>
      </w:tr>
      <w:tr>
        <w:tc>
          <w:tcPr>
            <w:tcW w:type="dxa" w:w="3264"/>
          </w:tcPr>
          <w:p>
            <w:r>
              <w:t>mobile-gutter</w:t>
            </w:r>
          </w:p>
        </w:tc>
        <w:tc>
          <w:tcPr>
            <w:tcW w:type="dxa" w:w="3264"/>
          </w:tcPr>
          <w:p>
            <w:r>
              <w:t>16 px</w:t>
            </w:r>
          </w:p>
        </w:tc>
        <w:tc>
          <w:tcPr>
            <w:tcW w:type="dxa" w:w="3264"/>
          </w:tcPr>
          <w:p>
            <w:r>
              <w:t>Margens laterais até 430 px</w:t>
            </w:r>
          </w:p>
        </w:tc>
      </w:tr>
      <w:tr>
        <w:tc>
          <w:tcPr>
            <w:tcW w:type="dxa" w:w="3264"/>
          </w:tcPr>
          <w:p>
            <w:r>
              <w:t>content-max</w:t>
            </w:r>
          </w:p>
        </w:tc>
        <w:tc>
          <w:tcPr>
            <w:tcW w:type="dxa" w:w="3264"/>
          </w:tcPr>
          <w:p>
            <w:r>
              <w:t>1120 px</w:t>
            </w:r>
          </w:p>
        </w:tc>
        <w:tc>
          <w:tcPr>
            <w:tcW w:type="dxa" w:w="3264"/>
          </w:tcPr>
          <w:p>
            <w:r>
              <w:t>Limite para desktop</w:t>
            </w:r>
          </w:p>
        </w:tc>
      </w:tr>
    </w:tbl>
    <w:p/>
    <w:p>
      <w:r>
        <w:t>Grid mobile: 2 colunas para métricas, 1 coluna para formulários e listas. Em telas estreitas, métricas podem passar para 1 coluna quando necessário.</w:t>
      </w:r>
    </w:p>
    <w:p>
      <w:pPr>
        <w:pStyle w:val="Heading1"/>
      </w:pPr>
      <w:r>
        <w:t>5. Bordas, sombras e elevação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Token</w:t>
            </w:r>
          </w:p>
        </w:tc>
        <w:tc>
          <w:tcPr>
            <w:tcW w:type="dxa" w:w="3264"/>
          </w:tcPr>
          <w:p>
            <w:r>
              <w:t>CSS</w:t>
            </w:r>
          </w:p>
        </w:tc>
        <w:tc>
          <w:tcPr>
            <w:tcW w:type="dxa" w:w="3264"/>
          </w:tcPr>
          <w:p>
            <w:r>
              <w:t>Aplicação</w:t>
            </w:r>
          </w:p>
        </w:tc>
      </w:tr>
      <w:tr>
        <w:tc>
          <w:tcPr>
            <w:tcW w:type="dxa" w:w="3264"/>
          </w:tcPr>
          <w:p>
            <w:r>
              <w:t>border-default</w:t>
            </w:r>
          </w:p>
        </w:tc>
        <w:tc>
          <w:tcPr>
            <w:tcW w:type="dxa" w:w="3264"/>
          </w:tcPr>
          <w:p>
            <w:r>
              <w:t>1px solid #30343B</w:t>
            </w:r>
          </w:p>
        </w:tc>
        <w:tc>
          <w:tcPr>
            <w:tcW w:type="dxa" w:w="3264"/>
          </w:tcPr>
          <w:p>
            <w:r>
              <w:t>Cards, inputs, divisórias</w:t>
            </w:r>
          </w:p>
        </w:tc>
      </w:tr>
      <w:tr>
        <w:tc>
          <w:tcPr>
            <w:tcW w:type="dxa" w:w="3264"/>
          </w:tcPr>
          <w:p>
            <w:r>
              <w:t>border-focus</w:t>
            </w:r>
          </w:p>
        </w:tc>
        <w:tc>
          <w:tcPr>
            <w:tcW w:type="dxa" w:w="3264"/>
          </w:tcPr>
          <w:p>
            <w:r>
              <w:t>2px solid #FF9F24</w:t>
            </w:r>
          </w:p>
        </w:tc>
        <w:tc>
          <w:tcPr>
            <w:tcW w:type="dxa" w:w="3264"/>
          </w:tcPr>
          <w:p>
            <w:r>
              <w:t>Foco visível de teclado</w:t>
            </w:r>
          </w:p>
        </w:tc>
      </w:tr>
      <w:tr>
        <w:tc>
          <w:tcPr>
            <w:tcW w:type="dxa" w:w="3264"/>
          </w:tcPr>
          <w:p>
            <w:r>
              <w:t>shadow-card</w:t>
            </w:r>
          </w:p>
        </w:tc>
        <w:tc>
          <w:tcPr>
            <w:tcW w:type="dxa" w:w="3264"/>
          </w:tcPr>
          <w:p>
            <w:r>
              <w:t>0 8px 24px rgba(0,0,0,.22), 0 2px 6px rgba(0,0,0,.12)</w:t>
            </w:r>
          </w:p>
        </w:tc>
        <w:tc>
          <w:tcPr>
            <w:tcW w:type="dxa" w:w="3264"/>
          </w:tcPr>
          <w:p>
            <w:r>
              <w:t>Cards de métricas</w:t>
            </w:r>
          </w:p>
        </w:tc>
      </w:tr>
      <w:tr>
        <w:tc>
          <w:tcPr>
            <w:tcW w:type="dxa" w:w="3264"/>
          </w:tcPr>
          <w:p>
            <w:r>
              <w:t>shadow-floating</w:t>
            </w:r>
          </w:p>
        </w:tc>
        <w:tc>
          <w:tcPr>
            <w:tcW w:type="dxa" w:w="3264"/>
          </w:tcPr>
          <w:p>
            <w:r>
              <w:t>0 16px 40px rgba(0,0,0,.38), 0 4px 12px rgba(0,0,0,.18)</w:t>
            </w:r>
          </w:p>
        </w:tc>
        <w:tc>
          <w:tcPr>
            <w:tcW w:type="dxa" w:w="3264"/>
          </w:tcPr>
          <w:p>
            <w:r>
              <w:t>Menus, modais, sheets</w:t>
            </w:r>
          </w:p>
        </w:tc>
      </w:tr>
      <w:tr>
        <w:tc>
          <w:tcPr>
            <w:tcW w:type="dxa" w:w="3264"/>
          </w:tcPr>
          <w:p>
            <w:r>
              <w:t>shadow-accent</w:t>
            </w:r>
          </w:p>
        </w:tc>
        <w:tc>
          <w:tcPr>
            <w:tcW w:type="dxa" w:w="3264"/>
          </w:tcPr>
          <w:p>
            <w:r>
              <w:t>0 6px 18px rgba(255,159,36,.16)</w:t>
            </w:r>
          </w:p>
        </w:tc>
        <w:tc>
          <w:tcPr>
            <w:tcW w:type="dxa" w:w="3264"/>
          </w:tcPr>
          <w:p>
            <w:r>
              <w:t>CTA destacado, uso pontual</w:t>
            </w:r>
          </w:p>
        </w:tc>
      </w:tr>
      <w:tr>
        <w:tc>
          <w:tcPr>
            <w:tcW w:type="dxa" w:w="3264"/>
          </w:tcPr>
          <w:p>
            <w:r>
              <w:t>inset-highlight</w:t>
            </w:r>
          </w:p>
        </w:tc>
        <w:tc>
          <w:tcPr>
            <w:tcW w:type="dxa" w:w="3264"/>
          </w:tcPr>
          <w:p>
            <w:r>
              <w:t>inset 0 1px 0 rgba(255,255,255,.035)</w:t>
            </w:r>
          </w:p>
        </w:tc>
        <w:tc>
          <w:tcPr>
            <w:tcW w:type="dxa" w:w="3264"/>
          </w:tcPr>
          <w:p>
            <w:r>
              <w:t>Profundidade discreta</w:t>
            </w:r>
          </w:p>
        </w:tc>
      </w:tr>
    </w:tbl>
    <w:p/>
    <w:p>
      <w:r>
        <w:t>Sombras são discretas em dark mode: o contraste entre superfícies e bordas faz a maior parte do trabalho. Evitar glow contínuo em todos os cartões.</w:t>
      </w:r>
    </w:p>
    <w:p>
      <w:pPr>
        <w:pStyle w:val="Heading1"/>
      </w:pPr>
      <w:r>
        <w:t>6. Componentes essenciais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Componente</w:t>
            </w:r>
          </w:p>
        </w:tc>
        <w:tc>
          <w:tcPr>
            <w:tcW w:type="dxa" w:w="4896"/>
          </w:tcPr>
          <w:p>
            <w:r>
              <w:t>Especificação visual e de interação</w:t>
            </w:r>
          </w:p>
        </w:tc>
      </w:tr>
      <w:tr>
        <w:tc>
          <w:tcPr>
            <w:tcW w:type="dxa" w:w="4896"/>
          </w:tcPr>
          <w:p>
            <w:r>
              <w:t>Card padrão</w:t>
            </w:r>
          </w:p>
        </w:tc>
        <w:tc>
          <w:tcPr>
            <w:tcW w:type="dxa" w:w="4896"/>
          </w:tcPr>
          <w:p>
            <w:r>
              <w:t>Surface #191C22; border 1px; radius 22px; padding 16–20px; shadow-card; título, métrica e metadado.</w:t>
            </w:r>
          </w:p>
        </w:tc>
      </w:tr>
      <w:tr>
        <w:tc>
          <w:tcPr>
            <w:tcW w:type="dxa" w:w="4896"/>
          </w:tcPr>
          <w:p>
            <w:r>
              <w:t>Hero do projeto</w:t>
            </w:r>
          </w:p>
        </w:tc>
        <w:tc>
          <w:tcPr>
            <w:tcW w:type="dxa" w:w="4896"/>
          </w:tcPr>
          <w:p>
            <w:r>
              <w:t>Imagem opcional com overlay em gradiente; título; estado; progresso; sem texto sobre área de baixo contraste.</w:t>
            </w:r>
          </w:p>
        </w:tc>
      </w:tr>
      <w:tr>
        <w:tc>
          <w:tcPr>
            <w:tcW w:type="dxa" w:w="4896"/>
          </w:tcPr>
          <w:p>
            <w:r>
              <w:t>Botão primário</w:t>
            </w:r>
          </w:p>
        </w:tc>
        <w:tc>
          <w:tcPr>
            <w:tcW w:type="dxa" w:w="4896"/>
          </w:tcPr>
          <w:p>
            <w:r>
              <w:t>Accent #FF9F24; texto #101114; altura 48px; radius 14px; 600–700; loading/disabled/focus.</w:t>
            </w:r>
          </w:p>
        </w:tc>
      </w:tr>
      <w:tr>
        <w:tc>
          <w:tcPr>
            <w:tcW w:type="dxa" w:w="4896"/>
          </w:tcPr>
          <w:p>
            <w:r>
              <w:t>Botão secundário</w:t>
            </w:r>
          </w:p>
        </w:tc>
        <w:tc>
          <w:tcPr>
            <w:tcW w:type="dxa" w:w="4896"/>
          </w:tcPr>
          <w:p>
            <w:r>
              <w:t>Surface-raised, border-default; texto principal; feedback hover e pressed.</w:t>
            </w:r>
          </w:p>
        </w:tc>
      </w:tr>
      <w:tr>
        <w:tc>
          <w:tcPr>
            <w:tcW w:type="dxa" w:w="4896"/>
          </w:tcPr>
          <w:p>
            <w:r>
              <w:t>Input</w:t>
            </w:r>
          </w:p>
        </w:tc>
        <w:tc>
          <w:tcPr>
            <w:tcW w:type="dxa" w:w="4896"/>
          </w:tcPr>
          <w:p>
            <w:r>
              <w:t>Surface-sunken; border-default; radius 14px; altura 48px; label acima; erro textual abaixo.</w:t>
            </w:r>
          </w:p>
        </w:tc>
      </w:tr>
      <w:tr>
        <w:tc>
          <w:tcPr>
            <w:tcW w:type="dxa" w:w="4896"/>
          </w:tcPr>
          <w:p>
            <w:r>
              <w:t>Chip de filtro</w:t>
            </w:r>
          </w:p>
        </w:tc>
        <w:tc>
          <w:tcPr>
            <w:tcW w:type="dxa" w:w="4896"/>
          </w:tcPr>
          <w:p>
            <w:r>
              <w:t>Pill; estado ativo âmbar; inativo surface-raised; seleção acessível.</w:t>
            </w:r>
          </w:p>
        </w:tc>
      </w:tr>
      <w:tr>
        <w:tc>
          <w:tcPr>
            <w:tcW w:type="dxa" w:w="4896"/>
          </w:tcPr>
          <w:p>
            <w:r>
              <w:t>Badge de status</w:t>
            </w:r>
          </w:p>
        </w:tc>
        <w:tc>
          <w:tcPr>
            <w:tcW w:type="dxa" w:w="4896"/>
          </w:tcPr>
          <w:p>
            <w:r>
              <w:t>Cor semântica + rótulo; não usar apenas cor.</w:t>
            </w:r>
          </w:p>
        </w:tc>
      </w:tr>
      <w:tr>
        <w:tc>
          <w:tcPr>
            <w:tcW w:type="dxa" w:w="4896"/>
          </w:tcPr>
          <w:p>
            <w:r>
              <w:t>Indicador circular</w:t>
            </w:r>
          </w:p>
        </w:tc>
        <w:tc>
          <w:tcPr>
            <w:tcW w:type="dxa" w:w="4896"/>
          </w:tcPr>
          <w:p>
            <w:r>
              <w:t>Progresso numérico + unidade e meta; aria-label; sem animação obrigatória.</w:t>
            </w:r>
          </w:p>
        </w:tc>
      </w:tr>
      <w:tr>
        <w:tc>
          <w:tcPr>
            <w:tcW w:type="dxa" w:w="4896"/>
          </w:tcPr>
          <w:p>
            <w:r>
              <w:t>Barra de progresso</w:t>
            </w:r>
          </w:p>
        </w:tc>
        <w:tc>
          <w:tcPr>
            <w:tcW w:type="dxa" w:w="4896"/>
          </w:tcPr>
          <w:p>
            <w:r>
              <w:t>Trilho #30343B, preenchimento âmbar; mostrar número e contexto textual.</w:t>
            </w:r>
          </w:p>
        </w:tc>
      </w:tr>
      <w:tr>
        <w:tc>
          <w:tcPr>
            <w:tcW w:type="dxa" w:w="4896"/>
          </w:tcPr>
          <w:p>
            <w:r>
              <w:t>Lista de registros</w:t>
            </w:r>
          </w:p>
        </w:tc>
        <w:tc>
          <w:tcPr>
            <w:tcW w:type="dxa" w:w="4896"/>
          </w:tcPr>
          <w:p>
            <w:r>
              <w:t>Itens em cards compactos com ícone/thumbnail, título, hora, detalhe e ação contextual.</w:t>
            </w:r>
          </w:p>
        </w:tc>
      </w:tr>
      <w:tr>
        <w:tc>
          <w:tcPr>
            <w:tcW w:type="dxa" w:w="4896"/>
          </w:tcPr>
          <w:p>
            <w:r>
              <w:t>Galeria de fotos</w:t>
            </w:r>
          </w:p>
        </w:tc>
        <w:tc>
          <w:tcPr>
            <w:tcW w:type="dxa" w:w="4896"/>
          </w:tcPr>
          <w:p>
            <w:r>
              <w:t>Grade responsiva; thumbnails privadas; categorias Frente/Costas/Lateral/Outras.</w:t>
            </w:r>
          </w:p>
        </w:tc>
      </w:tr>
      <w:tr>
        <w:tc>
          <w:tcPr>
            <w:tcW w:type="dxa" w:w="4896"/>
          </w:tcPr>
          <w:p>
            <w:r>
              <w:t>Modal / bottom sheet</w:t>
            </w:r>
          </w:p>
        </w:tc>
        <w:tc>
          <w:tcPr>
            <w:tcW w:type="dxa" w:w="4896"/>
          </w:tcPr>
          <w:p>
            <w:r>
              <w:t>Surface-raised, radius 22–28px; shadow-floating; fechar, foco e retorno acessíveis.</w:t>
            </w:r>
          </w:p>
        </w:tc>
      </w:tr>
      <w:tr>
        <w:tc>
          <w:tcPr>
            <w:tcW w:type="dxa" w:w="4896"/>
          </w:tcPr>
          <w:p>
            <w:r>
              <w:t>Empty state</w:t>
            </w:r>
          </w:p>
        </w:tc>
        <w:tc>
          <w:tcPr>
            <w:tcW w:type="dxa" w:w="4896"/>
          </w:tcPr>
          <w:p>
            <w:r>
              <w:t>Ícone simples, texto informativo, CTA; distinguir sem dados de valor zero.</w:t>
            </w:r>
          </w:p>
        </w:tc>
      </w:tr>
      <w:tr>
        <w:tc>
          <w:tcPr>
            <w:tcW w:type="dxa" w:w="4896"/>
          </w:tcPr>
          <w:p>
            <w:r>
              <w:t>Toast / feedback</w:t>
            </w:r>
          </w:p>
        </w:tc>
        <w:tc>
          <w:tcPr>
            <w:tcW w:type="dxa" w:w="4896"/>
          </w:tcPr>
          <w:p>
            <w:r>
              <w:t>Texto curto e ícone; não ocultar erros importantes exclusivamente em toast.</w:t>
            </w:r>
          </w:p>
        </w:tc>
      </w:tr>
    </w:tbl>
    <w:p/>
    <w:p>
      <w:pPr>
        <w:pStyle w:val="Heading1"/>
      </w:pPr>
      <w:r>
        <w:t>7. Padrões de tela — MVP 0.1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Tela</w:t>
            </w:r>
          </w:p>
        </w:tc>
        <w:tc>
          <w:tcPr>
            <w:tcW w:type="dxa" w:w="4896"/>
          </w:tcPr>
          <w:p>
            <w:r>
              <w:t>Elementos obrigatórios</w:t>
            </w:r>
          </w:p>
        </w:tc>
      </w:tr>
      <w:tr>
        <w:tc>
          <w:tcPr>
            <w:tcW w:type="dxa" w:w="4896"/>
          </w:tcPr>
          <w:p>
            <w:r>
              <w:t>Abertura / login</w:t>
            </w:r>
          </w:p>
        </w:tc>
        <w:tc>
          <w:tcPr>
            <w:tcW w:type="dxa" w:w="4896"/>
          </w:tcPr>
          <w:p>
            <w:r>
              <w:t>Identidade com imagem atlética opcional; e-mail/senha; recuperação; sem Google login no MVP.</w:t>
            </w:r>
          </w:p>
        </w:tc>
      </w:tr>
      <w:tr>
        <w:tc>
          <w:tcPr>
            <w:tcW w:type="dxa" w:w="4896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Saudação; projeto ativo e seletor; cards alimentação/água/treinos/peso; ações rápidas; navegação centralizada.</w:t>
            </w:r>
          </w:p>
        </w:tc>
      </w:tr>
      <w:tr>
        <w:tc>
          <w:tcPr>
            <w:tcW w:type="dxa" w:w="4896"/>
          </w:tcPr>
          <w:p>
            <w:r>
              <w:t>Alimentação</w:t>
            </w:r>
          </w:p>
        </w:tc>
        <w:tc>
          <w:tcPr>
            <w:tcW w:type="dxa" w:w="4896"/>
          </w:tcPr>
          <w:p>
            <w:r>
              <w:t>Seletor de data; totais quando disponíveis; refeições fixas; adicionar/editar registro; não exigir IA.</w:t>
            </w:r>
          </w:p>
        </w:tc>
      </w:tr>
      <w:tr>
        <w:tc>
          <w:tcPr>
            <w:tcW w:type="dxa" w:w="4896"/>
          </w:tcPr>
          <w:p>
            <w:r>
              <w:t>Hidratação</w:t>
            </w:r>
          </w:p>
        </w:tc>
        <w:tc>
          <w:tcPr>
            <w:tcW w:type="dxa" w:w="4896"/>
          </w:tcPr>
          <w:p>
            <w:r>
              <w:t>Total diário, meta, barra ou anel; histórico por recipiente; CTA adicionar consumo.</w:t>
            </w:r>
          </w:p>
        </w:tc>
      </w:tr>
      <w:tr>
        <w:tc>
          <w:tcPr>
            <w:tcW w:type="dxa" w:w="4896"/>
          </w:tcPr>
          <w:p>
            <w:r>
              <w:t>Atividades</w:t>
            </w:r>
          </w:p>
        </w:tc>
        <w:tc>
          <w:tcPr>
            <w:tcW w:type="dxa" w:w="4896"/>
          </w:tcPr>
          <w:p>
            <w:r>
              <w:t>Histórico por modalidade; data/duração; distância e detalhes opcionais; CTA manual.</w:t>
            </w:r>
          </w:p>
        </w:tc>
      </w:tr>
      <w:tr>
        <w:tc>
          <w:tcPr>
            <w:tcW w:type="dxa" w:w="4896"/>
          </w:tcPr>
          <w:p>
            <w:r>
              <w:t>Evolução corporal</w:t>
            </w:r>
          </w:p>
        </w:tc>
        <w:tc>
          <w:tcPr>
            <w:tcW w:type="dxa" w:w="4896"/>
          </w:tcPr>
          <w:p>
            <w:r>
              <w:t>Peso, medidas e gráficos simples; não introduzir IMC como obrigação não aprovada.</w:t>
            </w:r>
          </w:p>
        </w:tc>
      </w:tr>
      <w:tr>
        <w:tc>
          <w:tcPr>
            <w:tcW w:type="dxa" w:w="4896"/>
          </w:tcPr>
          <w:p>
            <w:r>
              <w:t>Fotografias</w:t>
            </w:r>
          </w:p>
        </w:tc>
        <w:tc>
          <w:tcPr>
            <w:tcW w:type="dxa" w:w="4896"/>
          </w:tcPr>
          <w:p>
            <w:r>
              <w:t>Galeria privada por pose; comparação lado a lado; upload otimizado.</w:t>
            </w:r>
          </w:p>
        </w:tc>
      </w:tr>
      <w:tr>
        <w:tc>
          <w:tcPr>
            <w:tcW w:type="dxa" w:w="4896"/>
          </w:tcPr>
          <w:p>
            <w:r>
              <w:t>Projetos</w:t>
            </w:r>
          </w:p>
        </w:tc>
        <w:tc>
          <w:tcPr>
            <w:tcW w:type="dxa" w:w="4896"/>
          </w:tcPr>
          <w:p>
            <w:r>
              <w:t>Projeto ativo destacado; concluídos/arquivados somente leitura; rascunhos configuráveis.</w:t>
            </w:r>
          </w:p>
        </w:tc>
      </w:tr>
      <w:tr>
        <w:tc>
          <w:tcPr>
            <w:tcW w:type="dxa" w:w="4896"/>
          </w:tcPr>
          <w:p>
            <w:r>
              <w:t>Perfil e ajustes</w:t>
            </w:r>
          </w:p>
        </w:tc>
        <w:tc>
          <w:tcPr>
            <w:tcW w:type="dxa" w:w="4896"/>
          </w:tcPr>
          <w:p>
            <w:r>
              <w:t>Conta, preferências, privacidade, logout; não sugerir recursos ainda não implementados.</w:t>
            </w:r>
          </w:p>
        </w:tc>
      </w:tr>
    </w:tbl>
    <w:p/>
    <w:p>
      <w:pPr>
        <w:pStyle w:val="Heading1"/>
      </w:pPr>
      <w:r>
        <w:t>8. Estados, movimento e acessibilidade</w:t>
      </w:r>
    </w:p>
    <w:p>
      <w:pPr>
        <w:pStyle w:val="ListBullet"/>
      </w:pPr>
      <w:r>
        <w:t>Todo controle interativo terá estados default, hover (quando aplicável), pressed, focus-visible, disabled, loading e error.</w:t>
      </w:r>
    </w:p>
    <w:p>
      <w:pPr>
        <w:pStyle w:val="ListBullet"/>
      </w:pPr>
      <w:r>
        <w:t>Transições curtas de 120–220 ms; respeitar prefers-reduced-motion. Evitar efeitos 3D ou rotação de telas na aplicação real.</w:t>
      </w:r>
    </w:p>
    <w:p>
      <w:pPr>
        <w:pStyle w:val="ListBullet"/>
      </w:pPr>
      <w:r>
        <w:t>Área de toque mínima 44 × 44 px; indicadores não dependerão de gesto de deslizar.</w:t>
      </w:r>
    </w:p>
    <w:p>
      <w:pPr>
        <w:pStyle w:val="ListBullet"/>
      </w:pPr>
      <w:r>
        <w:t>Contraste mínimo AA para texto e componentes relevantes; medir na implementação, inclusive sobre fotografias.</w:t>
      </w:r>
    </w:p>
    <w:p>
      <w:pPr>
        <w:pStyle w:val="ListBullet"/>
      </w:pPr>
      <w:r>
        <w:t>Formulários terão labels persistentes, mensagens de validação e unidades explícitas (kg, cm, ml, kcal).</w:t>
      </w:r>
    </w:p>
    <w:p>
      <w:pPr>
        <w:pStyle w:val="ListBullet"/>
      </w:pPr>
      <w:r>
        <w:t>Componentes deverão suportar textos longos em português, zoom de até 200% e navegação por teclado.</w:t>
      </w:r>
    </w:p>
    <w:p>
      <w:pPr>
        <w:pStyle w:val="Heading1"/>
      </w:pPr>
      <w:r>
        <w:t>9. Regras de consistência com o discovery</w:t>
      </w:r>
    </w:p>
    <w:p>
      <w:pPr>
        <w:pStyle w:val="ListBullet"/>
      </w:pPr>
      <w:r>
        <w:t>Navegação principal por cartões no dashboard (decisão 63), não por barra inferior fixa.</w:t>
      </w:r>
    </w:p>
    <w:p>
      <w:pPr>
        <w:pStyle w:val="ListBullet"/>
      </w:pPr>
      <w:r>
        <w:t>Autenticação por e-mail e senha; login social ilustrado no protótipo não será implementado na 0.1.</w:t>
      </w:r>
    </w:p>
    <w:p>
      <w:pPr>
        <w:pStyle w:val="ListBullet"/>
      </w:pPr>
      <w:r>
        <w:t>Projetos concluídos e arquivados são somente leitura; cadastro de dados sempre no projeto ativo.</w:t>
      </w:r>
    </w:p>
    <w:p>
      <w:pPr>
        <w:pStyle w:val="ListBullet"/>
      </w:pPr>
      <w:r>
        <w:t>A versão 0.1 utiliza registros manuais; IA, Strava e relatórios avançados não bloqueiam o lançamento.</w:t>
      </w:r>
    </w:p>
    <w:p>
      <w:pPr>
        <w:pStyle w:val="ListBullet"/>
      </w:pPr>
      <w:r>
        <w:t>Fotografias devem ser privadas e otimizadas; não armazenar EXIF de localização.</w:t>
      </w:r>
    </w:p>
    <w:p>
      <w:pPr>
        <w:pStyle w:val="ListBullet"/>
      </w:pPr>
      <w:r>
        <w:t>Números, nomes, datas, calorias e métricas presentes no protótipo são fictícios; não são regras de negócio.</w:t>
      </w:r>
    </w:p>
    <w:p>
      <w:pPr>
        <w:pStyle w:val="Heading1"/>
      </w:pPr>
      <w:r>
        <w:t>10. Critérios de aceite visual</w:t>
      </w:r>
    </w:p>
    <w:p>
      <w:pPr>
        <w:pStyle w:val="ListBullet"/>
      </w:pPr>
      <w:r>
        <w:t>Todas as telas compartilham tokens de cor, borda, raio, sombra, tipografia e espaçamento.</w:t>
      </w:r>
    </w:p>
    <w:p>
      <w:pPr>
        <w:pStyle w:val="ListBullet"/>
      </w:pPr>
      <w:r>
        <w:t>Componentes apresentam estados de interação e erros de forma consistente.</w:t>
      </w:r>
    </w:p>
    <w:p>
      <w:pPr>
        <w:pStyle w:val="ListBullet"/>
      </w:pPr>
      <w:r>
        <w:t>Layout testado em 320, 375, 390, 430, 768 e 1280 px sem overflow horizontal.</w:t>
      </w:r>
    </w:p>
    <w:p>
      <w:pPr>
        <w:pStyle w:val="ListBullet"/>
      </w:pPr>
      <w:r>
        <w:t>Dashboard mantém prioridade visual do projeto ativo e das quatro áreas principais.</w:t>
      </w:r>
    </w:p>
    <w:p>
      <w:pPr>
        <w:pStyle w:val="ListBullet"/>
      </w:pPr>
      <w:r>
        <w:t>Contraste e acessibilidade verificados em código, não inferidos a partir do mockup.</w:t>
      </w:r>
    </w:p>
    <w:p>
      <w:pPr>
        <w:pStyle w:val="ListBullet"/>
      </w:pPr>
      <w:r>
        <w:t>Design aprovado por revisão visual de telas reais antes da finalização do MVP.</w:t>
      </w:r>
    </w:p>
    <w:p>
      <w:pPr>
        <w:pStyle w:val="Heading1"/>
      </w:pPr>
      <w:r>
        <w:t>11. Referência visual aprovada</w:t>
      </w:r>
    </w:p>
    <w:p>
      <w:r>
        <w:t>Protótipo conceitual com dez telas gerado a partir das duas referências compartilhadas. O protótipo orienta acabamento, composição e atmosfera, mas detalhes divergentes do discovery são meramente ilustrativos.</w:t>
      </w:r>
    </w:p>
    <w:p>
      <w:r/>
    </w:p>
    <w:p>
      <w:r>
        <w:t>Fontes de inspiração fornecidas pelo usuário: Dribbble “Food Recipe Apps – Dark Mode” e “Coffee Shop Mobile Apps – Dark Mode”. Não reproduzir layouts ou ativos de terceiros literalmente.</w:t>
      </w:r>
    </w:p>
    <w:p>
      <w:pPr>
        <w:pStyle w:val="Heading1"/>
      </w:pPr>
      <w:r>
        <w:t>10. Identidade e nomenclatura do produto</w:t>
      </w:r>
    </w:p>
    <w:p>
      <w:r>
        <w:t>Diazen é o nome do aplicativo desenvolvido pela Lucx Tech. “Projeto 30 Trincado” é um exemplo de projeto criado pelo usuário dentro do Diazen; nunca deve substituir a marca do aplicativo em telas de autenticação, cabeçalhos globais ou metadados.</w:t>
      </w:r>
    </w:p>
    <w:p>
      <w:r>
        <w:t>Assinatura verbal proposta: “Sua rotina. Sua evolução.” O logotipo tipográfico “diazen.” com ênfase âmbar na terminação é uma direção conceitual e requer validação final de identidade e direitos de marca.</w:t>
      </w:r>
    </w:p>
    <w:p>
      <w:r>
        <w:t>O protótipo visual atualizado contém 12 telas e é referência estética, não autorização para ampliar o escopo do MVP. Recursos ilustrativos como login social, hábitos/sono detalhados e exercícios com séries não fazem parte do MVP 0.1 sem aprovação específica.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DIAZEN  •  DESIGN SYSTEM V1.0  •  LUCX 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2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B2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1B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1B2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