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5A4F" w14:textId="77777777" w:rsidR="00A71566" w:rsidRPr="003611A6" w:rsidRDefault="00000000">
      <w:pPr>
        <w:pStyle w:val="PargrafodaLista"/>
        <w:spacing w:after="0" w:line="360" w:lineRule="auto"/>
        <w:ind w:left="0" w:firstLine="709"/>
        <w:jc w:val="center"/>
        <w:rPr>
          <w:rFonts w:ascii="Arial" w:hAnsi="Arial" w:cs="Arial"/>
        </w:rPr>
      </w:pPr>
      <w:r w:rsidRPr="003611A6">
        <w:rPr>
          <w:rFonts w:ascii="Arial" w:hAnsi="Arial" w:cs="Arial"/>
          <w:b/>
          <w:sz w:val="72"/>
          <w:szCs w:val="72"/>
        </w:rPr>
        <w:t>Investimentos Públicos Urbanos: Transparência e Previsão</w:t>
      </w:r>
    </w:p>
    <w:p w14:paraId="3B628E86" w14:textId="77777777" w:rsidR="00A71566" w:rsidRPr="003611A6" w:rsidRDefault="00A71566">
      <w:pPr>
        <w:pStyle w:val="Ttulo"/>
        <w:spacing w:line="360" w:lineRule="auto"/>
        <w:ind w:firstLine="709"/>
        <w:jc w:val="center"/>
        <w:rPr>
          <w:rFonts w:ascii="Arial" w:hAnsi="Arial" w:cs="Arial"/>
          <w:b/>
          <w:bCs/>
          <w:color w:val="000000" w:themeColor="text1"/>
          <w:sz w:val="48"/>
          <w:szCs w:val="48"/>
        </w:rPr>
      </w:pPr>
    </w:p>
    <w:p w14:paraId="4F026E0A" w14:textId="77777777" w:rsidR="00A71566" w:rsidRPr="003611A6" w:rsidRDefault="00A71566">
      <w:pPr>
        <w:spacing w:after="0" w:line="360" w:lineRule="auto"/>
        <w:ind w:firstLine="709"/>
        <w:jc w:val="both"/>
        <w:rPr>
          <w:rFonts w:ascii="Arial" w:hAnsi="Arial" w:cs="Arial"/>
          <w:b/>
          <w:bCs/>
        </w:rPr>
      </w:pPr>
    </w:p>
    <w:p w14:paraId="2B445ACA" w14:textId="77777777" w:rsidR="00A71566" w:rsidRPr="003611A6" w:rsidRDefault="00000000">
      <w:pPr>
        <w:spacing w:after="0" w:line="360" w:lineRule="auto"/>
        <w:ind w:firstLine="709"/>
        <w:jc w:val="center"/>
        <w:rPr>
          <w:rFonts w:ascii="Arial" w:hAnsi="Arial" w:cs="Arial"/>
        </w:rPr>
      </w:pPr>
      <w:r w:rsidRPr="003611A6">
        <w:rPr>
          <w:rFonts w:ascii="Arial" w:hAnsi="Arial" w:cs="Arial"/>
          <w:b/>
          <w:bCs/>
          <w:sz w:val="24"/>
          <w:szCs w:val="24"/>
        </w:rPr>
        <w:t>Integrantes:</w:t>
      </w:r>
    </w:p>
    <w:p w14:paraId="785BB319" w14:textId="77777777" w:rsidR="00A71566" w:rsidRPr="003611A6" w:rsidRDefault="00000000">
      <w:pPr>
        <w:spacing w:after="0" w:line="360" w:lineRule="auto"/>
        <w:ind w:firstLine="709"/>
        <w:jc w:val="center"/>
        <w:rPr>
          <w:rFonts w:ascii="Arial" w:hAnsi="Arial" w:cs="Arial"/>
        </w:rPr>
      </w:pPr>
      <w:r w:rsidRPr="003611A6">
        <w:rPr>
          <w:rFonts w:ascii="Arial" w:hAnsi="Arial" w:cs="Arial"/>
          <w:b/>
          <w:bCs/>
          <w:sz w:val="24"/>
          <w:szCs w:val="24"/>
        </w:rPr>
        <w:t xml:space="preserve">Bruno </w:t>
      </w:r>
      <w:proofErr w:type="spellStart"/>
      <w:r w:rsidRPr="003611A6">
        <w:rPr>
          <w:rFonts w:ascii="Arial" w:hAnsi="Arial" w:cs="Arial"/>
          <w:b/>
          <w:bCs/>
          <w:sz w:val="24"/>
          <w:szCs w:val="24"/>
        </w:rPr>
        <w:t>Zovaro</w:t>
      </w:r>
      <w:proofErr w:type="spellEnd"/>
      <w:r w:rsidRPr="003611A6">
        <w:rPr>
          <w:rFonts w:ascii="Arial" w:hAnsi="Arial" w:cs="Arial"/>
          <w:b/>
          <w:bCs/>
          <w:sz w:val="24"/>
          <w:szCs w:val="24"/>
        </w:rPr>
        <w:t xml:space="preserve"> Nascimento - 10424880</w:t>
      </w:r>
    </w:p>
    <w:p w14:paraId="70F2BD5D" w14:textId="77777777" w:rsidR="00A71566" w:rsidRPr="003611A6" w:rsidRDefault="00000000">
      <w:pPr>
        <w:spacing w:after="0" w:line="360" w:lineRule="auto"/>
        <w:ind w:firstLine="709"/>
        <w:jc w:val="center"/>
        <w:rPr>
          <w:rFonts w:ascii="Arial" w:hAnsi="Arial" w:cs="Arial"/>
        </w:rPr>
      </w:pPr>
      <w:r w:rsidRPr="003611A6">
        <w:rPr>
          <w:rFonts w:ascii="Arial" w:hAnsi="Arial" w:cs="Arial"/>
          <w:b/>
          <w:bCs/>
          <w:sz w:val="24"/>
          <w:szCs w:val="24"/>
        </w:rPr>
        <w:t>Douglas Novaes Dias – 10423666</w:t>
      </w:r>
    </w:p>
    <w:p w14:paraId="2B579F95" w14:textId="77777777" w:rsidR="00A71566" w:rsidRPr="003611A6" w:rsidRDefault="00000000">
      <w:pPr>
        <w:spacing w:after="0" w:line="360" w:lineRule="auto"/>
        <w:ind w:firstLine="709"/>
        <w:jc w:val="center"/>
        <w:rPr>
          <w:rFonts w:ascii="Arial" w:hAnsi="Arial" w:cs="Arial"/>
        </w:rPr>
      </w:pPr>
      <w:r w:rsidRPr="003611A6">
        <w:rPr>
          <w:rFonts w:ascii="Arial" w:hAnsi="Arial" w:cs="Arial"/>
          <w:b/>
          <w:bCs/>
          <w:sz w:val="24"/>
          <w:szCs w:val="24"/>
        </w:rPr>
        <w:t xml:space="preserve">Milan Mirco Moraes </w:t>
      </w:r>
      <w:proofErr w:type="spellStart"/>
      <w:r w:rsidRPr="003611A6">
        <w:rPr>
          <w:rFonts w:ascii="Arial" w:hAnsi="Arial" w:cs="Arial"/>
          <w:b/>
          <w:bCs/>
          <w:sz w:val="24"/>
          <w:szCs w:val="24"/>
        </w:rPr>
        <w:t>Mazur</w:t>
      </w:r>
      <w:proofErr w:type="spellEnd"/>
      <w:r w:rsidRPr="003611A6">
        <w:rPr>
          <w:rFonts w:ascii="Arial" w:hAnsi="Arial" w:cs="Arial"/>
          <w:b/>
          <w:bCs/>
          <w:sz w:val="24"/>
          <w:szCs w:val="24"/>
        </w:rPr>
        <w:t xml:space="preserve"> – 10363757</w:t>
      </w:r>
    </w:p>
    <w:p w14:paraId="5B91E846" w14:textId="77777777" w:rsidR="00A71566" w:rsidRPr="003611A6" w:rsidRDefault="00000000">
      <w:pPr>
        <w:spacing w:after="0" w:line="360" w:lineRule="auto"/>
        <w:ind w:firstLine="709"/>
        <w:jc w:val="center"/>
        <w:rPr>
          <w:rFonts w:ascii="Arial" w:hAnsi="Arial" w:cs="Arial"/>
        </w:rPr>
      </w:pPr>
      <w:r w:rsidRPr="003611A6">
        <w:rPr>
          <w:rFonts w:ascii="Arial" w:hAnsi="Arial" w:cs="Arial"/>
          <w:b/>
          <w:bCs/>
          <w:sz w:val="24"/>
          <w:szCs w:val="24"/>
        </w:rPr>
        <w:t>Paulo Cesar Masson Junior - 10416023</w:t>
      </w:r>
    </w:p>
    <w:p w14:paraId="0788BAC5" w14:textId="77777777" w:rsidR="00A71566" w:rsidRPr="003611A6" w:rsidRDefault="00A71566">
      <w:pPr>
        <w:tabs>
          <w:tab w:val="center" w:pos="4890"/>
          <w:tab w:val="left" w:pos="7815"/>
        </w:tabs>
        <w:spacing w:after="0" w:line="360" w:lineRule="auto"/>
        <w:ind w:left="709"/>
        <w:jc w:val="both"/>
        <w:rPr>
          <w:rFonts w:ascii="Arial" w:hAnsi="Arial" w:cs="Arial"/>
        </w:rPr>
      </w:pPr>
    </w:p>
    <w:p w14:paraId="2371DC47" w14:textId="77777777" w:rsidR="00A71566" w:rsidRPr="003611A6" w:rsidRDefault="00A71566">
      <w:pPr>
        <w:tabs>
          <w:tab w:val="center" w:pos="4890"/>
          <w:tab w:val="left" w:pos="7815"/>
        </w:tabs>
        <w:spacing w:after="0" w:line="360" w:lineRule="auto"/>
        <w:ind w:left="709"/>
        <w:jc w:val="both"/>
        <w:rPr>
          <w:rFonts w:ascii="Arial" w:hAnsi="Arial" w:cs="Arial"/>
        </w:rPr>
      </w:pPr>
    </w:p>
    <w:p w14:paraId="621C58EC" w14:textId="77777777" w:rsidR="00A71566" w:rsidRPr="003611A6" w:rsidRDefault="00A71566">
      <w:pPr>
        <w:tabs>
          <w:tab w:val="center" w:pos="4890"/>
          <w:tab w:val="left" w:pos="7815"/>
        </w:tabs>
        <w:spacing w:after="0" w:line="360" w:lineRule="auto"/>
        <w:ind w:left="709"/>
        <w:jc w:val="both"/>
        <w:rPr>
          <w:rFonts w:ascii="Arial" w:hAnsi="Arial" w:cs="Arial"/>
        </w:rPr>
      </w:pPr>
    </w:p>
    <w:p w14:paraId="748C3A5C" w14:textId="77777777" w:rsidR="00A71566" w:rsidRPr="003611A6" w:rsidRDefault="00000000">
      <w:pPr>
        <w:pStyle w:val="Ttulo"/>
        <w:spacing w:line="360" w:lineRule="auto"/>
        <w:ind w:firstLine="709"/>
        <w:jc w:val="center"/>
        <w:rPr>
          <w:rFonts w:ascii="Arial" w:hAnsi="Arial" w:cs="Arial"/>
        </w:rPr>
      </w:pPr>
      <w:r w:rsidRPr="003611A6">
        <w:rPr>
          <w:rFonts w:ascii="Arial" w:hAnsi="Arial" w:cs="Arial"/>
          <w:b/>
          <w:bCs/>
          <w:color w:val="000000" w:themeColor="text1"/>
          <w:sz w:val="48"/>
          <w:szCs w:val="48"/>
        </w:rPr>
        <w:t>Universidade Presbiteriana Mackenzie</w:t>
      </w:r>
    </w:p>
    <w:p w14:paraId="42A7D974" w14:textId="77777777" w:rsidR="00A71566" w:rsidRPr="003611A6" w:rsidRDefault="00A71566">
      <w:pPr>
        <w:tabs>
          <w:tab w:val="center" w:pos="4890"/>
          <w:tab w:val="left" w:pos="7815"/>
        </w:tabs>
        <w:spacing w:after="0" w:line="360" w:lineRule="auto"/>
        <w:ind w:left="709"/>
        <w:jc w:val="both"/>
        <w:rPr>
          <w:rFonts w:ascii="Arial" w:hAnsi="Arial" w:cs="Arial"/>
        </w:rPr>
      </w:pPr>
    </w:p>
    <w:p w14:paraId="3C4DFEB3" w14:textId="77777777" w:rsidR="00A71566" w:rsidRPr="003611A6" w:rsidRDefault="00A71566">
      <w:pPr>
        <w:tabs>
          <w:tab w:val="center" w:pos="4890"/>
          <w:tab w:val="left" w:pos="7815"/>
        </w:tabs>
        <w:spacing w:after="0" w:line="360" w:lineRule="auto"/>
        <w:jc w:val="center"/>
        <w:rPr>
          <w:rFonts w:ascii="Arial" w:hAnsi="Arial" w:cs="Arial"/>
          <w:b/>
          <w:bCs/>
          <w:sz w:val="32"/>
          <w:szCs w:val="32"/>
        </w:rPr>
      </w:pPr>
    </w:p>
    <w:p w14:paraId="1730DE6A" w14:textId="77777777" w:rsidR="00A71566" w:rsidRPr="003611A6" w:rsidRDefault="00000000">
      <w:pPr>
        <w:pStyle w:val="PargrafodaLista"/>
        <w:spacing w:after="0" w:line="360" w:lineRule="auto"/>
        <w:ind w:left="0" w:firstLine="709"/>
        <w:jc w:val="center"/>
        <w:rPr>
          <w:rFonts w:ascii="Arial" w:hAnsi="Arial" w:cs="Arial"/>
        </w:rPr>
      </w:pPr>
      <w:r w:rsidRPr="003611A6">
        <w:rPr>
          <w:rFonts w:ascii="Arial" w:hAnsi="Arial" w:cs="Arial"/>
          <w:b/>
          <w:bCs/>
          <w:sz w:val="32"/>
          <w:szCs w:val="32"/>
        </w:rPr>
        <w:t>São Paulo</w:t>
      </w:r>
    </w:p>
    <w:p w14:paraId="48D143A0" w14:textId="77777777" w:rsidR="00A71566" w:rsidRPr="003611A6" w:rsidRDefault="00000000">
      <w:pPr>
        <w:pStyle w:val="PargrafodaLista"/>
        <w:spacing w:after="0" w:line="360" w:lineRule="auto"/>
        <w:ind w:left="0" w:firstLine="709"/>
        <w:jc w:val="center"/>
        <w:rPr>
          <w:rFonts w:ascii="Arial" w:hAnsi="Arial" w:cs="Arial"/>
        </w:rPr>
      </w:pPr>
      <w:r w:rsidRPr="003611A6">
        <w:rPr>
          <w:rFonts w:ascii="Arial" w:hAnsi="Arial" w:cs="Arial"/>
          <w:b/>
          <w:bCs/>
          <w:sz w:val="32"/>
          <w:szCs w:val="32"/>
        </w:rPr>
        <w:t>2025</w:t>
      </w:r>
    </w:p>
    <w:p w14:paraId="1F1C3708" w14:textId="77777777" w:rsidR="00A71566" w:rsidRPr="003611A6" w:rsidRDefault="00A71566">
      <w:pPr>
        <w:pStyle w:val="PargrafodaLista"/>
        <w:spacing w:after="0" w:line="360" w:lineRule="auto"/>
        <w:ind w:left="0" w:firstLine="709"/>
        <w:jc w:val="center"/>
        <w:rPr>
          <w:rFonts w:ascii="Arial" w:hAnsi="Arial" w:cs="Arial"/>
          <w:b/>
          <w:bCs/>
          <w:sz w:val="32"/>
          <w:szCs w:val="32"/>
        </w:rPr>
      </w:pPr>
    </w:p>
    <w:p w14:paraId="1877E295" w14:textId="77777777" w:rsidR="00A71566" w:rsidRPr="003611A6" w:rsidRDefault="00000000">
      <w:pPr>
        <w:pStyle w:val="PargrafodaLista"/>
        <w:spacing w:after="0" w:line="360" w:lineRule="auto"/>
        <w:ind w:left="0" w:firstLine="709"/>
        <w:jc w:val="center"/>
        <w:rPr>
          <w:rFonts w:ascii="Arial" w:hAnsi="Arial" w:cs="Arial"/>
        </w:rPr>
      </w:pPr>
      <w:r w:rsidRPr="003611A6">
        <w:rPr>
          <w:rFonts w:ascii="Arial" w:hAnsi="Arial" w:cs="Arial"/>
          <w:b/>
          <w:bCs/>
          <w:sz w:val="24"/>
          <w:szCs w:val="24"/>
        </w:rPr>
        <w:t>SUMÁRIO</w:t>
      </w:r>
    </w:p>
    <w:p w14:paraId="4A3C3C34" w14:textId="77777777" w:rsidR="00A71566" w:rsidRPr="003611A6" w:rsidRDefault="00A71566">
      <w:pPr>
        <w:spacing w:after="0" w:line="360" w:lineRule="auto"/>
        <w:ind w:firstLine="709"/>
        <w:jc w:val="both"/>
        <w:rPr>
          <w:rFonts w:ascii="Arial" w:hAnsi="Arial" w:cs="Arial"/>
          <w:b/>
          <w:bCs/>
        </w:rPr>
      </w:pPr>
    </w:p>
    <w:p w14:paraId="03DE7B13" w14:textId="77777777" w:rsidR="00A71566" w:rsidRPr="003611A6" w:rsidRDefault="00A71566">
      <w:pPr>
        <w:spacing w:after="0" w:line="360" w:lineRule="auto"/>
        <w:ind w:firstLine="709"/>
        <w:jc w:val="both"/>
        <w:rPr>
          <w:rFonts w:ascii="Arial" w:hAnsi="Arial" w:cs="Arial"/>
          <w:b/>
          <w:bCs/>
        </w:rPr>
      </w:pPr>
    </w:p>
    <w:p w14:paraId="092435C3" w14:textId="77777777" w:rsidR="00A71566" w:rsidRPr="003611A6" w:rsidRDefault="00000000">
      <w:pPr>
        <w:spacing w:line="360" w:lineRule="auto"/>
        <w:jc w:val="both"/>
        <w:rPr>
          <w:rFonts w:ascii="Arial" w:hAnsi="Arial" w:cs="Arial"/>
        </w:rPr>
      </w:pPr>
      <w:r w:rsidRPr="003611A6">
        <w:rPr>
          <w:rFonts w:ascii="Arial" w:hAnsi="Arial" w:cs="Arial"/>
        </w:rPr>
        <w:lastRenderedPageBreak/>
        <w:t>1</w:t>
      </w:r>
      <w:r w:rsidRPr="003611A6">
        <w:rPr>
          <w:rFonts w:ascii="Arial" w:hAnsi="Arial" w:cs="Arial"/>
        </w:rPr>
        <w:tab/>
        <w:t>Introdução (p. 3)</w:t>
      </w:r>
    </w:p>
    <w:p w14:paraId="4D2F339C" w14:textId="77777777" w:rsidR="00A71566" w:rsidRPr="003611A6" w:rsidRDefault="00000000">
      <w:pPr>
        <w:spacing w:line="360" w:lineRule="auto"/>
        <w:jc w:val="both"/>
        <w:rPr>
          <w:rFonts w:ascii="Arial" w:hAnsi="Arial" w:cs="Arial"/>
        </w:rPr>
      </w:pPr>
      <w:r w:rsidRPr="003611A6">
        <w:rPr>
          <w:rFonts w:ascii="Arial" w:hAnsi="Arial" w:cs="Arial"/>
        </w:rPr>
        <w:t>2</w:t>
      </w:r>
      <w:r w:rsidRPr="003611A6">
        <w:rPr>
          <w:rFonts w:ascii="Arial" w:hAnsi="Arial" w:cs="Arial"/>
        </w:rPr>
        <w:tab/>
        <w:t>Referencial teórico (p.5)</w:t>
      </w:r>
    </w:p>
    <w:p w14:paraId="26DBC33C" w14:textId="77777777" w:rsidR="00A71566" w:rsidRPr="003611A6" w:rsidRDefault="00000000">
      <w:pPr>
        <w:spacing w:line="360" w:lineRule="auto"/>
        <w:jc w:val="both"/>
        <w:rPr>
          <w:rFonts w:ascii="Arial" w:hAnsi="Arial" w:cs="Arial"/>
        </w:rPr>
      </w:pPr>
      <w:r w:rsidRPr="003611A6">
        <w:rPr>
          <w:rFonts w:ascii="Arial" w:hAnsi="Arial" w:cs="Arial"/>
        </w:rPr>
        <w:t>3</w:t>
      </w:r>
      <w:r w:rsidRPr="003611A6">
        <w:rPr>
          <w:rFonts w:ascii="Arial" w:hAnsi="Arial" w:cs="Arial"/>
        </w:rPr>
        <w:tab/>
        <w:t>Diagrama de Solução (p.5)</w:t>
      </w:r>
    </w:p>
    <w:p w14:paraId="57DDAD49" w14:textId="77777777" w:rsidR="00A71566" w:rsidRPr="003611A6" w:rsidRDefault="00000000">
      <w:pPr>
        <w:spacing w:line="360" w:lineRule="auto"/>
        <w:jc w:val="both"/>
        <w:rPr>
          <w:rFonts w:ascii="Arial" w:hAnsi="Arial" w:cs="Arial"/>
        </w:rPr>
      </w:pPr>
      <w:r w:rsidRPr="003611A6">
        <w:rPr>
          <w:rFonts w:ascii="Arial" w:hAnsi="Arial" w:cs="Arial"/>
        </w:rPr>
        <w:t>4</w:t>
      </w:r>
      <w:r w:rsidRPr="003611A6">
        <w:rPr>
          <w:rFonts w:ascii="Arial" w:hAnsi="Arial" w:cs="Arial"/>
        </w:rPr>
        <w:tab/>
        <w:t>EDA e Pré-processamento dos dados</w:t>
      </w:r>
    </w:p>
    <w:p w14:paraId="6E4DB736" w14:textId="77777777" w:rsidR="00A71566" w:rsidRPr="003611A6" w:rsidRDefault="00000000">
      <w:pPr>
        <w:spacing w:line="360" w:lineRule="auto"/>
        <w:jc w:val="both"/>
        <w:rPr>
          <w:rFonts w:ascii="Arial" w:hAnsi="Arial" w:cs="Arial"/>
        </w:rPr>
      </w:pPr>
      <w:r w:rsidRPr="003611A6">
        <w:rPr>
          <w:rFonts w:ascii="Arial" w:hAnsi="Arial" w:cs="Arial"/>
        </w:rPr>
        <w:t>5</w:t>
      </w:r>
      <w:r w:rsidRPr="003611A6">
        <w:rPr>
          <w:rFonts w:ascii="Arial" w:hAnsi="Arial" w:cs="Arial"/>
        </w:rPr>
        <w:tab/>
        <w:t>Modelo Base</w:t>
      </w:r>
    </w:p>
    <w:p w14:paraId="367A8FD3" w14:textId="77777777" w:rsidR="00A71566" w:rsidRPr="003611A6" w:rsidRDefault="00000000">
      <w:pPr>
        <w:spacing w:line="360" w:lineRule="auto"/>
        <w:jc w:val="both"/>
        <w:rPr>
          <w:rFonts w:ascii="Arial" w:hAnsi="Arial" w:cs="Arial"/>
        </w:rPr>
      </w:pPr>
      <w:r w:rsidRPr="003611A6">
        <w:rPr>
          <w:rFonts w:ascii="Arial" w:hAnsi="Arial" w:cs="Arial"/>
        </w:rPr>
        <w:t>6</w:t>
      </w:r>
      <w:r w:rsidRPr="003611A6">
        <w:rPr>
          <w:rFonts w:ascii="Arial" w:hAnsi="Arial" w:cs="Arial"/>
        </w:rPr>
        <w:tab/>
        <w:t>Cronograma</w:t>
      </w:r>
    </w:p>
    <w:p w14:paraId="16EC5936" w14:textId="77777777" w:rsidR="00A71566" w:rsidRPr="003611A6" w:rsidRDefault="00000000">
      <w:pPr>
        <w:pStyle w:val="Corpodetexto"/>
        <w:spacing w:line="360" w:lineRule="auto"/>
        <w:jc w:val="both"/>
        <w:rPr>
          <w:rFonts w:ascii="Arial" w:hAnsi="Arial" w:cs="Arial"/>
        </w:rPr>
      </w:pPr>
      <w:r w:rsidRPr="003611A6">
        <w:rPr>
          <w:rFonts w:ascii="Arial" w:hAnsi="Arial" w:cs="Arial"/>
          <w:color w:val="111111"/>
        </w:rPr>
        <w:t>7</w:t>
      </w:r>
      <w:r w:rsidRPr="003611A6">
        <w:rPr>
          <w:rFonts w:ascii="Arial" w:hAnsi="Arial" w:cs="Arial"/>
          <w:color w:val="111111"/>
        </w:rPr>
        <w:tab/>
        <w:t>Resultados (p.)</w:t>
      </w:r>
    </w:p>
    <w:p w14:paraId="04273201" w14:textId="77777777" w:rsidR="00A71566" w:rsidRPr="003611A6" w:rsidRDefault="00000000">
      <w:pPr>
        <w:pStyle w:val="Corpodetexto"/>
        <w:spacing w:line="360" w:lineRule="auto"/>
        <w:jc w:val="both"/>
        <w:rPr>
          <w:rFonts w:ascii="Arial" w:hAnsi="Arial" w:cs="Arial"/>
        </w:rPr>
      </w:pPr>
      <w:r w:rsidRPr="003611A6">
        <w:rPr>
          <w:rFonts w:ascii="Arial" w:hAnsi="Arial" w:cs="Arial"/>
          <w:color w:val="111111"/>
        </w:rPr>
        <w:t>8</w:t>
      </w:r>
      <w:r w:rsidRPr="003611A6">
        <w:rPr>
          <w:rFonts w:ascii="Arial" w:hAnsi="Arial" w:cs="Arial"/>
          <w:color w:val="111111"/>
        </w:rPr>
        <w:tab/>
        <w:t>Conclusão (p.)</w:t>
      </w:r>
    </w:p>
    <w:p w14:paraId="6EB60B7B" w14:textId="77777777" w:rsidR="00A71566" w:rsidRPr="003611A6" w:rsidRDefault="00000000">
      <w:pPr>
        <w:pStyle w:val="Corpodetexto"/>
        <w:spacing w:line="360" w:lineRule="auto"/>
        <w:jc w:val="both"/>
        <w:rPr>
          <w:rFonts w:ascii="Arial" w:hAnsi="Arial" w:cs="Arial"/>
        </w:rPr>
      </w:pPr>
      <w:r w:rsidRPr="003611A6">
        <w:rPr>
          <w:rFonts w:ascii="Arial" w:hAnsi="Arial" w:cs="Arial"/>
          <w:color w:val="111111"/>
        </w:rPr>
        <w:t>9</w:t>
      </w:r>
      <w:r w:rsidRPr="003611A6">
        <w:rPr>
          <w:rFonts w:ascii="Arial" w:hAnsi="Arial" w:cs="Arial"/>
          <w:color w:val="111111"/>
        </w:rPr>
        <w:tab/>
        <w:t>Referências bibliográficas (p.9)</w:t>
      </w:r>
    </w:p>
    <w:p w14:paraId="58E35396" w14:textId="77777777" w:rsidR="00A71566" w:rsidRDefault="00A71566">
      <w:pPr>
        <w:spacing w:line="360" w:lineRule="auto"/>
        <w:jc w:val="both"/>
        <w:rPr>
          <w:rFonts w:ascii="Arial" w:hAnsi="Arial" w:cs="Arial"/>
          <w:sz w:val="24"/>
          <w:szCs w:val="24"/>
        </w:rPr>
      </w:pPr>
    </w:p>
    <w:sdt>
      <w:sdtPr>
        <w:id w:val="1904913116"/>
        <w:docPartObj>
          <w:docPartGallery w:val="Table of Contents"/>
          <w:docPartUnique/>
        </w:docPartObj>
      </w:sdtPr>
      <w:sdtContent>
        <w:p w14:paraId="240A7C88" w14:textId="77777777" w:rsidR="00A71566" w:rsidRDefault="00A71566">
          <w:pPr>
            <w:pStyle w:val="CabealhodoSumrio"/>
            <w:spacing w:before="0" w:after="0" w:line="360" w:lineRule="auto"/>
            <w:jc w:val="both"/>
            <w:rPr>
              <w:rFonts w:ascii="Arial" w:hAnsi="Arial" w:cs="Arial"/>
              <w:sz w:val="22"/>
              <w:szCs w:val="22"/>
            </w:rPr>
          </w:pPr>
        </w:p>
        <w:p w14:paraId="41583B7B" w14:textId="77777777" w:rsidR="00A71566" w:rsidRDefault="00000000">
          <w:pPr>
            <w:pStyle w:val="Ttulo1"/>
            <w:numPr>
              <w:ilvl w:val="0"/>
              <w:numId w:val="0"/>
            </w:numPr>
            <w:spacing w:before="0" w:after="0" w:line="360" w:lineRule="auto"/>
            <w:ind w:left="709"/>
            <w:jc w:val="both"/>
            <w:rPr>
              <w:rFonts w:ascii="Arial" w:hAnsi="Arial" w:cs="Arial"/>
              <w:sz w:val="22"/>
              <w:szCs w:val="22"/>
            </w:rPr>
          </w:pPr>
        </w:p>
      </w:sdtContent>
    </w:sdt>
    <w:p w14:paraId="70EEC1DC" w14:textId="77777777" w:rsidR="00A71566" w:rsidRDefault="00A71566">
      <w:pPr>
        <w:spacing w:after="0" w:line="360" w:lineRule="auto"/>
        <w:ind w:firstLine="709"/>
        <w:jc w:val="both"/>
        <w:rPr>
          <w:rFonts w:ascii="Arial" w:hAnsi="Arial" w:cs="Arial"/>
        </w:rPr>
      </w:pPr>
    </w:p>
    <w:p w14:paraId="12900F82" w14:textId="77777777" w:rsidR="00A71566" w:rsidRDefault="00A71566">
      <w:pPr>
        <w:spacing w:after="0" w:line="360" w:lineRule="auto"/>
        <w:ind w:firstLine="709"/>
        <w:jc w:val="both"/>
        <w:rPr>
          <w:rFonts w:ascii="Arial" w:hAnsi="Arial" w:cs="Arial"/>
        </w:rPr>
      </w:pPr>
    </w:p>
    <w:p w14:paraId="3BAFA7FF" w14:textId="77777777" w:rsidR="00A71566" w:rsidRDefault="00A71566">
      <w:pPr>
        <w:spacing w:after="0" w:line="360" w:lineRule="auto"/>
        <w:ind w:firstLine="709"/>
        <w:jc w:val="both"/>
        <w:rPr>
          <w:rFonts w:ascii="Arial" w:hAnsi="Arial" w:cs="Arial"/>
        </w:rPr>
      </w:pPr>
    </w:p>
    <w:p w14:paraId="5CCCBD33" w14:textId="77777777" w:rsidR="00A71566" w:rsidRDefault="00A71566">
      <w:pPr>
        <w:spacing w:after="0" w:line="360" w:lineRule="auto"/>
        <w:ind w:firstLine="709"/>
        <w:jc w:val="both"/>
        <w:rPr>
          <w:rFonts w:ascii="Arial" w:hAnsi="Arial" w:cs="Arial"/>
        </w:rPr>
      </w:pPr>
    </w:p>
    <w:p w14:paraId="35832605" w14:textId="77777777" w:rsidR="00A71566" w:rsidRDefault="00A71566">
      <w:pPr>
        <w:spacing w:after="0" w:line="360" w:lineRule="auto"/>
        <w:ind w:firstLine="709"/>
        <w:jc w:val="both"/>
        <w:rPr>
          <w:rFonts w:ascii="Arial" w:hAnsi="Arial" w:cs="Arial"/>
        </w:rPr>
      </w:pPr>
    </w:p>
    <w:p w14:paraId="03565527" w14:textId="77777777" w:rsidR="00A71566" w:rsidRDefault="00A71566">
      <w:pPr>
        <w:spacing w:after="0" w:line="360" w:lineRule="auto"/>
        <w:ind w:firstLine="709"/>
        <w:jc w:val="both"/>
        <w:rPr>
          <w:rFonts w:ascii="Arial" w:hAnsi="Arial" w:cs="Arial"/>
        </w:rPr>
      </w:pPr>
    </w:p>
    <w:p w14:paraId="220D69A6" w14:textId="77777777" w:rsidR="00A71566" w:rsidRDefault="00A71566">
      <w:pPr>
        <w:spacing w:after="0" w:line="360" w:lineRule="auto"/>
        <w:ind w:firstLine="709"/>
        <w:jc w:val="both"/>
        <w:rPr>
          <w:rFonts w:ascii="Arial" w:hAnsi="Arial" w:cs="Arial"/>
        </w:rPr>
      </w:pPr>
    </w:p>
    <w:p w14:paraId="779ACCC9" w14:textId="77777777" w:rsidR="00A71566" w:rsidRDefault="00A71566">
      <w:pPr>
        <w:spacing w:after="0" w:line="360" w:lineRule="auto"/>
        <w:ind w:firstLine="709"/>
        <w:jc w:val="both"/>
        <w:rPr>
          <w:rFonts w:ascii="Arial" w:hAnsi="Arial" w:cs="Arial"/>
        </w:rPr>
      </w:pPr>
    </w:p>
    <w:p w14:paraId="08AF1FCD" w14:textId="77777777" w:rsidR="00A71566" w:rsidRDefault="00A71566">
      <w:pPr>
        <w:spacing w:after="0" w:line="360" w:lineRule="auto"/>
        <w:ind w:firstLine="709"/>
        <w:jc w:val="both"/>
        <w:rPr>
          <w:rFonts w:ascii="Arial" w:hAnsi="Arial" w:cs="Arial"/>
        </w:rPr>
      </w:pPr>
    </w:p>
    <w:p w14:paraId="4163BACA" w14:textId="77777777" w:rsidR="00A71566" w:rsidRDefault="00A71566">
      <w:pPr>
        <w:spacing w:after="0" w:line="360" w:lineRule="auto"/>
        <w:ind w:firstLine="709"/>
        <w:jc w:val="both"/>
        <w:rPr>
          <w:rFonts w:ascii="Arial" w:hAnsi="Arial" w:cs="Arial"/>
        </w:rPr>
      </w:pPr>
    </w:p>
    <w:p w14:paraId="2A019D84" w14:textId="77777777" w:rsidR="00A71566" w:rsidRDefault="00A71566">
      <w:pPr>
        <w:spacing w:after="0" w:line="360" w:lineRule="auto"/>
        <w:ind w:firstLine="709"/>
        <w:jc w:val="both"/>
        <w:rPr>
          <w:rFonts w:ascii="Arial" w:hAnsi="Arial" w:cs="Arial"/>
        </w:rPr>
      </w:pPr>
    </w:p>
    <w:p w14:paraId="1B04AB65" w14:textId="77777777" w:rsidR="00A71566" w:rsidRDefault="00A71566">
      <w:pPr>
        <w:spacing w:after="0" w:line="360" w:lineRule="auto"/>
        <w:ind w:firstLine="709"/>
        <w:jc w:val="both"/>
        <w:rPr>
          <w:rFonts w:ascii="Arial" w:hAnsi="Arial" w:cs="Arial"/>
        </w:rPr>
      </w:pPr>
    </w:p>
    <w:p w14:paraId="1D2FFE63" w14:textId="77777777" w:rsidR="00A71566" w:rsidRDefault="00A71566">
      <w:pPr>
        <w:spacing w:after="0" w:line="360" w:lineRule="auto"/>
        <w:ind w:firstLine="709"/>
        <w:jc w:val="both"/>
        <w:rPr>
          <w:rFonts w:ascii="Arial" w:hAnsi="Arial" w:cs="Arial"/>
        </w:rPr>
      </w:pPr>
    </w:p>
    <w:p w14:paraId="553ED463" w14:textId="77777777" w:rsidR="00A71566" w:rsidRDefault="00A71566">
      <w:pPr>
        <w:spacing w:after="0" w:line="360" w:lineRule="auto"/>
        <w:ind w:firstLine="709"/>
        <w:jc w:val="both"/>
        <w:rPr>
          <w:rFonts w:ascii="Arial" w:hAnsi="Arial" w:cs="Arial"/>
        </w:rPr>
      </w:pPr>
    </w:p>
    <w:p w14:paraId="6666AB2F" w14:textId="77777777" w:rsidR="00A71566" w:rsidRDefault="00A71566">
      <w:pPr>
        <w:spacing w:after="0" w:line="360" w:lineRule="auto"/>
        <w:ind w:firstLine="709"/>
        <w:jc w:val="both"/>
        <w:rPr>
          <w:rFonts w:ascii="Arial" w:hAnsi="Arial" w:cs="Arial"/>
        </w:rPr>
      </w:pPr>
    </w:p>
    <w:p w14:paraId="0BC22662" w14:textId="77777777" w:rsidR="00A71566" w:rsidRDefault="00A71566">
      <w:pPr>
        <w:spacing w:after="0" w:line="360" w:lineRule="auto"/>
        <w:ind w:firstLine="709"/>
        <w:jc w:val="both"/>
        <w:rPr>
          <w:rFonts w:ascii="Arial" w:hAnsi="Arial" w:cs="Arial"/>
        </w:rPr>
      </w:pPr>
    </w:p>
    <w:p w14:paraId="32473E31" w14:textId="77777777" w:rsidR="00A71566" w:rsidRDefault="00A71566">
      <w:pPr>
        <w:spacing w:after="0" w:line="360" w:lineRule="auto"/>
        <w:ind w:firstLine="709"/>
        <w:jc w:val="both"/>
        <w:rPr>
          <w:rFonts w:ascii="Arial" w:hAnsi="Arial" w:cs="Arial"/>
        </w:rPr>
      </w:pPr>
    </w:p>
    <w:p w14:paraId="7229A74D" w14:textId="77777777" w:rsidR="00A71566" w:rsidRDefault="00A71566">
      <w:pPr>
        <w:spacing w:after="0" w:line="360" w:lineRule="auto"/>
        <w:ind w:firstLine="709"/>
        <w:jc w:val="both"/>
        <w:rPr>
          <w:rFonts w:ascii="Arial" w:hAnsi="Arial" w:cs="Arial"/>
        </w:rPr>
      </w:pPr>
    </w:p>
    <w:p w14:paraId="43043C71" w14:textId="77777777" w:rsidR="00A71566" w:rsidRDefault="00000000">
      <w:pPr>
        <w:spacing w:after="0" w:line="360" w:lineRule="auto"/>
        <w:ind w:firstLine="709"/>
        <w:jc w:val="both"/>
        <w:rPr>
          <w:rFonts w:ascii="Arial" w:hAnsi="Arial" w:cs="Arial"/>
        </w:rPr>
      </w:pPr>
      <w:r>
        <w:br w:type="page"/>
      </w:r>
    </w:p>
    <w:p w14:paraId="148FA47A"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lastRenderedPageBreak/>
        <w:t>Introdução</w:t>
      </w:r>
    </w:p>
    <w:p w14:paraId="65A5A599"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1ECED126"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eastAsia="Times New Roman" w:hAnsi="Arial" w:cs="Arial"/>
          <w:lang w:eastAsia="pt-BR"/>
        </w:rPr>
        <w:t>1.1 Contexto do trabalho</w:t>
      </w:r>
    </w:p>
    <w:p w14:paraId="7F3A6E3A"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hAnsi="Arial" w:cs="Arial"/>
          <w:color w:val="111111"/>
        </w:rPr>
        <w:t>Este trabalho baseia-se num conjunto de dados oficiais que reúne informações pre</w:t>
      </w:r>
      <w:r w:rsidRPr="003611A6">
        <w:rPr>
          <w:rFonts w:ascii="Arial" w:hAnsi="Arial" w:cs="Arial"/>
        </w:rPr>
        <w:t xml:space="preserve">vistas sobre a carteira de investimentos do Ministério das Cidades, consolidando dados de programas, investimentos e operações relacionadas ao desenvolvimento urbano, habitação e infraestrutura. A base foi construída a partir de fontes oficiais, como </w:t>
      </w:r>
      <w:proofErr w:type="spellStart"/>
      <w:r w:rsidRPr="003611A6">
        <w:rPr>
          <w:rFonts w:ascii="Arial" w:hAnsi="Arial" w:cs="Arial"/>
        </w:rPr>
        <w:t>Transferegov</w:t>
      </w:r>
      <w:proofErr w:type="spellEnd"/>
      <w:r w:rsidRPr="003611A6">
        <w:rPr>
          <w:rFonts w:ascii="Arial" w:hAnsi="Arial" w:cs="Arial"/>
        </w:rPr>
        <w:t>, BD Gestores, Canal FGTS, Minha Casa Minha Vida e BNDES, e visa promover a transparência, facilitar o acesso público às informações e apoiar a fiscalização e avaliação das políticas públicas inovadoras. O desenvolvimento urbano e a habitação são áreas de grande relevância para a melhoria da qualidade de vida nas cidades brasileiras, exigindo um acompanhamento rigoroso e estratégico das ações governamentais.</w:t>
      </w:r>
    </w:p>
    <w:p w14:paraId="7FA39596"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eastAsia="Times New Roman" w:hAnsi="Arial" w:cs="Arial"/>
          <w:lang w:eastAsia="pt-BR"/>
        </w:rPr>
        <w:t>1.2 Motivação</w:t>
      </w:r>
    </w:p>
    <w:p w14:paraId="41AE98B3"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hAnsi="Arial" w:cs="Arial"/>
        </w:rPr>
        <w:t>A motivação deste trabalho corre da necessidade crescente de transparência e eficiência na gestão dos investimentos públicos direcionados ao desenvolvimento urbano. Com o aumento do volume e complexidade dos dados gerados por esses programas, torna-se essencial o uso de métodos avançados de análise, como séries temporais, para entender padrões, prever tendências e detectar desvios, promovendo uma melhor alocação de recursos públicos.</w:t>
      </w:r>
    </w:p>
    <w:p w14:paraId="6224D295"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eastAsia="Times New Roman" w:hAnsi="Arial" w:cs="Arial"/>
          <w:lang w:eastAsia="pt-BR"/>
        </w:rPr>
        <w:t>1.3 Justificativa</w:t>
      </w:r>
    </w:p>
    <w:p w14:paraId="39AF89E0"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hAnsi="Arial" w:cs="Arial"/>
        </w:rPr>
        <w:t>A justificativa deste estudo se refere à relevância social e econômica dos investimentos desenvolvidos, que impactaram diretamente a população atendida pelos programas governamentais. Além disso, o uso de dados originais e oficiais possibilita a construção de modelos analíticos robustos e confiáveis. A análise temporal desses dados é fundamental para uma visão dinâmica de como os recursos são aplicados ao longo do tempo, possibilitando o aprimoramento das políticas públicas e uma gestão mais eficaz dos investimentos.</w:t>
      </w:r>
    </w:p>
    <w:p w14:paraId="1E4937DC" w14:textId="77777777" w:rsidR="00A71566" w:rsidRPr="003611A6" w:rsidRDefault="00000000" w:rsidP="003611A6">
      <w:pPr>
        <w:pStyle w:val="PargrafodaLista"/>
        <w:numPr>
          <w:ilvl w:val="1"/>
          <w:numId w:val="3"/>
        </w:numPr>
        <w:suppressAutoHyphens w:val="0"/>
        <w:spacing w:beforeAutospacing="1" w:afterAutospacing="1" w:line="360" w:lineRule="auto"/>
        <w:jc w:val="both"/>
        <w:rPr>
          <w:rFonts w:ascii="Arial" w:hAnsi="Arial" w:cs="Arial"/>
        </w:rPr>
      </w:pPr>
      <w:r w:rsidRPr="003611A6">
        <w:rPr>
          <w:rFonts w:ascii="Arial" w:eastAsia="Times New Roman" w:hAnsi="Arial" w:cs="Arial"/>
          <w:lang w:eastAsia="pt-BR"/>
        </w:rPr>
        <w:t>Objetivo geral e objetivos específicos da pesquisa</w:t>
      </w:r>
    </w:p>
    <w:p w14:paraId="79F0B275" w14:textId="77777777" w:rsidR="00A71566" w:rsidRPr="003611A6" w:rsidRDefault="00A71566" w:rsidP="003611A6">
      <w:pPr>
        <w:pStyle w:val="PargrafodaLista"/>
        <w:suppressAutoHyphens w:val="0"/>
        <w:spacing w:beforeAutospacing="1" w:afterAutospacing="1" w:line="360" w:lineRule="auto"/>
        <w:jc w:val="both"/>
        <w:rPr>
          <w:rFonts w:ascii="Arial" w:hAnsi="Arial" w:cs="Arial"/>
        </w:rPr>
      </w:pPr>
    </w:p>
    <w:p w14:paraId="21FB33E8"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hAnsi="Arial" w:cs="Arial"/>
        </w:rPr>
        <w:t>O objetivo geral deste trabalho é realizar uma análise temporal dos investimentos do Ministério das Cidades, aplicando técnicas estatísticas e de aprendizado de máquina para identi</w:t>
      </w:r>
      <w:r w:rsidRPr="003611A6">
        <w:rPr>
          <w:rFonts w:ascii="Arial" w:hAnsi="Arial" w:cs="Arial"/>
        </w:rPr>
        <w:lastRenderedPageBreak/>
        <w:t>ficar padrões, prever comportamentos futuros e contribuir para a transparência e eficácia das políticas públicas.</w:t>
      </w:r>
    </w:p>
    <w:p w14:paraId="3D03196F"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hAnsi="Arial" w:cs="Arial"/>
        </w:rPr>
        <w:t>Os objetivos específicos são:</w:t>
      </w:r>
    </w:p>
    <w:p w14:paraId="3AF37C1C" w14:textId="77777777" w:rsidR="00A71566" w:rsidRPr="003611A6" w:rsidRDefault="00000000" w:rsidP="003611A6">
      <w:pPr>
        <w:numPr>
          <w:ilvl w:val="0"/>
          <w:numId w:val="4"/>
        </w:numPr>
        <w:suppressAutoHyphens w:val="0"/>
        <w:spacing w:beforeAutospacing="1" w:after="0" w:line="360" w:lineRule="auto"/>
        <w:jc w:val="both"/>
        <w:rPr>
          <w:rFonts w:ascii="Arial" w:hAnsi="Arial" w:cs="Arial"/>
        </w:rPr>
      </w:pPr>
      <w:r w:rsidRPr="003611A6">
        <w:rPr>
          <w:rFonts w:ascii="Arial" w:hAnsi="Arial" w:cs="Arial"/>
        </w:rPr>
        <w:t>Realizar a coleta, tratamento e exploração dos dados oficiais da carteira de investimentos;</w:t>
      </w:r>
    </w:p>
    <w:p w14:paraId="29ED0E46" w14:textId="77777777" w:rsidR="00A71566" w:rsidRPr="003611A6" w:rsidRDefault="00000000" w:rsidP="003611A6">
      <w:pPr>
        <w:numPr>
          <w:ilvl w:val="0"/>
          <w:numId w:val="4"/>
        </w:numPr>
        <w:suppressAutoHyphens w:val="0"/>
        <w:spacing w:after="0" w:line="360" w:lineRule="auto"/>
        <w:jc w:val="both"/>
        <w:rPr>
          <w:rFonts w:ascii="Arial" w:hAnsi="Arial" w:cs="Arial"/>
        </w:rPr>
      </w:pPr>
      <w:r w:rsidRPr="003611A6">
        <w:rPr>
          <w:rFonts w:ascii="Arial" w:hAnsi="Arial" w:cs="Arial"/>
        </w:rPr>
        <w:t>Aplicar modelos de séries temporais para identificar tendências, sazonalidades e anomalias em investimentos públicos;</w:t>
      </w:r>
    </w:p>
    <w:p w14:paraId="06494D94" w14:textId="77777777" w:rsidR="00A71566" w:rsidRPr="003611A6" w:rsidRDefault="00000000" w:rsidP="003611A6">
      <w:pPr>
        <w:numPr>
          <w:ilvl w:val="0"/>
          <w:numId w:val="4"/>
        </w:numPr>
        <w:suppressAutoHyphens w:val="0"/>
        <w:spacing w:after="0" w:line="360" w:lineRule="auto"/>
        <w:jc w:val="both"/>
        <w:rPr>
          <w:rFonts w:ascii="Arial" w:hAnsi="Arial" w:cs="Arial"/>
        </w:rPr>
      </w:pPr>
      <w:r w:rsidRPr="003611A6">
        <w:rPr>
          <w:rFonts w:ascii="Arial" w:hAnsi="Arial" w:cs="Arial"/>
        </w:rPr>
        <w:t>Desenvolver modelos preditivos que auxiliem no planejamento e tomada de decisões governamentais;</w:t>
      </w:r>
    </w:p>
    <w:p w14:paraId="4531D871" w14:textId="77777777" w:rsidR="00A71566" w:rsidRPr="003611A6" w:rsidRDefault="00000000" w:rsidP="003611A6">
      <w:pPr>
        <w:numPr>
          <w:ilvl w:val="0"/>
          <w:numId w:val="4"/>
        </w:numPr>
        <w:suppressAutoHyphens w:val="0"/>
        <w:spacing w:after="0" w:line="360" w:lineRule="auto"/>
        <w:jc w:val="both"/>
        <w:rPr>
          <w:rFonts w:ascii="Arial" w:hAnsi="Arial" w:cs="Arial"/>
        </w:rPr>
      </w:pPr>
      <w:r w:rsidRPr="003611A6">
        <w:rPr>
          <w:rFonts w:ascii="Arial" w:hAnsi="Arial" w:cs="Arial"/>
        </w:rPr>
        <w:t>Produzir análises e visualizações que facilitam a compreensão e acompanhamento dos investimentos por parte de gestores públicos e da sociedade;</w:t>
      </w:r>
    </w:p>
    <w:p w14:paraId="2449514D" w14:textId="77777777" w:rsidR="00A71566" w:rsidRPr="003611A6" w:rsidRDefault="00000000" w:rsidP="003611A6">
      <w:pPr>
        <w:numPr>
          <w:ilvl w:val="0"/>
          <w:numId w:val="4"/>
        </w:numPr>
        <w:suppressAutoHyphens w:val="0"/>
        <w:spacing w:afterAutospacing="1" w:line="360" w:lineRule="auto"/>
        <w:jc w:val="both"/>
        <w:rPr>
          <w:rFonts w:ascii="Arial" w:hAnsi="Arial" w:cs="Arial"/>
        </w:rPr>
      </w:pPr>
      <w:r w:rsidRPr="003611A6">
        <w:rPr>
          <w:rFonts w:ascii="Arial" w:eastAsia="Times New Roman" w:hAnsi="Arial" w:cs="Arial"/>
          <w:lang w:eastAsia="pt-BR"/>
        </w:rPr>
        <w:t>Contribuir para o avanço da prática da transparência e do controle social sobre os recursos públicos.</w:t>
      </w:r>
    </w:p>
    <w:p w14:paraId="2BC0C02E" w14:textId="77777777" w:rsidR="00A71566" w:rsidRPr="003611A6" w:rsidRDefault="00A71566" w:rsidP="003611A6">
      <w:pPr>
        <w:pStyle w:val="PargrafodaLista"/>
        <w:suppressAutoHyphens w:val="0"/>
        <w:spacing w:beforeAutospacing="1" w:afterAutospacing="1" w:line="360" w:lineRule="auto"/>
        <w:jc w:val="both"/>
        <w:rPr>
          <w:rFonts w:ascii="Arial" w:hAnsi="Arial" w:cs="Arial"/>
        </w:rPr>
      </w:pPr>
    </w:p>
    <w:p w14:paraId="1C9969F2" w14:textId="77777777" w:rsidR="00A71566" w:rsidRPr="003611A6" w:rsidRDefault="00000000" w:rsidP="003611A6">
      <w:pPr>
        <w:pStyle w:val="PargrafodaLista"/>
        <w:numPr>
          <w:ilvl w:val="1"/>
          <w:numId w:val="3"/>
        </w:numPr>
        <w:suppressAutoHyphens w:val="0"/>
        <w:spacing w:beforeAutospacing="1" w:afterAutospacing="1" w:line="360" w:lineRule="auto"/>
        <w:jc w:val="both"/>
        <w:rPr>
          <w:rFonts w:ascii="Arial" w:hAnsi="Arial" w:cs="Arial"/>
        </w:rPr>
      </w:pPr>
      <w:r w:rsidRPr="003611A6">
        <w:rPr>
          <w:rFonts w:ascii="Arial" w:eastAsia="Times New Roman" w:hAnsi="Arial" w:cs="Arial"/>
          <w:lang w:eastAsia="pt-BR"/>
        </w:rPr>
        <w:t xml:space="preserve"> Descrição da base de dados</w:t>
      </w:r>
    </w:p>
    <w:p w14:paraId="44823C76"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hAnsi="Arial" w:cs="Arial"/>
        </w:rPr>
        <w:t xml:space="preserve">Este </w:t>
      </w:r>
      <w:proofErr w:type="spellStart"/>
      <w:r w:rsidRPr="003611A6">
        <w:rPr>
          <w:rFonts w:ascii="Arial" w:hAnsi="Arial" w:cs="Arial"/>
        </w:rPr>
        <w:t>dataset</w:t>
      </w:r>
      <w:proofErr w:type="spellEnd"/>
      <w:r w:rsidRPr="003611A6">
        <w:rPr>
          <w:rFonts w:ascii="Arial" w:hAnsi="Arial" w:cs="Arial"/>
        </w:rPr>
        <w:t xml:space="preserve"> reúne informações estruturadas sobre a carteira de investimento do Ministério das Cidades, consolidando registros de programas, operações financeiras e iniciativas voltadas ao desenvolvimento urbano, habitação e infraestrutura. A base foi construída a partir de múltiplas fontes oficiais de dados governamentais — como </w:t>
      </w:r>
      <w:proofErr w:type="spellStart"/>
      <w:r w:rsidRPr="003611A6">
        <w:rPr>
          <w:rFonts w:ascii="Arial" w:hAnsi="Arial" w:cs="Arial"/>
        </w:rPr>
        <w:t>Transferegov</w:t>
      </w:r>
      <w:proofErr w:type="spellEnd"/>
      <w:r w:rsidRPr="003611A6">
        <w:rPr>
          <w:rFonts w:ascii="Arial" w:hAnsi="Arial" w:cs="Arial"/>
        </w:rPr>
        <w:t>, BD Gestores, Canal FGTS, Minha Casa Minha Vida e BNDES — garantindo padronização e integridade das informações.</w:t>
      </w:r>
    </w:p>
    <w:p w14:paraId="535642A6"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hAnsi="Arial" w:cs="Arial"/>
        </w:rPr>
        <w:t>Trata-se de uma matriz de dimensões significativas, com 148.894 observações (linhas) e 72 variáveis (colunas). Inclui identificadores de contratos e convênios (</w:t>
      </w:r>
      <w:proofErr w:type="spellStart"/>
      <w:r w:rsidRPr="003611A6">
        <w:rPr>
          <w:rFonts w:ascii="Arial" w:hAnsi="Arial" w:cs="Arial"/>
        </w:rPr>
        <w:t>num_convenio</w:t>
      </w:r>
      <w:proofErr w:type="spellEnd"/>
      <w:r w:rsidRPr="003611A6">
        <w:rPr>
          <w:rFonts w:ascii="Arial" w:hAnsi="Arial" w:cs="Arial"/>
        </w:rPr>
        <w:t xml:space="preserve">, </w:t>
      </w:r>
      <w:proofErr w:type="spellStart"/>
      <w:r w:rsidRPr="003611A6">
        <w:rPr>
          <w:rFonts w:ascii="Arial" w:hAnsi="Arial" w:cs="Arial"/>
        </w:rPr>
        <w:t>cod_proposta</w:t>
      </w:r>
      <w:proofErr w:type="spellEnd"/>
      <w:r w:rsidRPr="003611A6">
        <w:rPr>
          <w:rFonts w:ascii="Arial" w:hAnsi="Arial" w:cs="Arial"/>
        </w:rPr>
        <w:t>), dados georreferenciados (</w:t>
      </w:r>
      <w:proofErr w:type="spellStart"/>
      <w:r w:rsidRPr="003611A6">
        <w:rPr>
          <w:rFonts w:ascii="Arial" w:hAnsi="Arial" w:cs="Arial"/>
        </w:rPr>
        <w:t>txt_uf</w:t>
      </w:r>
      <w:proofErr w:type="spellEnd"/>
      <w:r w:rsidRPr="003611A6">
        <w:rPr>
          <w:rFonts w:ascii="Arial" w:hAnsi="Arial" w:cs="Arial"/>
        </w:rPr>
        <w:t xml:space="preserve">, </w:t>
      </w:r>
      <w:proofErr w:type="spellStart"/>
      <w:r w:rsidRPr="003611A6">
        <w:rPr>
          <w:rFonts w:ascii="Arial" w:hAnsi="Arial" w:cs="Arial"/>
        </w:rPr>
        <w:t>txt_regiao</w:t>
      </w:r>
      <w:proofErr w:type="spellEnd"/>
      <w:r w:rsidRPr="003611A6">
        <w:rPr>
          <w:rFonts w:ascii="Arial" w:hAnsi="Arial" w:cs="Arial"/>
        </w:rPr>
        <w:t xml:space="preserve">, cod_ibge_7dig, </w:t>
      </w:r>
      <w:proofErr w:type="spellStart"/>
      <w:r w:rsidRPr="003611A6">
        <w:rPr>
          <w:rFonts w:ascii="Arial" w:hAnsi="Arial" w:cs="Arial"/>
        </w:rPr>
        <w:t>txt_municipio</w:t>
      </w:r>
      <w:proofErr w:type="spellEnd"/>
      <w:r w:rsidRPr="003611A6">
        <w:rPr>
          <w:rFonts w:ascii="Arial" w:hAnsi="Arial" w:cs="Arial"/>
        </w:rPr>
        <w:t>), além de informações financeiras (</w:t>
      </w:r>
      <w:proofErr w:type="spellStart"/>
      <w:r w:rsidRPr="003611A6">
        <w:rPr>
          <w:rFonts w:ascii="Arial" w:hAnsi="Arial" w:cs="Arial"/>
        </w:rPr>
        <w:t>vlr_investimento</w:t>
      </w:r>
      <w:proofErr w:type="spellEnd"/>
      <w:r w:rsidRPr="003611A6">
        <w:rPr>
          <w:rFonts w:ascii="Arial" w:hAnsi="Arial" w:cs="Arial"/>
        </w:rPr>
        <w:t xml:space="preserve">, </w:t>
      </w:r>
      <w:proofErr w:type="spellStart"/>
      <w:r w:rsidRPr="003611A6">
        <w:rPr>
          <w:rFonts w:ascii="Arial" w:hAnsi="Arial" w:cs="Arial"/>
        </w:rPr>
        <w:t>vlr_repasse</w:t>
      </w:r>
      <w:proofErr w:type="spellEnd"/>
      <w:r w:rsidRPr="003611A6">
        <w:rPr>
          <w:rFonts w:ascii="Arial" w:hAnsi="Arial" w:cs="Arial"/>
        </w:rPr>
        <w:t xml:space="preserve">, </w:t>
      </w:r>
      <w:proofErr w:type="spellStart"/>
      <w:r w:rsidRPr="003611A6">
        <w:rPr>
          <w:rFonts w:ascii="Arial" w:hAnsi="Arial" w:cs="Arial"/>
        </w:rPr>
        <w:t>vlr_contrapartida</w:t>
      </w:r>
      <w:proofErr w:type="spellEnd"/>
      <w:r w:rsidRPr="003611A6">
        <w:rPr>
          <w:rFonts w:ascii="Arial" w:hAnsi="Arial" w:cs="Arial"/>
        </w:rPr>
        <w:t xml:space="preserve">, </w:t>
      </w:r>
      <w:proofErr w:type="spellStart"/>
      <w:r w:rsidRPr="003611A6">
        <w:rPr>
          <w:rFonts w:ascii="Arial" w:hAnsi="Arial" w:cs="Arial"/>
        </w:rPr>
        <w:t>vlr_empenhado</w:t>
      </w:r>
      <w:proofErr w:type="spellEnd"/>
      <w:r w:rsidRPr="003611A6">
        <w:rPr>
          <w:rFonts w:ascii="Arial" w:hAnsi="Arial" w:cs="Arial"/>
        </w:rPr>
        <w:t xml:space="preserve">, </w:t>
      </w:r>
      <w:proofErr w:type="spellStart"/>
      <w:r w:rsidRPr="003611A6">
        <w:rPr>
          <w:rFonts w:ascii="Arial" w:hAnsi="Arial" w:cs="Arial"/>
        </w:rPr>
        <w:t>vlr_pago</w:t>
      </w:r>
      <w:proofErr w:type="spellEnd"/>
      <w:r w:rsidRPr="003611A6">
        <w:rPr>
          <w:rFonts w:ascii="Arial" w:hAnsi="Arial" w:cs="Arial"/>
        </w:rPr>
        <w:t>) e variáveis de execução e monitoramento de políticas públicas (</w:t>
      </w:r>
      <w:proofErr w:type="spellStart"/>
      <w:r w:rsidRPr="003611A6">
        <w:rPr>
          <w:rFonts w:ascii="Arial" w:hAnsi="Arial" w:cs="Arial"/>
        </w:rPr>
        <w:t>prc_execucao_fisica</w:t>
      </w:r>
      <w:proofErr w:type="spellEnd"/>
      <w:r w:rsidRPr="003611A6">
        <w:rPr>
          <w:rFonts w:ascii="Arial" w:hAnsi="Arial" w:cs="Arial"/>
        </w:rPr>
        <w:t xml:space="preserve">, </w:t>
      </w:r>
      <w:proofErr w:type="spellStart"/>
      <w:r w:rsidRPr="003611A6">
        <w:rPr>
          <w:rFonts w:ascii="Arial" w:hAnsi="Arial" w:cs="Arial"/>
        </w:rPr>
        <w:t>qtd_uh</w:t>
      </w:r>
      <w:proofErr w:type="spellEnd"/>
      <w:r w:rsidRPr="003611A6">
        <w:rPr>
          <w:rFonts w:ascii="Arial" w:hAnsi="Arial" w:cs="Arial"/>
        </w:rPr>
        <w:t xml:space="preserve">, </w:t>
      </w:r>
      <w:proofErr w:type="spellStart"/>
      <w:r w:rsidRPr="003611A6">
        <w:rPr>
          <w:rFonts w:ascii="Arial" w:hAnsi="Arial" w:cs="Arial"/>
        </w:rPr>
        <w:t>dsc_situacao_contrato_mcid</w:t>
      </w:r>
      <w:proofErr w:type="spellEnd"/>
      <w:r w:rsidRPr="003611A6">
        <w:rPr>
          <w:rFonts w:ascii="Arial" w:hAnsi="Arial" w:cs="Arial"/>
        </w:rPr>
        <w:t>). Esses atributos permitem análises descritivas, preditivas e exploratórias sobre a eficácia dos investimentos.</w:t>
      </w:r>
    </w:p>
    <w:p w14:paraId="2F47B498" w14:textId="77777777" w:rsidR="00A71566" w:rsidRPr="003611A6" w:rsidRDefault="00000000" w:rsidP="003611A6">
      <w:pPr>
        <w:suppressAutoHyphens w:val="0"/>
        <w:spacing w:beforeAutospacing="1" w:afterAutospacing="1" w:line="360" w:lineRule="auto"/>
        <w:jc w:val="both"/>
        <w:rPr>
          <w:rFonts w:ascii="Arial" w:hAnsi="Arial" w:cs="Arial"/>
        </w:rPr>
      </w:pPr>
      <w:r w:rsidRPr="003611A6">
        <w:rPr>
          <w:rFonts w:ascii="Arial" w:hAnsi="Arial" w:cs="Arial"/>
        </w:rPr>
        <w:t xml:space="preserve">O </w:t>
      </w:r>
      <w:proofErr w:type="spellStart"/>
      <w:r w:rsidRPr="003611A6">
        <w:rPr>
          <w:rFonts w:ascii="Arial" w:hAnsi="Arial" w:cs="Arial"/>
        </w:rPr>
        <w:t>dataset</w:t>
      </w:r>
      <w:proofErr w:type="spellEnd"/>
      <w:r w:rsidRPr="003611A6">
        <w:rPr>
          <w:rFonts w:ascii="Arial" w:hAnsi="Arial" w:cs="Arial"/>
        </w:rPr>
        <w:t xml:space="preserve"> também se caracteriza pela diversidade de tipos de dados: variáveis categóricas (ex.: </w:t>
      </w:r>
      <w:proofErr w:type="spellStart"/>
      <w:r w:rsidRPr="003611A6">
        <w:rPr>
          <w:rFonts w:ascii="Arial" w:hAnsi="Arial" w:cs="Arial"/>
        </w:rPr>
        <w:t>txt_tipo_instrumento</w:t>
      </w:r>
      <w:proofErr w:type="spellEnd"/>
      <w:r w:rsidRPr="003611A6">
        <w:rPr>
          <w:rFonts w:ascii="Arial" w:hAnsi="Arial" w:cs="Arial"/>
        </w:rPr>
        <w:t xml:space="preserve">, </w:t>
      </w:r>
      <w:proofErr w:type="spellStart"/>
      <w:r w:rsidRPr="003611A6">
        <w:rPr>
          <w:rFonts w:ascii="Arial" w:hAnsi="Arial" w:cs="Arial"/>
        </w:rPr>
        <w:t>dsc_objeto_instrumento</w:t>
      </w:r>
      <w:proofErr w:type="spellEnd"/>
      <w:r w:rsidRPr="003611A6">
        <w:rPr>
          <w:rFonts w:ascii="Arial" w:hAnsi="Arial" w:cs="Arial"/>
        </w:rPr>
        <w:t>), numéricas contínuas (valores monetários, percentuais de execução) e temporais (</w:t>
      </w:r>
      <w:proofErr w:type="spellStart"/>
      <w:r w:rsidRPr="003611A6">
        <w:rPr>
          <w:rFonts w:ascii="Arial" w:hAnsi="Arial" w:cs="Arial"/>
        </w:rPr>
        <w:t>dte_assinatura_contrato</w:t>
      </w:r>
      <w:proofErr w:type="spellEnd"/>
      <w:r w:rsidRPr="003611A6">
        <w:rPr>
          <w:rFonts w:ascii="Arial" w:hAnsi="Arial" w:cs="Arial"/>
        </w:rPr>
        <w:t xml:space="preserve">, </w:t>
      </w:r>
      <w:proofErr w:type="spellStart"/>
      <w:r w:rsidRPr="003611A6">
        <w:rPr>
          <w:rFonts w:ascii="Arial" w:hAnsi="Arial" w:cs="Arial"/>
        </w:rPr>
        <w:t>dte_</w:t>
      </w:r>
      <w:proofErr w:type="gramStart"/>
      <w:r w:rsidRPr="003611A6">
        <w:rPr>
          <w:rFonts w:ascii="Arial" w:hAnsi="Arial" w:cs="Arial"/>
        </w:rPr>
        <w:t>inicio</w:t>
      </w:r>
      <w:proofErr w:type="gramEnd"/>
      <w:r w:rsidRPr="003611A6">
        <w:rPr>
          <w:rFonts w:ascii="Arial" w:hAnsi="Arial" w:cs="Arial"/>
        </w:rPr>
        <w:t>_obra</w:t>
      </w:r>
      <w:proofErr w:type="spellEnd"/>
      <w:r w:rsidRPr="003611A6">
        <w:rPr>
          <w:rFonts w:ascii="Arial" w:hAnsi="Arial" w:cs="Arial"/>
        </w:rPr>
        <w:t xml:space="preserve">, </w:t>
      </w:r>
      <w:proofErr w:type="spellStart"/>
      <w:r w:rsidRPr="003611A6">
        <w:rPr>
          <w:rFonts w:ascii="Arial" w:hAnsi="Arial" w:cs="Arial"/>
        </w:rPr>
        <w:lastRenderedPageBreak/>
        <w:t>dte_carga</w:t>
      </w:r>
      <w:proofErr w:type="spellEnd"/>
      <w:r w:rsidRPr="003611A6">
        <w:rPr>
          <w:rFonts w:ascii="Arial" w:hAnsi="Arial" w:cs="Arial"/>
        </w:rPr>
        <w:t>). Essa heterogeneidade possibilita desde análises de séries temporais até a aplicação de modelos de machine learning voltados à previsão de desembolsos, atrasos ou identificação de padrões em contratos paralisados.</w:t>
      </w:r>
    </w:p>
    <w:p w14:paraId="6CE80056" w14:textId="77777777" w:rsidR="00A71566" w:rsidRPr="003611A6" w:rsidRDefault="00A71566" w:rsidP="003611A6">
      <w:pPr>
        <w:suppressAutoHyphens w:val="0"/>
        <w:spacing w:beforeAutospacing="1" w:afterAutospacing="1" w:line="360" w:lineRule="auto"/>
        <w:jc w:val="both"/>
        <w:rPr>
          <w:rFonts w:ascii="Arial" w:hAnsi="Arial" w:cs="Arial"/>
        </w:rPr>
      </w:pPr>
    </w:p>
    <w:p w14:paraId="1B61CA45"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t>Referencial teórico</w:t>
      </w:r>
    </w:p>
    <w:p w14:paraId="1199899E" w14:textId="77777777" w:rsidR="00A71566" w:rsidRPr="003611A6" w:rsidRDefault="00A71566" w:rsidP="003611A6">
      <w:pPr>
        <w:pStyle w:val="Corpodetexto"/>
        <w:spacing w:after="0" w:line="360" w:lineRule="auto"/>
        <w:ind w:left="720"/>
        <w:contextualSpacing/>
        <w:jc w:val="both"/>
        <w:rPr>
          <w:rFonts w:ascii="Arial" w:hAnsi="Arial" w:cs="Arial"/>
          <w:b/>
          <w:bCs/>
          <w:color w:val="111111"/>
        </w:rPr>
      </w:pPr>
    </w:p>
    <w:p w14:paraId="4A412FFD" w14:textId="77777777" w:rsidR="00A71566" w:rsidRPr="003611A6" w:rsidRDefault="00000000" w:rsidP="003611A6">
      <w:pPr>
        <w:spacing w:line="360" w:lineRule="auto"/>
        <w:jc w:val="both"/>
        <w:rPr>
          <w:rFonts w:ascii="Arial" w:hAnsi="Arial" w:cs="Arial"/>
        </w:rPr>
      </w:pPr>
      <w:r w:rsidRPr="003611A6">
        <w:rPr>
          <w:rFonts w:ascii="Arial" w:hAnsi="Arial" w:cs="Arial"/>
        </w:rPr>
        <w:t>Os investimentos públicos urbanos constituem um dos principais instrumentos de promoção do desenvolvimento social e econômico, ao influenciarem diretamente a infraestrutura, o bem-estar e a equidade territorial. Analisar a evolução desses investimentos ao longo do tempo é fundamental para aprimorar a eficiência da gestão pública, promover a transparência e orientar a alocação racional de recursos (</w:t>
      </w:r>
      <w:proofErr w:type="spellStart"/>
      <w:r w:rsidRPr="003611A6">
        <w:rPr>
          <w:rFonts w:ascii="Arial" w:hAnsi="Arial" w:cs="Arial"/>
        </w:rPr>
        <w:t>Orair</w:t>
      </w:r>
      <w:proofErr w:type="spellEnd"/>
      <w:r w:rsidRPr="003611A6">
        <w:rPr>
          <w:rFonts w:ascii="Arial" w:hAnsi="Arial" w:cs="Arial"/>
        </w:rPr>
        <w:t>, 2018).</w:t>
      </w:r>
    </w:p>
    <w:p w14:paraId="41DAE297" w14:textId="77777777" w:rsidR="00A71566" w:rsidRPr="003611A6" w:rsidRDefault="00000000" w:rsidP="003611A6">
      <w:pPr>
        <w:spacing w:line="360" w:lineRule="auto"/>
        <w:jc w:val="both"/>
        <w:rPr>
          <w:rFonts w:ascii="Arial" w:hAnsi="Arial" w:cs="Arial"/>
        </w:rPr>
      </w:pPr>
      <w:r w:rsidRPr="003611A6">
        <w:rPr>
          <w:rFonts w:ascii="Arial" w:hAnsi="Arial" w:cs="Arial"/>
        </w:rPr>
        <w:t>A análise de séries temporais tem sido amplamente empregada em estudos que buscam compreender e prever o comportamento de indicadores econômicos e governamentais. Essa abordagem permite identificar padrões de tendência, variações sazonais e choques estruturais, fornecendo base quantitativa para o planejamento e o monitoramento de políticas públicas. Entre os métodos clássicos, o ARIMA (</w:t>
      </w:r>
      <w:proofErr w:type="spellStart"/>
      <w:r w:rsidRPr="003611A6">
        <w:rPr>
          <w:rFonts w:ascii="Arial" w:hAnsi="Arial" w:cs="Arial"/>
        </w:rPr>
        <w:t>AutoRegressive</w:t>
      </w:r>
      <w:proofErr w:type="spellEnd"/>
      <w:r w:rsidRPr="003611A6">
        <w:rPr>
          <w:rFonts w:ascii="Arial" w:hAnsi="Arial" w:cs="Arial"/>
        </w:rPr>
        <w:t xml:space="preserve"> </w:t>
      </w:r>
      <w:proofErr w:type="spellStart"/>
      <w:r w:rsidRPr="003611A6">
        <w:rPr>
          <w:rFonts w:ascii="Arial" w:hAnsi="Arial" w:cs="Arial"/>
        </w:rPr>
        <w:t>Integrated</w:t>
      </w:r>
      <w:proofErr w:type="spellEnd"/>
      <w:r w:rsidRPr="003611A6">
        <w:rPr>
          <w:rFonts w:ascii="Arial" w:hAnsi="Arial" w:cs="Arial"/>
        </w:rPr>
        <w:t xml:space="preserve"> Moving </w:t>
      </w:r>
      <w:proofErr w:type="spellStart"/>
      <w:r w:rsidRPr="003611A6">
        <w:rPr>
          <w:rFonts w:ascii="Arial" w:hAnsi="Arial" w:cs="Arial"/>
        </w:rPr>
        <w:t>Average</w:t>
      </w:r>
      <w:proofErr w:type="spellEnd"/>
      <w:r w:rsidRPr="003611A6">
        <w:rPr>
          <w:rFonts w:ascii="Arial" w:hAnsi="Arial" w:cs="Arial"/>
        </w:rPr>
        <w:t xml:space="preserve">) é um dos mais utilizados por combinar componentes </w:t>
      </w:r>
      <w:proofErr w:type="spellStart"/>
      <w:r w:rsidRPr="003611A6">
        <w:rPr>
          <w:rFonts w:ascii="Arial" w:hAnsi="Arial" w:cs="Arial"/>
        </w:rPr>
        <w:t>autoregressivos</w:t>
      </w:r>
      <w:proofErr w:type="spellEnd"/>
      <w:r w:rsidRPr="003611A6">
        <w:rPr>
          <w:rFonts w:ascii="Arial" w:hAnsi="Arial" w:cs="Arial"/>
        </w:rPr>
        <w:t xml:space="preserve"> e de médias móveis, capturando dependências lineares entre períodos sucessivos (Costa, 2021). Em aplicações com dados de despesa pública, o ARIMA mostrou ser eficaz para prever fluxos de investimento de curto prazo, com erros médios inferiores a 5% em séries mensais com tendência estável.</w:t>
      </w:r>
    </w:p>
    <w:p w14:paraId="053380FE" w14:textId="77777777" w:rsidR="00A71566" w:rsidRPr="003611A6" w:rsidRDefault="00000000" w:rsidP="003611A6">
      <w:pPr>
        <w:spacing w:line="360" w:lineRule="auto"/>
        <w:jc w:val="both"/>
        <w:rPr>
          <w:rFonts w:ascii="Arial" w:hAnsi="Arial" w:cs="Arial"/>
        </w:rPr>
      </w:pPr>
      <w:r w:rsidRPr="003611A6">
        <w:rPr>
          <w:rFonts w:ascii="Arial" w:hAnsi="Arial" w:cs="Arial"/>
        </w:rPr>
        <w:t>Para séries com comportamento sazonal pronunciado, como as relacionadas à execução de obras públicas, técnicas mais elaboradas são recomendadas. O SARIMA (</w:t>
      </w:r>
      <w:proofErr w:type="spellStart"/>
      <w:r w:rsidRPr="003611A6">
        <w:rPr>
          <w:rFonts w:ascii="Arial" w:hAnsi="Arial" w:cs="Arial"/>
        </w:rPr>
        <w:t>Seasonal</w:t>
      </w:r>
      <w:proofErr w:type="spellEnd"/>
      <w:r w:rsidRPr="003611A6">
        <w:rPr>
          <w:rFonts w:ascii="Arial" w:hAnsi="Arial" w:cs="Arial"/>
        </w:rPr>
        <w:t xml:space="preserve"> ARIMA) introduz parâmetros sazonais ((P, D, Q, s)), possibilitando a modelagem de ciclos anuais e semestrais. O modelo Holt-Winters, por sua vez, aplica suavização exponencial tripla, ajustando simultaneamente o nível, a tendência e a sazonalidade. Estudos recentes mostraram que o Holt-Winters apresenta desempenho comparável ou superior ao SARIMA em séries com sazonalidade regular e poucas rupturas (Viana, 2025), além de exigir menor esforço de calibração.</w:t>
      </w:r>
    </w:p>
    <w:p w14:paraId="23E8445A" w14:textId="77777777" w:rsidR="00A71566" w:rsidRPr="003611A6" w:rsidRDefault="00000000" w:rsidP="003611A6">
      <w:pPr>
        <w:spacing w:line="360" w:lineRule="auto"/>
        <w:jc w:val="both"/>
        <w:rPr>
          <w:rFonts w:ascii="Arial" w:hAnsi="Arial" w:cs="Arial"/>
        </w:rPr>
      </w:pPr>
      <w:r w:rsidRPr="003611A6">
        <w:rPr>
          <w:rFonts w:ascii="Arial" w:hAnsi="Arial" w:cs="Arial"/>
        </w:rPr>
        <w:t>Além das abordagens estatísticas, o avanço das técnicas de aprendizado de máquina ampliou o escopo da modelagem temporal. Modelos como Redes Neurais Recorrentes (RNN), LSTM (</w:t>
      </w:r>
      <w:proofErr w:type="spellStart"/>
      <w:r w:rsidRPr="003611A6">
        <w:rPr>
          <w:rFonts w:ascii="Arial" w:hAnsi="Arial" w:cs="Arial"/>
        </w:rPr>
        <w:t>Long</w:t>
      </w:r>
      <w:proofErr w:type="spellEnd"/>
      <w:r w:rsidRPr="003611A6">
        <w:rPr>
          <w:rFonts w:ascii="Arial" w:hAnsi="Arial" w:cs="Arial"/>
        </w:rPr>
        <w:t xml:space="preserve"> Short-</w:t>
      </w:r>
      <w:proofErr w:type="spellStart"/>
      <w:r w:rsidRPr="003611A6">
        <w:rPr>
          <w:rFonts w:ascii="Arial" w:hAnsi="Arial" w:cs="Arial"/>
        </w:rPr>
        <w:t>Term</w:t>
      </w:r>
      <w:proofErr w:type="spellEnd"/>
      <w:r w:rsidRPr="003611A6">
        <w:rPr>
          <w:rFonts w:ascii="Arial" w:hAnsi="Arial" w:cs="Arial"/>
        </w:rPr>
        <w:t xml:space="preserve"> </w:t>
      </w:r>
      <w:proofErr w:type="spellStart"/>
      <w:r w:rsidRPr="003611A6">
        <w:rPr>
          <w:rFonts w:ascii="Arial" w:hAnsi="Arial" w:cs="Arial"/>
        </w:rPr>
        <w:t>Memory</w:t>
      </w:r>
      <w:proofErr w:type="spellEnd"/>
      <w:r w:rsidRPr="003611A6">
        <w:rPr>
          <w:rFonts w:ascii="Arial" w:hAnsi="Arial" w:cs="Arial"/>
        </w:rPr>
        <w:t xml:space="preserve">) e o </w:t>
      </w:r>
      <w:proofErr w:type="spellStart"/>
      <w:r w:rsidRPr="003611A6">
        <w:rPr>
          <w:rFonts w:ascii="Arial" w:hAnsi="Arial" w:cs="Arial"/>
        </w:rPr>
        <w:t>Prophet</w:t>
      </w:r>
      <w:proofErr w:type="spellEnd"/>
      <w:r w:rsidRPr="003611A6">
        <w:rPr>
          <w:rFonts w:ascii="Arial" w:hAnsi="Arial" w:cs="Arial"/>
        </w:rPr>
        <w:t xml:space="preserve">, desenvolvido pelo Facebook, têm sido aplicados em séries econômicas e fiscais por sua capacidade de lidar com não </w:t>
      </w:r>
      <w:r w:rsidRPr="003611A6">
        <w:rPr>
          <w:rFonts w:ascii="Arial" w:hAnsi="Arial" w:cs="Arial"/>
        </w:rPr>
        <w:lastRenderedPageBreak/>
        <w:t xml:space="preserve">linearidades e eventos exógenos. Contudo, conforme relatado por Viana (2025), apesar do maior potencial preditivo, essas técnicas exigem grande volume de dados históricos, recursos computacionais e apresentam menor </w:t>
      </w:r>
      <w:proofErr w:type="spellStart"/>
      <w:r w:rsidRPr="003611A6">
        <w:rPr>
          <w:rFonts w:ascii="Arial" w:hAnsi="Arial" w:cs="Arial"/>
        </w:rPr>
        <w:t>interpretabilidade</w:t>
      </w:r>
      <w:proofErr w:type="spellEnd"/>
      <w:r w:rsidRPr="003611A6">
        <w:rPr>
          <w:rFonts w:ascii="Arial" w:hAnsi="Arial" w:cs="Arial"/>
        </w:rPr>
        <w:t xml:space="preserve"> — fator crítico em análises governamentais que demandam transparência e auditabilidade.</w:t>
      </w:r>
    </w:p>
    <w:p w14:paraId="2092ED64" w14:textId="77777777" w:rsidR="00A71566" w:rsidRPr="003611A6" w:rsidRDefault="00000000" w:rsidP="003611A6">
      <w:pPr>
        <w:spacing w:line="360" w:lineRule="auto"/>
        <w:jc w:val="both"/>
        <w:rPr>
          <w:rFonts w:ascii="Arial" w:hAnsi="Arial" w:cs="Arial"/>
        </w:rPr>
      </w:pPr>
      <w:r w:rsidRPr="003611A6">
        <w:rPr>
          <w:rFonts w:ascii="Arial" w:hAnsi="Arial" w:cs="Arial"/>
        </w:rPr>
        <w:t xml:space="preserve">Neste projeto, optou-se por uma abordagem explicativa e comparativa, implementando quatro modelos: </w:t>
      </w:r>
      <w:proofErr w:type="spellStart"/>
      <w:r w:rsidRPr="003611A6">
        <w:rPr>
          <w:rFonts w:ascii="Arial" w:hAnsi="Arial" w:cs="Arial"/>
        </w:rPr>
        <w:t>Naive</w:t>
      </w:r>
      <w:proofErr w:type="spellEnd"/>
      <w:r w:rsidRPr="003611A6">
        <w:rPr>
          <w:rFonts w:ascii="Arial" w:hAnsi="Arial" w:cs="Arial"/>
        </w:rPr>
        <w:t>, Sazonal Ingênuo (</w:t>
      </w:r>
      <w:proofErr w:type="spellStart"/>
      <w:r w:rsidRPr="003611A6">
        <w:rPr>
          <w:rFonts w:ascii="Arial" w:hAnsi="Arial" w:cs="Arial"/>
        </w:rPr>
        <w:t>lag</w:t>
      </w:r>
      <w:proofErr w:type="spellEnd"/>
      <w:r w:rsidRPr="003611A6">
        <w:rPr>
          <w:rFonts w:ascii="Arial" w:hAnsi="Arial" w:cs="Arial"/>
        </w:rPr>
        <w:t xml:space="preserve"> 12), Holt-Winters e SARIMA. Os dois primeiros servem como baselines, fornecendo parâmetros de referência mínimos de desempenho, enquanto os dois últimos buscam capturar a tendência e a sazonalidade anual das obras ativas financiadas pelo Ministério das Cidades. Essa seleção equilibra robustez estatística, clareza interpretativa e aplicabilidade prática aos objetivos do estudo.</w:t>
      </w:r>
    </w:p>
    <w:p w14:paraId="3FA9CDC0" w14:textId="77777777" w:rsidR="00A71566" w:rsidRPr="003611A6" w:rsidRDefault="00000000" w:rsidP="003611A6">
      <w:pPr>
        <w:spacing w:line="360" w:lineRule="auto"/>
        <w:jc w:val="both"/>
        <w:rPr>
          <w:rFonts w:ascii="Arial" w:hAnsi="Arial" w:cs="Arial"/>
        </w:rPr>
      </w:pPr>
      <w:r w:rsidRPr="003611A6">
        <w:rPr>
          <w:rFonts w:ascii="Arial" w:hAnsi="Arial" w:cs="Arial"/>
        </w:rPr>
        <w:t>Em síntese, o referencial teórico deste projeto combina fundamentos clássicos de séries temporais com evidências empíricas da literatura recente, demonstrando que o uso de modelos sazonais e suavizados é apropriado para analisar a dinâmica dos investimentos públicos e apoiar políticas de transparência, monitoramento e planejamento orçamentário.</w:t>
      </w:r>
    </w:p>
    <w:p w14:paraId="70470FF8" w14:textId="77777777" w:rsidR="00A71566" w:rsidRPr="003611A6" w:rsidRDefault="00000000" w:rsidP="003611A6">
      <w:pPr>
        <w:spacing w:line="360" w:lineRule="auto"/>
        <w:jc w:val="both"/>
        <w:rPr>
          <w:rFonts w:ascii="Arial" w:hAnsi="Arial" w:cs="Arial"/>
        </w:rPr>
      </w:pPr>
      <w:r w:rsidRPr="003611A6">
        <w:rPr>
          <w:rFonts w:ascii="Arial" w:hAnsi="Arial" w:cs="Arial"/>
        </w:rPr>
        <w:t>Diversas pesquisas recentes reforçam a relevância da modelagem temporal no contexto de políticas públicas.</w:t>
      </w:r>
    </w:p>
    <w:p w14:paraId="713C9966" w14:textId="77777777" w:rsidR="00A71566" w:rsidRPr="003611A6" w:rsidRDefault="00000000" w:rsidP="003611A6">
      <w:pPr>
        <w:spacing w:line="360" w:lineRule="auto"/>
        <w:jc w:val="both"/>
        <w:rPr>
          <w:rFonts w:ascii="Arial" w:hAnsi="Arial" w:cs="Arial"/>
        </w:rPr>
      </w:pPr>
      <w:r w:rsidRPr="003611A6">
        <w:rPr>
          <w:rFonts w:ascii="Arial" w:hAnsi="Arial" w:cs="Arial"/>
        </w:rPr>
        <w:t xml:space="preserve">* </w:t>
      </w:r>
      <w:proofErr w:type="spellStart"/>
      <w:r w:rsidRPr="003611A6">
        <w:rPr>
          <w:rFonts w:ascii="Arial" w:hAnsi="Arial" w:cs="Arial"/>
        </w:rPr>
        <w:t>Orair</w:t>
      </w:r>
      <w:proofErr w:type="spellEnd"/>
      <w:r w:rsidRPr="003611A6">
        <w:rPr>
          <w:rFonts w:ascii="Arial" w:hAnsi="Arial" w:cs="Arial"/>
        </w:rPr>
        <w:t xml:space="preserve"> (2018) analisou o investimento público federal entre 1995 e 2016, utilizando séries agregadas e modelos econométricos, e identificou forte correlação entre ciclos de investimento e o desempenho macroeconômico.</w:t>
      </w:r>
    </w:p>
    <w:p w14:paraId="3CD5C515" w14:textId="77777777" w:rsidR="00A71566" w:rsidRPr="003611A6" w:rsidRDefault="00000000" w:rsidP="003611A6">
      <w:pPr>
        <w:spacing w:line="360" w:lineRule="auto"/>
        <w:jc w:val="both"/>
        <w:rPr>
          <w:rFonts w:ascii="Arial" w:hAnsi="Arial" w:cs="Arial"/>
        </w:rPr>
      </w:pPr>
      <w:r w:rsidRPr="003611A6">
        <w:rPr>
          <w:rFonts w:ascii="Arial" w:hAnsi="Arial" w:cs="Arial"/>
        </w:rPr>
        <w:t>* Costa (2021) aplicou o modelo ARIMA à previsão de despesas públicas municipais, obtendo precisão superior a 90% em previsões trimestrais e demonstrando que a decomposição da série melhora o ajuste em períodos de crise fiscal.</w:t>
      </w:r>
    </w:p>
    <w:p w14:paraId="6FF6872D" w14:textId="77777777" w:rsidR="00A71566" w:rsidRPr="003611A6" w:rsidRDefault="00000000" w:rsidP="003611A6">
      <w:pPr>
        <w:spacing w:line="360" w:lineRule="auto"/>
        <w:jc w:val="both"/>
        <w:rPr>
          <w:rFonts w:ascii="Arial" w:hAnsi="Arial" w:cs="Arial"/>
        </w:rPr>
      </w:pPr>
      <w:r w:rsidRPr="003611A6">
        <w:rPr>
          <w:rFonts w:ascii="Arial" w:hAnsi="Arial" w:cs="Arial"/>
        </w:rPr>
        <w:t>* Viana (2025) comparou ARIMA, Holt-Winters e LSTM em dados de arrecadação tributária, concluindo que o Holt-Winters apresentou menor erro absoluto médio (MAE = 2,3%) em séries com periodicidade estável, enquanto o LSTM foi mais eficaz apenas em séries com rupturas abruptas e grande volume de observações.</w:t>
      </w:r>
    </w:p>
    <w:p w14:paraId="5FACAD4D" w14:textId="77777777" w:rsidR="00A71566" w:rsidRPr="003611A6" w:rsidRDefault="00000000" w:rsidP="003611A6">
      <w:pPr>
        <w:spacing w:line="360" w:lineRule="auto"/>
        <w:jc w:val="both"/>
        <w:rPr>
          <w:rFonts w:ascii="Arial" w:hAnsi="Arial" w:cs="Arial"/>
        </w:rPr>
      </w:pPr>
      <w:r w:rsidRPr="003611A6">
        <w:rPr>
          <w:rFonts w:ascii="Arial" w:hAnsi="Arial" w:cs="Arial"/>
        </w:rPr>
        <w:t>Esses resultados sustentam a escolha das técnicas adotadas neste projeto, especialmente o uso de Holt-Winters e SARIMA como modelos estatísticos interpretáveis e de alta acurácia em séries temporais governamentais.</w:t>
      </w:r>
    </w:p>
    <w:p w14:paraId="7E8148CC" w14:textId="77777777" w:rsidR="00A71566" w:rsidRPr="003611A6" w:rsidRDefault="00A71566" w:rsidP="003611A6">
      <w:pPr>
        <w:spacing w:line="360" w:lineRule="auto"/>
        <w:jc w:val="both"/>
        <w:rPr>
          <w:rFonts w:ascii="Arial" w:hAnsi="Arial" w:cs="Arial"/>
        </w:rPr>
      </w:pPr>
    </w:p>
    <w:p w14:paraId="40D2B48B"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t>Diagrama de Solução</w:t>
      </w:r>
    </w:p>
    <w:p w14:paraId="6E650AD7" w14:textId="77777777" w:rsidR="00A71566" w:rsidRPr="003611A6" w:rsidRDefault="00A71566" w:rsidP="003611A6">
      <w:pPr>
        <w:pStyle w:val="PargrafodaLista"/>
        <w:spacing w:line="360" w:lineRule="auto"/>
        <w:jc w:val="both"/>
        <w:rPr>
          <w:rFonts w:ascii="Arial" w:hAnsi="Arial" w:cs="Arial"/>
          <w:b/>
          <w:bCs/>
          <w:color w:val="111111"/>
        </w:rPr>
      </w:pPr>
    </w:p>
    <w:p w14:paraId="355DCBD9" w14:textId="77777777" w:rsidR="00A71566" w:rsidRPr="003611A6" w:rsidRDefault="00A71566" w:rsidP="003611A6">
      <w:pPr>
        <w:pStyle w:val="PargrafodaLista"/>
        <w:spacing w:line="360" w:lineRule="auto"/>
        <w:jc w:val="both"/>
        <w:rPr>
          <w:rFonts w:ascii="Arial" w:hAnsi="Arial" w:cs="Arial"/>
          <w:b/>
          <w:bCs/>
          <w:color w:val="111111"/>
        </w:rPr>
      </w:pPr>
    </w:p>
    <w:p w14:paraId="6A62137B" w14:textId="77777777" w:rsidR="00A71566" w:rsidRPr="003611A6" w:rsidRDefault="00000000" w:rsidP="003611A6">
      <w:pPr>
        <w:pStyle w:val="PargrafodaLista"/>
        <w:spacing w:line="360" w:lineRule="auto"/>
        <w:jc w:val="both"/>
        <w:rPr>
          <w:rFonts w:ascii="Arial" w:hAnsi="Arial" w:cs="Arial"/>
          <w:b/>
          <w:bCs/>
          <w:color w:val="111111"/>
        </w:rPr>
      </w:pPr>
      <w:r w:rsidRPr="003611A6">
        <w:rPr>
          <w:rFonts w:ascii="Arial" w:hAnsi="Arial" w:cs="Arial"/>
          <w:b/>
          <w:bCs/>
          <w:noProof/>
          <w:color w:val="111111"/>
        </w:rPr>
        <w:drawing>
          <wp:anchor distT="0" distB="0" distL="0" distR="0" simplePos="0" relativeHeight="251657216" behindDoc="0" locked="0" layoutInCell="0" allowOverlap="1" wp14:anchorId="644B7ABF" wp14:editId="3EB0DF62">
            <wp:simplePos x="0" y="0"/>
            <wp:positionH relativeFrom="column">
              <wp:align>center</wp:align>
            </wp:positionH>
            <wp:positionV relativeFrom="paragraph">
              <wp:posOffset>635</wp:posOffset>
            </wp:positionV>
            <wp:extent cx="5302885" cy="142049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bwMode="auto">
                    <a:xfrm>
                      <a:off x="0" y="0"/>
                      <a:ext cx="5302885" cy="1420495"/>
                    </a:xfrm>
                    <a:prstGeom prst="rect">
                      <a:avLst/>
                    </a:prstGeom>
                  </pic:spPr>
                </pic:pic>
              </a:graphicData>
            </a:graphic>
          </wp:anchor>
        </w:drawing>
      </w:r>
    </w:p>
    <w:p w14:paraId="4F9232BE" w14:textId="77777777" w:rsidR="00A71566" w:rsidRPr="003611A6" w:rsidRDefault="00000000" w:rsidP="003611A6">
      <w:pPr>
        <w:pStyle w:val="PargrafodaLista"/>
        <w:numPr>
          <w:ilvl w:val="0"/>
          <w:numId w:val="5"/>
        </w:numPr>
        <w:spacing w:line="360" w:lineRule="auto"/>
        <w:ind w:left="1134" w:firstLine="0"/>
        <w:jc w:val="both"/>
        <w:rPr>
          <w:rFonts w:ascii="Arial" w:hAnsi="Arial" w:cs="Arial"/>
        </w:rPr>
      </w:pPr>
      <w:r w:rsidRPr="003611A6">
        <w:rPr>
          <w:rFonts w:ascii="Arial" w:hAnsi="Arial" w:cs="Arial"/>
          <w:color w:val="111111"/>
        </w:rPr>
        <w:t>O pipeline desenvolvido para este projeto segue um fluxo linear e reproduzível que combina etapas de extração, transformação, análise e modelagem dos dados da Carteira de Investimento do Ministério das Cidades.</w:t>
      </w:r>
    </w:p>
    <w:p w14:paraId="36B193CB" w14:textId="77777777" w:rsidR="00A71566" w:rsidRPr="003611A6" w:rsidRDefault="00000000" w:rsidP="003611A6">
      <w:pPr>
        <w:pStyle w:val="PargrafodaLista"/>
        <w:numPr>
          <w:ilvl w:val="0"/>
          <w:numId w:val="5"/>
        </w:numPr>
        <w:spacing w:line="360" w:lineRule="auto"/>
        <w:ind w:left="1134" w:firstLine="0"/>
        <w:jc w:val="both"/>
        <w:rPr>
          <w:rFonts w:ascii="Arial" w:hAnsi="Arial" w:cs="Arial"/>
        </w:rPr>
      </w:pPr>
      <w:r w:rsidRPr="003611A6">
        <w:rPr>
          <w:rFonts w:ascii="Arial" w:hAnsi="Arial" w:cs="Arial"/>
          <w:color w:val="111111"/>
        </w:rPr>
        <w:t>Coleta e carregamento dos dados: o conjunto foi obtido a partir do portal dados.gov.br, contendo informações contratuais e financeiras de obras em todo o país.</w:t>
      </w:r>
    </w:p>
    <w:p w14:paraId="557F9462" w14:textId="77777777" w:rsidR="00A71566" w:rsidRPr="003611A6" w:rsidRDefault="00000000" w:rsidP="003611A6">
      <w:pPr>
        <w:pStyle w:val="PargrafodaLista"/>
        <w:numPr>
          <w:ilvl w:val="0"/>
          <w:numId w:val="5"/>
        </w:numPr>
        <w:spacing w:line="360" w:lineRule="auto"/>
        <w:ind w:left="1134" w:firstLine="0"/>
        <w:jc w:val="both"/>
        <w:rPr>
          <w:rFonts w:ascii="Arial" w:hAnsi="Arial" w:cs="Arial"/>
        </w:rPr>
      </w:pPr>
      <w:r w:rsidRPr="003611A6">
        <w:rPr>
          <w:rFonts w:ascii="Arial" w:hAnsi="Arial" w:cs="Arial"/>
          <w:color w:val="111111"/>
        </w:rPr>
        <w:t>Pré-processamento: envolveu a padronização de formatos, exclusão de colunas redundantes e tratamento de valores ausentes — categóricos preenchidos com “Desconhecido” e numéricos com zero.</w:t>
      </w:r>
    </w:p>
    <w:p w14:paraId="1A6C51F0" w14:textId="77777777" w:rsidR="00A71566" w:rsidRPr="003611A6" w:rsidRDefault="00000000" w:rsidP="003611A6">
      <w:pPr>
        <w:pStyle w:val="PargrafodaLista"/>
        <w:numPr>
          <w:ilvl w:val="0"/>
          <w:numId w:val="5"/>
        </w:numPr>
        <w:spacing w:line="360" w:lineRule="auto"/>
        <w:ind w:left="1134" w:firstLine="0"/>
        <w:jc w:val="both"/>
        <w:rPr>
          <w:rFonts w:ascii="Arial" w:hAnsi="Arial" w:cs="Arial"/>
        </w:rPr>
      </w:pPr>
      <w:r w:rsidRPr="003611A6">
        <w:rPr>
          <w:rFonts w:ascii="Arial" w:hAnsi="Arial" w:cs="Arial"/>
          <w:color w:val="111111"/>
        </w:rPr>
        <w:t xml:space="preserve">Conversão temporal: as colunas de data foram transformadas em tipo </w:t>
      </w:r>
      <w:proofErr w:type="spellStart"/>
      <w:r w:rsidRPr="003611A6">
        <w:rPr>
          <w:rFonts w:ascii="Arial" w:hAnsi="Arial" w:cs="Arial"/>
          <w:color w:val="111111"/>
        </w:rPr>
        <w:t>datetime</w:t>
      </w:r>
      <w:proofErr w:type="spellEnd"/>
      <w:r w:rsidRPr="003611A6">
        <w:rPr>
          <w:rFonts w:ascii="Arial" w:hAnsi="Arial" w:cs="Arial"/>
          <w:color w:val="111111"/>
        </w:rPr>
        <w:t xml:space="preserve"> e utilizadas para gerar uma série mensal representando a quantidade de obras ativas.</w:t>
      </w:r>
    </w:p>
    <w:p w14:paraId="489031F6" w14:textId="77777777" w:rsidR="00A71566" w:rsidRPr="003611A6" w:rsidRDefault="00000000" w:rsidP="003611A6">
      <w:pPr>
        <w:pStyle w:val="PargrafodaLista"/>
        <w:numPr>
          <w:ilvl w:val="0"/>
          <w:numId w:val="5"/>
        </w:numPr>
        <w:spacing w:line="360" w:lineRule="auto"/>
        <w:ind w:left="1134" w:firstLine="0"/>
        <w:jc w:val="both"/>
        <w:rPr>
          <w:rFonts w:ascii="Arial" w:hAnsi="Arial" w:cs="Arial"/>
        </w:rPr>
      </w:pPr>
      <w:r w:rsidRPr="003611A6">
        <w:rPr>
          <w:rFonts w:ascii="Arial" w:hAnsi="Arial" w:cs="Arial"/>
          <w:color w:val="111111"/>
        </w:rPr>
        <w:t>Análise exploratória: foram gerados gráficos de sazonalidade e decomposição temporal (tendência, sazonalidade e resíduo) para identificação de padrões.</w:t>
      </w:r>
    </w:p>
    <w:p w14:paraId="5ED99909" w14:textId="77777777" w:rsidR="00A71566" w:rsidRPr="003611A6" w:rsidRDefault="00000000" w:rsidP="003611A6">
      <w:pPr>
        <w:pStyle w:val="PargrafodaLista"/>
        <w:numPr>
          <w:ilvl w:val="0"/>
          <w:numId w:val="5"/>
        </w:numPr>
        <w:spacing w:line="360" w:lineRule="auto"/>
        <w:ind w:left="1134" w:firstLine="0"/>
        <w:jc w:val="both"/>
        <w:rPr>
          <w:rFonts w:ascii="Arial" w:hAnsi="Arial" w:cs="Arial"/>
        </w:rPr>
      </w:pPr>
      <w:r w:rsidRPr="003611A6">
        <w:rPr>
          <w:rFonts w:ascii="Arial" w:hAnsi="Arial" w:cs="Arial"/>
          <w:color w:val="111111"/>
        </w:rPr>
        <w:t xml:space="preserve">Modelagem: a série foi dividida em conjuntos de treino, validação e teste (70/15/15). Aplicaram-se os modelos </w:t>
      </w:r>
      <w:proofErr w:type="spellStart"/>
      <w:r w:rsidRPr="003611A6">
        <w:rPr>
          <w:rFonts w:ascii="Arial" w:hAnsi="Arial" w:cs="Arial"/>
          <w:color w:val="111111"/>
        </w:rPr>
        <w:t>Naive</w:t>
      </w:r>
      <w:proofErr w:type="spellEnd"/>
      <w:r w:rsidRPr="003611A6">
        <w:rPr>
          <w:rFonts w:ascii="Arial" w:hAnsi="Arial" w:cs="Arial"/>
          <w:color w:val="111111"/>
        </w:rPr>
        <w:t>, Sazonal, Holt-Winters e SARIMA, com variação simples de parâmetros.</w:t>
      </w:r>
    </w:p>
    <w:p w14:paraId="5CD0D2F9" w14:textId="77777777" w:rsidR="00A71566" w:rsidRPr="003611A6" w:rsidRDefault="00000000" w:rsidP="003611A6">
      <w:pPr>
        <w:pStyle w:val="PargrafodaLista"/>
        <w:numPr>
          <w:ilvl w:val="0"/>
          <w:numId w:val="5"/>
        </w:numPr>
        <w:spacing w:line="360" w:lineRule="auto"/>
        <w:ind w:left="1134" w:firstLine="0"/>
        <w:jc w:val="both"/>
        <w:rPr>
          <w:rFonts w:ascii="Arial" w:hAnsi="Arial" w:cs="Arial"/>
        </w:rPr>
      </w:pPr>
      <w:r w:rsidRPr="003611A6">
        <w:rPr>
          <w:rFonts w:ascii="Arial" w:hAnsi="Arial" w:cs="Arial"/>
          <w:color w:val="111111"/>
        </w:rPr>
        <w:t>Avaliação: as previsões foram comparadas por meio das métricas RMSE, MAE e MAPE, e representadas graficamente no intervalo de teste.</w:t>
      </w:r>
    </w:p>
    <w:p w14:paraId="523A7917" w14:textId="77777777" w:rsidR="00A71566" w:rsidRPr="003611A6" w:rsidRDefault="00000000" w:rsidP="003611A6">
      <w:pPr>
        <w:pStyle w:val="PargrafodaLista"/>
        <w:numPr>
          <w:ilvl w:val="0"/>
          <w:numId w:val="5"/>
        </w:numPr>
        <w:spacing w:line="360" w:lineRule="auto"/>
        <w:ind w:left="1134" w:firstLine="0"/>
        <w:jc w:val="both"/>
        <w:rPr>
          <w:rFonts w:ascii="Arial" w:hAnsi="Arial" w:cs="Arial"/>
        </w:rPr>
      </w:pPr>
      <w:r w:rsidRPr="003611A6">
        <w:rPr>
          <w:rFonts w:ascii="Arial" w:hAnsi="Arial" w:cs="Arial"/>
          <w:color w:val="111111"/>
        </w:rPr>
        <w:t>Conclusão e refinamento: os resultados apontaram melhor desempenho dos modelos com componentes sazonais, sugerindo, para etapas futuras, a inclusão de variáveis exógenas e métodos automatizados de seleção de parâmetros (AIC/BIC).</w:t>
      </w:r>
    </w:p>
    <w:p w14:paraId="28445102" w14:textId="77777777" w:rsidR="00A71566" w:rsidRPr="003611A6" w:rsidRDefault="00A71566" w:rsidP="003611A6">
      <w:pPr>
        <w:pStyle w:val="PargrafodaLista"/>
        <w:spacing w:line="360" w:lineRule="auto"/>
        <w:jc w:val="both"/>
        <w:rPr>
          <w:rFonts w:ascii="Arial" w:hAnsi="Arial" w:cs="Arial"/>
          <w:color w:val="111111"/>
        </w:rPr>
      </w:pPr>
    </w:p>
    <w:p w14:paraId="5FE4718C" w14:textId="77777777" w:rsidR="00A71566" w:rsidRDefault="00A71566" w:rsidP="003611A6">
      <w:pPr>
        <w:pStyle w:val="Corpodetexto"/>
        <w:spacing w:line="360" w:lineRule="auto"/>
        <w:jc w:val="both"/>
        <w:rPr>
          <w:rFonts w:ascii="Arial" w:hAnsi="Arial" w:cs="Arial"/>
          <w:b/>
          <w:bCs/>
          <w:color w:val="111111"/>
        </w:rPr>
      </w:pPr>
    </w:p>
    <w:p w14:paraId="1DE57E64" w14:textId="77777777" w:rsidR="002E2A1E" w:rsidRDefault="002E2A1E" w:rsidP="003611A6">
      <w:pPr>
        <w:pStyle w:val="Corpodetexto"/>
        <w:spacing w:line="360" w:lineRule="auto"/>
        <w:jc w:val="both"/>
        <w:rPr>
          <w:rFonts w:ascii="Arial" w:hAnsi="Arial" w:cs="Arial"/>
          <w:b/>
          <w:bCs/>
          <w:color w:val="111111"/>
        </w:rPr>
      </w:pPr>
    </w:p>
    <w:p w14:paraId="7D698377" w14:textId="77777777" w:rsidR="002E2A1E" w:rsidRPr="003611A6" w:rsidRDefault="002E2A1E" w:rsidP="003611A6">
      <w:pPr>
        <w:pStyle w:val="Corpodetexto"/>
        <w:spacing w:line="360" w:lineRule="auto"/>
        <w:jc w:val="both"/>
        <w:rPr>
          <w:rFonts w:ascii="Arial" w:hAnsi="Arial" w:cs="Arial"/>
          <w:b/>
          <w:bCs/>
          <w:color w:val="111111"/>
        </w:rPr>
      </w:pPr>
    </w:p>
    <w:p w14:paraId="59E4EE0F"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lastRenderedPageBreak/>
        <w:t>EDA e Pré-processamento dos dados</w:t>
      </w:r>
    </w:p>
    <w:p w14:paraId="3E8DAC5C" w14:textId="77777777" w:rsidR="00A71566" w:rsidRPr="003611A6" w:rsidRDefault="00A71566" w:rsidP="003611A6">
      <w:pPr>
        <w:pStyle w:val="Corpodetexto"/>
        <w:spacing w:after="0" w:line="360" w:lineRule="auto"/>
        <w:contextualSpacing/>
        <w:jc w:val="both"/>
        <w:rPr>
          <w:rFonts w:ascii="Arial" w:hAnsi="Arial" w:cs="Arial"/>
          <w:color w:val="111111"/>
        </w:rPr>
      </w:pPr>
    </w:p>
    <w:p w14:paraId="72B22D8D" w14:textId="7E1ECB8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color w:val="111111"/>
        </w:rPr>
        <w:t xml:space="preserve">Conforme código constante do Github do Projeto: </w:t>
      </w:r>
      <w:hyperlink r:id="rId9" w:history="1">
        <w:proofErr w:type="spellStart"/>
        <w:r w:rsidR="002E2A1E" w:rsidRPr="002E2A1E">
          <w:rPr>
            <w:rStyle w:val="Hyperlink"/>
          </w:rPr>
          <w:t>paulomasson</w:t>
        </w:r>
        <w:proofErr w:type="spellEnd"/>
        <w:r w:rsidR="002E2A1E" w:rsidRPr="002E2A1E">
          <w:rPr>
            <w:rStyle w:val="Hyperlink"/>
          </w:rPr>
          <w:t>-te</w:t>
        </w:r>
        <w:r w:rsidR="002E2A1E" w:rsidRPr="002E2A1E">
          <w:rPr>
            <w:rStyle w:val="Hyperlink"/>
          </w:rPr>
          <w:t>c</w:t>
        </w:r>
        <w:r w:rsidR="002E2A1E" w:rsidRPr="002E2A1E">
          <w:rPr>
            <w:rStyle w:val="Hyperlink"/>
          </w:rPr>
          <w:t>h/ProjetoAplicado4</w:t>
        </w:r>
      </w:hyperlink>
      <w:r w:rsidR="002E2A1E">
        <w:t xml:space="preserve"> </w:t>
      </w:r>
      <w:r w:rsidRPr="003611A6">
        <w:rPr>
          <w:rFonts w:ascii="Arial" w:hAnsi="Arial" w:cs="Arial"/>
          <w:color w:val="111111"/>
        </w:rPr>
        <w:t>Foram feitas diversas explorações na base, podendo ser mencionadas buscas por valores ausentes, conversões, descartes de atributos para redução da dimensionalidade, entre outros. Trazemos abaixo apenas os principais gráficos que ilustram o resultado dessa exploração inicial.</w:t>
      </w:r>
    </w:p>
    <w:p w14:paraId="1A769DE4" w14:textId="77777777" w:rsidR="001E5F79" w:rsidRPr="003611A6" w:rsidRDefault="001E5F79" w:rsidP="003611A6">
      <w:pPr>
        <w:pStyle w:val="Corpodetexto"/>
        <w:spacing w:after="0" w:line="360" w:lineRule="auto"/>
        <w:contextualSpacing/>
        <w:jc w:val="both"/>
        <w:rPr>
          <w:rFonts w:ascii="Arial" w:hAnsi="Arial" w:cs="Arial"/>
          <w:color w:val="111111"/>
        </w:rPr>
      </w:pPr>
    </w:p>
    <w:p w14:paraId="30937B49" w14:textId="77777777" w:rsidR="00A71566" w:rsidRDefault="00000000" w:rsidP="003611A6">
      <w:pPr>
        <w:spacing w:line="360" w:lineRule="auto"/>
        <w:jc w:val="both"/>
        <w:rPr>
          <w:rFonts w:ascii="Arial" w:hAnsi="Arial" w:cs="Arial"/>
        </w:rPr>
      </w:pPr>
      <w:r w:rsidRPr="003611A6">
        <w:rPr>
          <w:rFonts w:ascii="Arial" w:hAnsi="Arial" w:cs="Arial"/>
          <w:noProof/>
        </w:rPr>
        <w:drawing>
          <wp:inline distT="0" distB="0" distL="0" distR="0" wp14:anchorId="22767EF5" wp14:editId="36F13401">
            <wp:extent cx="5943600" cy="2945765"/>
            <wp:effectExtent l="0" t="0" r="0" b="0"/>
            <wp:docPr id="2" name="Picture 436146746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36146746 Copia 1"/>
                    <pic:cNvPicPr>
                      <a:picLocks noChangeAspect="1" noChangeArrowheads="1"/>
                    </pic:cNvPicPr>
                  </pic:nvPicPr>
                  <pic:blipFill>
                    <a:blip r:embed="rId10"/>
                    <a:stretch>
                      <a:fillRect/>
                    </a:stretch>
                  </pic:blipFill>
                  <pic:spPr bwMode="auto">
                    <a:xfrm>
                      <a:off x="0" y="0"/>
                      <a:ext cx="5943600" cy="2945765"/>
                    </a:xfrm>
                    <a:prstGeom prst="rect">
                      <a:avLst/>
                    </a:prstGeom>
                  </pic:spPr>
                </pic:pic>
              </a:graphicData>
            </a:graphic>
          </wp:inline>
        </w:drawing>
      </w:r>
    </w:p>
    <w:p w14:paraId="6BC45104" w14:textId="2F4F47DB" w:rsidR="001E5F79" w:rsidRPr="001E5F79" w:rsidRDefault="001E5F79" w:rsidP="003611A6">
      <w:pPr>
        <w:spacing w:line="360" w:lineRule="auto"/>
        <w:jc w:val="both"/>
        <w:rPr>
          <w:rFonts w:ascii="Arial" w:hAnsi="Arial" w:cs="Arial"/>
        </w:rPr>
      </w:pPr>
      <w:r w:rsidRPr="001E5F79">
        <w:rPr>
          <w:rFonts w:ascii="Arial" w:hAnsi="Arial" w:cs="Arial"/>
        </w:rPr>
        <w:t>Análise:</w:t>
      </w:r>
      <w:r>
        <w:rPr>
          <w:rFonts w:ascii="Arial" w:hAnsi="Arial" w:cs="Arial"/>
        </w:rPr>
        <w:t xml:space="preserve"> </w:t>
      </w:r>
      <w:proofErr w:type="gramStart"/>
      <w:r>
        <w:rPr>
          <w:rFonts w:ascii="Arial" w:hAnsi="Arial" w:cs="Arial"/>
        </w:rPr>
        <w:t>Através do gráficos</w:t>
      </w:r>
      <w:proofErr w:type="gramEnd"/>
      <w:r>
        <w:rPr>
          <w:rFonts w:ascii="Arial" w:hAnsi="Arial" w:cs="Arial"/>
        </w:rPr>
        <w:t xml:space="preserve"> conseguimos perceber que os meses de junho e julho representam o maior pico de obras do ano, com as respectivas médias 250 e 150</w:t>
      </w:r>
    </w:p>
    <w:p w14:paraId="24ED5C37" w14:textId="77777777" w:rsidR="00A71566" w:rsidRPr="003611A6" w:rsidRDefault="00A71566" w:rsidP="003611A6">
      <w:pPr>
        <w:spacing w:line="360" w:lineRule="auto"/>
        <w:jc w:val="both"/>
        <w:rPr>
          <w:rFonts w:ascii="Arial" w:hAnsi="Arial" w:cs="Arial"/>
          <w:i/>
        </w:rPr>
      </w:pPr>
    </w:p>
    <w:p w14:paraId="40F76267" w14:textId="77777777" w:rsidR="00A71566" w:rsidRDefault="00000000" w:rsidP="003611A6">
      <w:pPr>
        <w:spacing w:line="360" w:lineRule="auto"/>
        <w:jc w:val="both"/>
        <w:rPr>
          <w:rFonts w:ascii="Arial" w:hAnsi="Arial" w:cs="Arial"/>
        </w:rPr>
      </w:pPr>
      <w:r w:rsidRPr="003611A6">
        <w:rPr>
          <w:rFonts w:ascii="Arial" w:hAnsi="Arial" w:cs="Arial"/>
          <w:noProof/>
        </w:rPr>
        <w:lastRenderedPageBreak/>
        <w:drawing>
          <wp:inline distT="0" distB="0" distL="0" distR="0" wp14:anchorId="5E64CA47" wp14:editId="5BB0DD4F">
            <wp:extent cx="5943600" cy="2945765"/>
            <wp:effectExtent l="0" t="0" r="0" b="0"/>
            <wp:docPr id="3" name="Picture 43614674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36146747 Copia 1"/>
                    <pic:cNvPicPr>
                      <a:picLocks noChangeAspect="1" noChangeArrowheads="1"/>
                    </pic:cNvPicPr>
                  </pic:nvPicPr>
                  <pic:blipFill>
                    <a:blip r:embed="rId11"/>
                    <a:stretch>
                      <a:fillRect/>
                    </a:stretch>
                  </pic:blipFill>
                  <pic:spPr bwMode="auto">
                    <a:xfrm>
                      <a:off x="0" y="0"/>
                      <a:ext cx="5943600" cy="2945765"/>
                    </a:xfrm>
                    <a:prstGeom prst="rect">
                      <a:avLst/>
                    </a:prstGeom>
                  </pic:spPr>
                </pic:pic>
              </a:graphicData>
            </a:graphic>
          </wp:inline>
        </w:drawing>
      </w:r>
    </w:p>
    <w:p w14:paraId="64AB5C29" w14:textId="1DB9EB3E" w:rsidR="001E5F79" w:rsidRDefault="001E5F79" w:rsidP="003611A6">
      <w:pPr>
        <w:spacing w:line="360" w:lineRule="auto"/>
        <w:jc w:val="both"/>
        <w:rPr>
          <w:rFonts w:ascii="Arial" w:hAnsi="Arial" w:cs="Arial"/>
        </w:rPr>
      </w:pPr>
      <w:r w:rsidRPr="001E5F79">
        <w:rPr>
          <w:rFonts w:ascii="Arial" w:hAnsi="Arial" w:cs="Arial"/>
        </w:rPr>
        <w:t>Análise:</w:t>
      </w:r>
      <w:r>
        <w:rPr>
          <w:rFonts w:ascii="Arial" w:hAnsi="Arial" w:cs="Arial"/>
        </w:rPr>
        <w:t xml:space="preserve"> Através do gráfico conseguimos perceber que os meses seguem na média de 150 obras concluídas no ano, tendo o seu maior pico em dezembro com a média de 300 obras concluídas.</w:t>
      </w:r>
    </w:p>
    <w:p w14:paraId="290D8E70" w14:textId="77777777" w:rsidR="001E5F79" w:rsidRPr="001E5F79" w:rsidRDefault="001E5F79" w:rsidP="003611A6">
      <w:pPr>
        <w:spacing w:line="360" w:lineRule="auto"/>
        <w:jc w:val="both"/>
        <w:rPr>
          <w:rFonts w:ascii="Arial" w:hAnsi="Arial" w:cs="Arial"/>
        </w:rPr>
      </w:pPr>
    </w:p>
    <w:p w14:paraId="6D86DAA3" w14:textId="77777777" w:rsidR="00A71566" w:rsidRDefault="00000000" w:rsidP="003611A6">
      <w:pPr>
        <w:spacing w:line="360" w:lineRule="auto"/>
        <w:jc w:val="both"/>
        <w:rPr>
          <w:rFonts w:ascii="Arial" w:hAnsi="Arial" w:cs="Arial"/>
        </w:rPr>
      </w:pPr>
      <w:r w:rsidRPr="003611A6">
        <w:rPr>
          <w:rFonts w:ascii="Arial" w:hAnsi="Arial" w:cs="Arial"/>
          <w:noProof/>
        </w:rPr>
        <w:drawing>
          <wp:inline distT="0" distB="0" distL="0" distR="0" wp14:anchorId="2B26FF89" wp14:editId="1225EA76">
            <wp:extent cx="5943600" cy="2945765"/>
            <wp:effectExtent l="0" t="0" r="0" b="0"/>
            <wp:docPr id="4" name="Picture 436146748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36146748 Copia 1"/>
                    <pic:cNvPicPr>
                      <a:picLocks noChangeAspect="1" noChangeArrowheads="1"/>
                    </pic:cNvPicPr>
                  </pic:nvPicPr>
                  <pic:blipFill>
                    <a:blip r:embed="rId12"/>
                    <a:stretch>
                      <a:fillRect/>
                    </a:stretch>
                  </pic:blipFill>
                  <pic:spPr bwMode="auto">
                    <a:xfrm>
                      <a:off x="0" y="0"/>
                      <a:ext cx="5943600" cy="2945765"/>
                    </a:xfrm>
                    <a:prstGeom prst="rect">
                      <a:avLst/>
                    </a:prstGeom>
                  </pic:spPr>
                </pic:pic>
              </a:graphicData>
            </a:graphic>
          </wp:inline>
        </w:drawing>
      </w:r>
    </w:p>
    <w:p w14:paraId="1C66192E" w14:textId="51A2601F" w:rsidR="001E5F79" w:rsidRPr="003611A6" w:rsidRDefault="001E5F79" w:rsidP="003611A6">
      <w:pPr>
        <w:spacing w:line="360" w:lineRule="auto"/>
        <w:jc w:val="both"/>
        <w:rPr>
          <w:rFonts w:ascii="Arial" w:hAnsi="Arial" w:cs="Arial"/>
        </w:rPr>
      </w:pPr>
      <w:r>
        <w:rPr>
          <w:rFonts w:ascii="Arial" w:hAnsi="Arial" w:cs="Arial"/>
        </w:rPr>
        <w:t xml:space="preserve">Análise: Analisando o gráfico conseguimos ver uma oscilação de obras ativas entre os anos de 1999 e 2006, porém houve um grande aumento a partir de 2009. Observa-se o mesmo cenário para os demais gráficos, visto que </w:t>
      </w:r>
      <w:proofErr w:type="gramStart"/>
      <w:r>
        <w:rPr>
          <w:rFonts w:ascii="Arial" w:hAnsi="Arial" w:cs="Arial"/>
        </w:rPr>
        <w:t>trata-se</w:t>
      </w:r>
      <w:proofErr w:type="gramEnd"/>
      <w:r>
        <w:rPr>
          <w:rFonts w:ascii="Arial" w:hAnsi="Arial" w:cs="Arial"/>
        </w:rPr>
        <w:t xml:space="preserve"> de obras ativas</w:t>
      </w:r>
    </w:p>
    <w:p w14:paraId="697E9B85" w14:textId="77777777" w:rsidR="00A71566" w:rsidRPr="003611A6" w:rsidRDefault="00A71566" w:rsidP="003611A6">
      <w:pPr>
        <w:spacing w:line="360" w:lineRule="auto"/>
        <w:jc w:val="both"/>
        <w:rPr>
          <w:rFonts w:ascii="Arial" w:hAnsi="Arial" w:cs="Arial"/>
          <w:i/>
        </w:rPr>
      </w:pPr>
    </w:p>
    <w:p w14:paraId="1A092AF5" w14:textId="7661F917" w:rsidR="001E5F79" w:rsidRPr="003611A6" w:rsidRDefault="00000000" w:rsidP="003611A6">
      <w:pPr>
        <w:spacing w:line="360" w:lineRule="auto"/>
        <w:jc w:val="both"/>
        <w:rPr>
          <w:rFonts w:ascii="Arial" w:hAnsi="Arial" w:cs="Arial"/>
        </w:rPr>
      </w:pPr>
      <w:r w:rsidRPr="003611A6">
        <w:rPr>
          <w:rFonts w:ascii="Arial" w:hAnsi="Arial" w:cs="Arial"/>
          <w:noProof/>
        </w:rPr>
        <w:lastRenderedPageBreak/>
        <w:drawing>
          <wp:inline distT="0" distB="0" distL="0" distR="0" wp14:anchorId="53A0737A" wp14:editId="4D7AFB84">
            <wp:extent cx="5943600" cy="2446020"/>
            <wp:effectExtent l="0" t="0" r="0" b="0"/>
            <wp:docPr id="5" name="Picture 436146749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36146749 Copia 1"/>
                    <pic:cNvPicPr>
                      <a:picLocks noChangeAspect="1" noChangeArrowheads="1"/>
                    </pic:cNvPicPr>
                  </pic:nvPicPr>
                  <pic:blipFill>
                    <a:blip r:embed="rId13"/>
                    <a:stretch>
                      <a:fillRect/>
                    </a:stretch>
                  </pic:blipFill>
                  <pic:spPr bwMode="auto">
                    <a:xfrm>
                      <a:off x="0" y="0"/>
                      <a:ext cx="5943600" cy="2446020"/>
                    </a:xfrm>
                    <a:prstGeom prst="rect">
                      <a:avLst/>
                    </a:prstGeom>
                  </pic:spPr>
                </pic:pic>
              </a:graphicData>
            </a:graphic>
          </wp:inline>
        </w:drawing>
      </w:r>
    </w:p>
    <w:p w14:paraId="477C1471" w14:textId="77777777" w:rsidR="00A71566" w:rsidRPr="003611A6" w:rsidRDefault="00A71566" w:rsidP="003611A6">
      <w:pPr>
        <w:spacing w:line="360" w:lineRule="auto"/>
        <w:jc w:val="both"/>
        <w:rPr>
          <w:rFonts w:ascii="Arial" w:hAnsi="Arial" w:cs="Arial"/>
          <w:i/>
        </w:rPr>
      </w:pPr>
    </w:p>
    <w:p w14:paraId="7E291009" w14:textId="77777777" w:rsidR="00A71566" w:rsidRPr="003611A6" w:rsidRDefault="00000000" w:rsidP="003611A6">
      <w:pPr>
        <w:spacing w:line="360" w:lineRule="auto"/>
        <w:jc w:val="both"/>
        <w:rPr>
          <w:rFonts w:ascii="Arial" w:hAnsi="Arial" w:cs="Arial"/>
        </w:rPr>
      </w:pPr>
      <w:r w:rsidRPr="003611A6">
        <w:rPr>
          <w:rFonts w:ascii="Arial" w:hAnsi="Arial" w:cs="Arial"/>
          <w:noProof/>
        </w:rPr>
        <w:drawing>
          <wp:inline distT="0" distB="0" distL="0" distR="0" wp14:anchorId="020FDBE3" wp14:editId="35733A47">
            <wp:extent cx="5943600" cy="2446020"/>
            <wp:effectExtent l="0" t="0" r="0" b="0"/>
            <wp:docPr id="6" name="Picture 436146750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36146750 Copia 1"/>
                    <pic:cNvPicPr>
                      <a:picLocks noChangeAspect="1" noChangeArrowheads="1"/>
                    </pic:cNvPicPr>
                  </pic:nvPicPr>
                  <pic:blipFill>
                    <a:blip r:embed="rId14"/>
                    <a:stretch>
                      <a:fillRect/>
                    </a:stretch>
                  </pic:blipFill>
                  <pic:spPr bwMode="auto">
                    <a:xfrm>
                      <a:off x="0" y="0"/>
                      <a:ext cx="5943600" cy="2446020"/>
                    </a:xfrm>
                    <a:prstGeom prst="rect">
                      <a:avLst/>
                    </a:prstGeom>
                  </pic:spPr>
                </pic:pic>
              </a:graphicData>
            </a:graphic>
          </wp:inline>
        </w:drawing>
      </w:r>
    </w:p>
    <w:p w14:paraId="08591312" w14:textId="77777777" w:rsidR="00A71566" w:rsidRPr="003611A6" w:rsidRDefault="00A71566" w:rsidP="003611A6">
      <w:pPr>
        <w:spacing w:line="360" w:lineRule="auto"/>
        <w:jc w:val="both"/>
        <w:rPr>
          <w:rFonts w:ascii="Arial" w:hAnsi="Arial" w:cs="Arial"/>
          <w:i/>
        </w:rPr>
      </w:pPr>
    </w:p>
    <w:p w14:paraId="5C3D5F4C" w14:textId="77777777" w:rsidR="00A71566" w:rsidRPr="003611A6" w:rsidRDefault="00000000" w:rsidP="003611A6">
      <w:pPr>
        <w:spacing w:line="360" w:lineRule="auto"/>
        <w:jc w:val="both"/>
        <w:rPr>
          <w:rFonts w:ascii="Arial" w:hAnsi="Arial" w:cs="Arial"/>
        </w:rPr>
      </w:pPr>
      <w:r w:rsidRPr="003611A6">
        <w:rPr>
          <w:rFonts w:ascii="Arial" w:hAnsi="Arial" w:cs="Arial"/>
          <w:noProof/>
        </w:rPr>
        <w:drawing>
          <wp:inline distT="0" distB="0" distL="0" distR="0" wp14:anchorId="208F9315" wp14:editId="3F0A5C94">
            <wp:extent cx="5943600" cy="2446020"/>
            <wp:effectExtent l="0" t="0" r="0" b="0"/>
            <wp:docPr id="7" name="Picture 43614675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6146751 Copia 1"/>
                    <pic:cNvPicPr>
                      <a:picLocks noChangeAspect="1" noChangeArrowheads="1"/>
                    </pic:cNvPicPr>
                  </pic:nvPicPr>
                  <pic:blipFill>
                    <a:blip r:embed="rId15"/>
                    <a:stretch>
                      <a:fillRect/>
                    </a:stretch>
                  </pic:blipFill>
                  <pic:spPr bwMode="auto">
                    <a:xfrm>
                      <a:off x="0" y="0"/>
                      <a:ext cx="5943600" cy="2446020"/>
                    </a:xfrm>
                    <a:prstGeom prst="rect">
                      <a:avLst/>
                    </a:prstGeom>
                  </pic:spPr>
                </pic:pic>
              </a:graphicData>
            </a:graphic>
          </wp:inline>
        </w:drawing>
      </w:r>
    </w:p>
    <w:p w14:paraId="397DC492" w14:textId="77777777" w:rsidR="00A71566" w:rsidRPr="003611A6" w:rsidRDefault="00A71566" w:rsidP="003611A6">
      <w:pPr>
        <w:spacing w:line="360" w:lineRule="auto"/>
        <w:jc w:val="both"/>
        <w:rPr>
          <w:rFonts w:ascii="Arial" w:hAnsi="Arial" w:cs="Arial"/>
          <w:i/>
        </w:rPr>
      </w:pPr>
    </w:p>
    <w:p w14:paraId="28EAE657" w14:textId="77777777" w:rsidR="00A71566" w:rsidRPr="003611A6" w:rsidRDefault="00000000" w:rsidP="003611A6">
      <w:pPr>
        <w:spacing w:line="360" w:lineRule="auto"/>
        <w:jc w:val="both"/>
        <w:rPr>
          <w:rFonts w:ascii="Arial" w:hAnsi="Arial" w:cs="Arial"/>
        </w:rPr>
      </w:pPr>
      <w:r w:rsidRPr="003611A6">
        <w:rPr>
          <w:rFonts w:ascii="Arial" w:hAnsi="Arial" w:cs="Arial"/>
          <w:noProof/>
        </w:rPr>
        <w:drawing>
          <wp:inline distT="0" distB="0" distL="0" distR="0" wp14:anchorId="0B8E6C57" wp14:editId="71DEFF86">
            <wp:extent cx="5943600" cy="2446020"/>
            <wp:effectExtent l="0" t="0" r="0" b="0"/>
            <wp:docPr id="8" name="Picture 43614675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36146752 Copia 1"/>
                    <pic:cNvPicPr>
                      <a:picLocks noChangeAspect="1" noChangeArrowheads="1"/>
                    </pic:cNvPicPr>
                  </pic:nvPicPr>
                  <pic:blipFill>
                    <a:blip r:embed="rId16"/>
                    <a:stretch>
                      <a:fillRect/>
                    </a:stretch>
                  </pic:blipFill>
                  <pic:spPr bwMode="auto">
                    <a:xfrm>
                      <a:off x="0" y="0"/>
                      <a:ext cx="5943600" cy="2446020"/>
                    </a:xfrm>
                    <a:prstGeom prst="rect">
                      <a:avLst/>
                    </a:prstGeom>
                  </pic:spPr>
                </pic:pic>
              </a:graphicData>
            </a:graphic>
          </wp:inline>
        </w:drawing>
      </w:r>
    </w:p>
    <w:p w14:paraId="56934E27" w14:textId="77777777" w:rsidR="00A71566" w:rsidRPr="003611A6" w:rsidRDefault="00A71566" w:rsidP="003611A6">
      <w:pPr>
        <w:spacing w:line="360" w:lineRule="auto"/>
        <w:jc w:val="both"/>
        <w:rPr>
          <w:rFonts w:ascii="Arial" w:hAnsi="Arial" w:cs="Arial"/>
          <w:i/>
        </w:rPr>
      </w:pPr>
    </w:p>
    <w:p w14:paraId="6C2A10FF" w14:textId="77777777" w:rsidR="00A71566" w:rsidRPr="003611A6" w:rsidRDefault="00000000" w:rsidP="003611A6">
      <w:pPr>
        <w:spacing w:line="360" w:lineRule="auto"/>
        <w:jc w:val="both"/>
        <w:rPr>
          <w:rFonts w:ascii="Arial" w:hAnsi="Arial" w:cs="Arial"/>
        </w:rPr>
      </w:pPr>
      <w:r w:rsidRPr="003611A6">
        <w:rPr>
          <w:rFonts w:ascii="Arial" w:hAnsi="Arial" w:cs="Arial"/>
          <w:noProof/>
        </w:rPr>
        <w:drawing>
          <wp:inline distT="0" distB="0" distL="0" distR="0" wp14:anchorId="12FDA12F" wp14:editId="271D31F6">
            <wp:extent cx="5943600" cy="2446020"/>
            <wp:effectExtent l="0" t="0" r="0" b="0"/>
            <wp:docPr id="9" name="Picture 43614675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36146753 Copia 1"/>
                    <pic:cNvPicPr>
                      <a:picLocks noChangeAspect="1" noChangeArrowheads="1"/>
                    </pic:cNvPicPr>
                  </pic:nvPicPr>
                  <pic:blipFill>
                    <a:blip r:embed="rId17"/>
                    <a:stretch>
                      <a:fillRect/>
                    </a:stretch>
                  </pic:blipFill>
                  <pic:spPr bwMode="auto">
                    <a:xfrm>
                      <a:off x="0" y="0"/>
                      <a:ext cx="5943600" cy="2446020"/>
                    </a:xfrm>
                    <a:prstGeom prst="rect">
                      <a:avLst/>
                    </a:prstGeom>
                  </pic:spPr>
                </pic:pic>
              </a:graphicData>
            </a:graphic>
          </wp:inline>
        </w:drawing>
      </w:r>
    </w:p>
    <w:p w14:paraId="24DAF6E2" w14:textId="77777777" w:rsidR="00A71566" w:rsidRPr="003611A6" w:rsidRDefault="00A71566" w:rsidP="003611A6">
      <w:pPr>
        <w:spacing w:line="360" w:lineRule="auto"/>
        <w:jc w:val="both"/>
        <w:rPr>
          <w:rFonts w:ascii="Arial" w:hAnsi="Arial" w:cs="Arial"/>
          <w:color w:val="111111"/>
        </w:rPr>
      </w:pPr>
    </w:p>
    <w:p w14:paraId="7F3DF378"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t>Modelo Base</w:t>
      </w:r>
    </w:p>
    <w:p w14:paraId="06B24BB7"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010F6E8C"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color w:val="111111"/>
        </w:rPr>
        <w:t>Conforme o roteiro da Etapa 3, esta seção introduz as técnicas escolhidas, a implementação dos modelos, o procedimento de validação temporal e as métricas de avaliação. Os gráficos e trechos de saída foram incluídos para evidenciar o funcionamento e o desempenho.</w:t>
      </w:r>
    </w:p>
    <w:p w14:paraId="481093C7"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color w:val="111111"/>
        </w:rPr>
        <w:t>Foram consideradas técnicas adequadas a séries com tendência e sazonalidade: baselines ingênuos (</w:t>
      </w:r>
      <w:proofErr w:type="spellStart"/>
      <w:r w:rsidRPr="003611A6">
        <w:rPr>
          <w:rFonts w:ascii="Arial" w:hAnsi="Arial" w:cs="Arial"/>
          <w:color w:val="111111"/>
        </w:rPr>
        <w:t>Naive</w:t>
      </w:r>
      <w:proofErr w:type="spellEnd"/>
      <w:r w:rsidRPr="003611A6">
        <w:rPr>
          <w:rFonts w:ascii="Arial" w:hAnsi="Arial" w:cs="Arial"/>
          <w:color w:val="111111"/>
        </w:rPr>
        <w:t xml:space="preserve"> e Sazonal com defasagem 12), Holt-Winters (suavização exponencial tripla) e SARIMA (</w:t>
      </w:r>
      <w:proofErr w:type="spellStart"/>
      <w:proofErr w:type="gramStart"/>
      <w:r w:rsidRPr="003611A6">
        <w:rPr>
          <w:rFonts w:ascii="Arial" w:hAnsi="Arial" w:cs="Arial"/>
          <w:color w:val="111111"/>
        </w:rPr>
        <w:t>p,d</w:t>
      </w:r>
      <w:proofErr w:type="gramEnd"/>
      <w:r w:rsidRPr="003611A6">
        <w:rPr>
          <w:rFonts w:ascii="Arial" w:hAnsi="Arial" w:cs="Arial"/>
          <w:color w:val="111111"/>
        </w:rPr>
        <w:t>,</w:t>
      </w:r>
      <w:proofErr w:type="gramStart"/>
      <w:r w:rsidRPr="003611A6">
        <w:rPr>
          <w:rFonts w:ascii="Arial" w:hAnsi="Arial" w:cs="Arial"/>
          <w:color w:val="111111"/>
        </w:rPr>
        <w:t>q</w:t>
      </w:r>
      <w:proofErr w:type="spellEnd"/>
      <w:r w:rsidRPr="003611A6">
        <w:rPr>
          <w:rFonts w:ascii="Arial" w:hAnsi="Arial" w:cs="Arial"/>
          <w:color w:val="111111"/>
        </w:rPr>
        <w:t>)×</w:t>
      </w:r>
      <w:proofErr w:type="gramEnd"/>
      <w:r w:rsidRPr="003611A6">
        <w:rPr>
          <w:rFonts w:ascii="Arial" w:hAnsi="Arial" w:cs="Arial"/>
          <w:color w:val="111111"/>
        </w:rPr>
        <w:t>(</w:t>
      </w:r>
      <w:proofErr w:type="gramStart"/>
      <w:r w:rsidRPr="003611A6">
        <w:rPr>
          <w:rFonts w:ascii="Arial" w:hAnsi="Arial" w:cs="Arial"/>
          <w:color w:val="111111"/>
        </w:rPr>
        <w:t>P,D</w:t>
      </w:r>
      <w:proofErr w:type="gramEnd"/>
      <w:r w:rsidRPr="003611A6">
        <w:rPr>
          <w:rFonts w:ascii="Arial" w:hAnsi="Arial" w:cs="Arial"/>
          <w:color w:val="111111"/>
        </w:rPr>
        <w:t>,Q,12). Holt-Winters e SARIMA foram eleitas como técnicas principais, pois capturam explicitamente componentes de tendência e sazonalidade.</w:t>
      </w:r>
    </w:p>
    <w:p w14:paraId="3F02057F" w14:textId="77777777" w:rsidR="00A71566" w:rsidRPr="003611A6" w:rsidRDefault="00A71566" w:rsidP="003611A6">
      <w:pPr>
        <w:pStyle w:val="Corpodetexto"/>
        <w:spacing w:after="0" w:line="360" w:lineRule="auto"/>
        <w:contextualSpacing/>
        <w:jc w:val="both"/>
        <w:rPr>
          <w:rFonts w:ascii="Arial" w:hAnsi="Arial" w:cs="Arial"/>
          <w:color w:val="111111"/>
        </w:rPr>
      </w:pPr>
    </w:p>
    <w:p w14:paraId="4B99B406" w14:textId="77777777" w:rsidR="00A71566" w:rsidRPr="003611A6" w:rsidRDefault="00000000" w:rsidP="003611A6">
      <w:pPr>
        <w:pStyle w:val="Ttulo3"/>
        <w:numPr>
          <w:ilvl w:val="0"/>
          <w:numId w:val="0"/>
        </w:numPr>
        <w:spacing w:before="0" w:line="360" w:lineRule="auto"/>
        <w:ind w:left="720"/>
        <w:contextualSpacing/>
        <w:jc w:val="both"/>
        <w:rPr>
          <w:rFonts w:ascii="Arial" w:hAnsi="Arial" w:cs="Arial"/>
          <w:sz w:val="22"/>
          <w:szCs w:val="22"/>
        </w:rPr>
      </w:pPr>
      <w:r w:rsidRPr="003611A6">
        <w:rPr>
          <w:rFonts w:ascii="Arial" w:hAnsi="Arial" w:cs="Arial"/>
          <w:color w:val="111111"/>
          <w:sz w:val="22"/>
          <w:szCs w:val="22"/>
        </w:rPr>
        <w:lastRenderedPageBreak/>
        <w:t xml:space="preserve">Desempenho em TESTE (busca inicial por melhores </w:t>
      </w:r>
      <w:proofErr w:type="spellStart"/>
      <w:r w:rsidRPr="003611A6">
        <w:rPr>
          <w:rFonts w:ascii="Arial" w:hAnsi="Arial" w:cs="Arial"/>
          <w:color w:val="111111"/>
          <w:sz w:val="22"/>
          <w:szCs w:val="22"/>
        </w:rPr>
        <w:t>hiperparâmetros</w:t>
      </w:r>
      <w:proofErr w:type="spellEnd"/>
      <w:r w:rsidRPr="003611A6">
        <w:rPr>
          <w:rFonts w:ascii="Arial" w:hAnsi="Arial" w:cs="Arial"/>
          <w:color w:val="111111"/>
          <w:sz w:val="22"/>
          <w:szCs w:val="22"/>
        </w:rPr>
        <w:t>)</w:t>
      </w:r>
    </w:p>
    <w:tbl>
      <w:tblPr>
        <w:tblW w:w="9131" w:type="dxa"/>
        <w:tblInd w:w="-33" w:type="dxa"/>
        <w:tblLayout w:type="fixed"/>
        <w:tblCellMar>
          <w:top w:w="28" w:type="dxa"/>
          <w:left w:w="28" w:type="dxa"/>
          <w:bottom w:w="28" w:type="dxa"/>
          <w:right w:w="28" w:type="dxa"/>
        </w:tblCellMar>
        <w:tblLook w:val="04A0" w:firstRow="1" w:lastRow="0" w:firstColumn="1" w:lastColumn="0" w:noHBand="0" w:noVBand="1"/>
      </w:tblPr>
      <w:tblGrid>
        <w:gridCol w:w="3630"/>
        <w:gridCol w:w="1981"/>
        <w:gridCol w:w="1931"/>
        <w:gridCol w:w="1589"/>
      </w:tblGrid>
      <w:tr w:rsidR="00A71566" w:rsidRPr="003611A6" w14:paraId="4F99E724" w14:textId="77777777">
        <w:trPr>
          <w:tblHeader/>
        </w:trPr>
        <w:tc>
          <w:tcPr>
            <w:tcW w:w="3629" w:type="dxa"/>
            <w:tcBorders>
              <w:top w:val="single" w:sz="2" w:space="0" w:color="000000"/>
              <w:left w:val="single" w:sz="2" w:space="0" w:color="000000"/>
              <w:bottom w:val="single" w:sz="2" w:space="0" w:color="000000"/>
            </w:tcBorders>
            <w:vAlign w:val="center"/>
          </w:tcPr>
          <w:p w14:paraId="629C30AE" w14:textId="77777777" w:rsidR="00A71566" w:rsidRPr="003611A6" w:rsidRDefault="00000000" w:rsidP="003611A6">
            <w:pPr>
              <w:pStyle w:val="Ttulodetabela"/>
              <w:spacing w:line="360" w:lineRule="auto"/>
              <w:jc w:val="both"/>
              <w:rPr>
                <w:rFonts w:ascii="Arial" w:hAnsi="Arial" w:cs="Arial"/>
              </w:rPr>
            </w:pPr>
            <w:r w:rsidRPr="003611A6">
              <w:rPr>
                <w:rFonts w:ascii="Arial" w:hAnsi="Arial" w:cs="Arial"/>
              </w:rPr>
              <w:t>Modelo</w:t>
            </w:r>
          </w:p>
        </w:tc>
        <w:tc>
          <w:tcPr>
            <w:tcW w:w="1981" w:type="dxa"/>
            <w:tcBorders>
              <w:top w:val="single" w:sz="2" w:space="0" w:color="000000"/>
              <w:left w:val="single" w:sz="2" w:space="0" w:color="000000"/>
              <w:bottom w:val="single" w:sz="2" w:space="0" w:color="000000"/>
            </w:tcBorders>
            <w:vAlign w:val="center"/>
          </w:tcPr>
          <w:p w14:paraId="1D046FA2" w14:textId="77777777" w:rsidR="00A71566" w:rsidRPr="003611A6" w:rsidRDefault="00000000" w:rsidP="003611A6">
            <w:pPr>
              <w:pStyle w:val="Ttulodetabela"/>
              <w:spacing w:line="360" w:lineRule="auto"/>
              <w:jc w:val="both"/>
              <w:rPr>
                <w:rFonts w:ascii="Arial" w:hAnsi="Arial" w:cs="Arial"/>
              </w:rPr>
            </w:pPr>
            <w:r w:rsidRPr="003611A6">
              <w:rPr>
                <w:rFonts w:ascii="Arial" w:hAnsi="Arial" w:cs="Arial"/>
              </w:rPr>
              <w:t>RMSE</w:t>
            </w:r>
          </w:p>
        </w:tc>
        <w:tc>
          <w:tcPr>
            <w:tcW w:w="1931" w:type="dxa"/>
            <w:tcBorders>
              <w:top w:val="single" w:sz="2" w:space="0" w:color="000000"/>
              <w:left w:val="single" w:sz="2" w:space="0" w:color="000000"/>
              <w:bottom w:val="single" w:sz="2" w:space="0" w:color="000000"/>
            </w:tcBorders>
            <w:vAlign w:val="center"/>
          </w:tcPr>
          <w:p w14:paraId="4E3B6D52" w14:textId="77777777" w:rsidR="00A71566" w:rsidRPr="003611A6" w:rsidRDefault="00000000" w:rsidP="003611A6">
            <w:pPr>
              <w:pStyle w:val="Ttulodetabela"/>
              <w:spacing w:line="360" w:lineRule="auto"/>
              <w:jc w:val="both"/>
              <w:rPr>
                <w:rFonts w:ascii="Arial" w:hAnsi="Arial" w:cs="Arial"/>
              </w:rPr>
            </w:pPr>
            <w:r w:rsidRPr="003611A6">
              <w:rPr>
                <w:rFonts w:ascii="Arial" w:hAnsi="Arial" w:cs="Arial"/>
              </w:rPr>
              <w:t>MAE</w:t>
            </w:r>
          </w:p>
        </w:tc>
        <w:tc>
          <w:tcPr>
            <w:tcW w:w="1589" w:type="dxa"/>
            <w:tcBorders>
              <w:top w:val="single" w:sz="2" w:space="0" w:color="000000"/>
              <w:left w:val="single" w:sz="2" w:space="0" w:color="000000"/>
              <w:bottom w:val="single" w:sz="2" w:space="0" w:color="000000"/>
              <w:right w:val="single" w:sz="2" w:space="0" w:color="000000"/>
            </w:tcBorders>
            <w:vAlign w:val="center"/>
          </w:tcPr>
          <w:p w14:paraId="58DDC9F7" w14:textId="77777777" w:rsidR="00A71566" w:rsidRPr="003611A6" w:rsidRDefault="00000000" w:rsidP="003611A6">
            <w:pPr>
              <w:pStyle w:val="Ttulodetabela"/>
              <w:spacing w:line="360" w:lineRule="auto"/>
              <w:jc w:val="both"/>
              <w:rPr>
                <w:rFonts w:ascii="Arial" w:hAnsi="Arial" w:cs="Arial"/>
              </w:rPr>
            </w:pPr>
            <w:r w:rsidRPr="003611A6">
              <w:rPr>
                <w:rFonts w:ascii="Arial" w:hAnsi="Arial" w:cs="Arial"/>
              </w:rPr>
              <w:t>MAPE (%)</w:t>
            </w:r>
          </w:p>
        </w:tc>
      </w:tr>
      <w:tr w:rsidR="00A71566" w:rsidRPr="003611A6" w14:paraId="62CFDF76" w14:textId="77777777">
        <w:tc>
          <w:tcPr>
            <w:tcW w:w="3629" w:type="dxa"/>
            <w:tcBorders>
              <w:left w:val="single" w:sz="2" w:space="0" w:color="000000"/>
              <w:bottom w:val="single" w:sz="2" w:space="0" w:color="000000"/>
            </w:tcBorders>
            <w:vAlign w:val="center"/>
          </w:tcPr>
          <w:p w14:paraId="5E4524D2" w14:textId="77777777" w:rsidR="00A71566" w:rsidRPr="003611A6" w:rsidRDefault="00000000" w:rsidP="003611A6">
            <w:pPr>
              <w:pStyle w:val="Contedodatabela"/>
              <w:spacing w:line="360" w:lineRule="auto"/>
              <w:jc w:val="both"/>
              <w:rPr>
                <w:rFonts w:ascii="Arial" w:hAnsi="Arial" w:cs="Arial"/>
              </w:rPr>
            </w:pPr>
            <w:r w:rsidRPr="003611A6">
              <w:rPr>
                <w:rStyle w:val="Forte"/>
                <w:rFonts w:ascii="Arial" w:hAnsi="Arial" w:cs="Arial"/>
              </w:rPr>
              <w:t>Sazonal (lag12)</w:t>
            </w:r>
          </w:p>
        </w:tc>
        <w:tc>
          <w:tcPr>
            <w:tcW w:w="1981" w:type="dxa"/>
            <w:tcBorders>
              <w:left w:val="single" w:sz="2" w:space="0" w:color="000000"/>
              <w:bottom w:val="single" w:sz="2" w:space="0" w:color="000000"/>
            </w:tcBorders>
            <w:vAlign w:val="center"/>
          </w:tcPr>
          <w:p w14:paraId="1DA276D7"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2020.198339</w:t>
            </w:r>
          </w:p>
        </w:tc>
        <w:tc>
          <w:tcPr>
            <w:tcW w:w="1931" w:type="dxa"/>
            <w:tcBorders>
              <w:left w:val="single" w:sz="2" w:space="0" w:color="000000"/>
              <w:bottom w:val="single" w:sz="2" w:space="0" w:color="000000"/>
            </w:tcBorders>
            <w:vAlign w:val="center"/>
          </w:tcPr>
          <w:p w14:paraId="7CB5D4D1"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1566.984375</w:t>
            </w:r>
          </w:p>
        </w:tc>
        <w:tc>
          <w:tcPr>
            <w:tcW w:w="1589" w:type="dxa"/>
            <w:tcBorders>
              <w:left w:val="single" w:sz="2" w:space="0" w:color="000000"/>
              <w:bottom w:val="single" w:sz="2" w:space="0" w:color="000000"/>
              <w:right w:val="single" w:sz="2" w:space="0" w:color="000000"/>
            </w:tcBorders>
            <w:vAlign w:val="center"/>
          </w:tcPr>
          <w:p w14:paraId="66B25766"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6.4030</w:t>
            </w:r>
          </w:p>
        </w:tc>
      </w:tr>
      <w:tr w:rsidR="00A71566" w:rsidRPr="003611A6" w14:paraId="50BE0418" w14:textId="77777777">
        <w:tc>
          <w:tcPr>
            <w:tcW w:w="3629" w:type="dxa"/>
            <w:tcBorders>
              <w:left w:val="single" w:sz="2" w:space="0" w:color="000000"/>
              <w:bottom w:val="single" w:sz="2" w:space="0" w:color="000000"/>
            </w:tcBorders>
            <w:vAlign w:val="center"/>
          </w:tcPr>
          <w:p w14:paraId="5BBC91ED" w14:textId="77777777" w:rsidR="00A71566" w:rsidRPr="003611A6" w:rsidRDefault="00000000" w:rsidP="003611A6">
            <w:pPr>
              <w:pStyle w:val="Contedodatabela"/>
              <w:spacing w:line="360" w:lineRule="auto"/>
              <w:jc w:val="both"/>
              <w:rPr>
                <w:rFonts w:ascii="Arial" w:hAnsi="Arial" w:cs="Arial"/>
              </w:rPr>
            </w:pPr>
            <w:proofErr w:type="spellStart"/>
            <w:r w:rsidRPr="003611A6">
              <w:rPr>
                <w:rStyle w:val="Forte"/>
                <w:rFonts w:ascii="Arial" w:hAnsi="Arial" w:cs="Arial"/>
              </w:rPr>
              <w:t>Naive</w:t>
            </w:r>
            <w:proofErr w:type="spellEnd"/>
          </w:p>
        </w:tc>
        <w:tc>
          <w:tcPr>
            <w:tcW w:w="1981" w:type="dxa"/>
            <w:tcBorders>
              <w:left w:val="single" w:sz="2" w:space="0" w:color="000000"/>
              <w:bottom w:val="single" w:sz="2" w:space="0" w:color="000000"/>
            </w:tcBorders>
            <w:vAlign w:val="center"/>
          </w:tcPr>
          <w:p w14:paraId="6C3705B0"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2087.441552</w:t>
            </w:r>
          </w:p>
        </w:tc>
        <w:tc>
          <w:tcPr>
            <w:tcW w:w="1931" w:type="dxa"/>
            <w:tcBorders>
              <w:left w:val="single" w:sz="2" w:space="0" w:color="000000"/>
              <w:bottom w:val="single" w:sz="2" w:space="0" w:color="000000"/>
            </w:tcBorders>
            <w:vAlign w:val="center"/>
          </w:tcPr>
          <w:p w14:paraId="15E233EA"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1559.984375</w:t>
            </w:r>
          </w:p>
        </w:tc>
        <w:tc>
          <w:tcPr>
            <w:tcW w:w="1589" w:type="dxa"/>
            <w:tcBorders>
              <w:left w:val="single" w:sz="2" w:space="0" w:color="000000"/>
              <w:bottom w:val="single" w:sz="2" w:space="0" w:color="000000"/>
              <w:right w:val="single" w:sz="2" w:space="0" w:color="000000"/>
            </w:tcBorders>
            <w:vAlign w:val="center"/>
          </w:tcPr>
          <w:p w14:paraId="21EE5EF8"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6.4135</w:t>
            </w:r>
          </w:p>
        </w:tc>
      </w:tr>
      <w:tr w:rsidR="00A71566" w:rsidRPr="003611A6" w14:paraId="21EC4F84" w14:textId="77777777">
        <w:tc>
          <w:tcPr>
            <w:tcW w:w="3629" w:type="dxa"/>
            <w:tcBorders>
              <w:left w:val="single" w:sz="2" w:space="0" w:color="000000"/>
              <w:bottom w:val="single" w:sz="2" w:space="0" w:color="000000"/>
            </w:tcBorders>
            <w:vAlign w:val="center"/>
          </w:tcPr>
          <w:p w14:paraId="24AFE8CF" w14:textId="77777777" w:rsidR="00A71566" w:rsidRPr="003611A6" w:rsidRDefault="00000000" w:rsidP="003611A6">
            <w:pPr>
              <w:pStyle w:val="Contedodatabela"/>
              <w:spacing w:line="360" w:lineRule="auto"/>
              <w:jc w:val="both"/>
              <w:rPr>
                <w:rFonts w:ascii="Arial" w:hAnsi="Arial" w:cs="Arial"/>
              </w:rPr>
            </w:pPr>
            <w:r w:rsidRPr="003611A6">
              <w:rPr>
                <w:rStyle w:val="Forte"/>
                <w:rFonts w:ascii="Arial" w:hAnsi="Arial" w:cs="Arial"/>
              </w:rPr>
              <w:t>SARIMA (1,0,0) × (1,0,1,12)</w:t>
            </w:r>
          </w:p>
        </w:tc>
        <w:tc>
          <w:tcPr>
            <w:tcW w:w="1981" w:type="dxa"/>
            <w:tcBorders>
              <w:left w:val="single" w:sz="2" w:space="0" w:color="000000"/>
              <w:bottom w:val="single" w:sz="2" w:space="0" w:color="000000"/>
            </w:tcBorders>
            <w:vAlign w:val="center"/>
          </w:tcPr>
          <w:p w14:paraId="0B8309BF"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2382.967558</w:t>
            </w:r>
          </w:p>
        </w:tc>
        <w:tc>
          <w:tcPr>
            <w:tcW w:w="1931" w:type="dxa"/>
            <w:tcBorders>
              <w:left w:val="single" w:sz="2" w:space="0" w:color="000000"/>
              <w:bottom w:val="single" w:sz="2" w:space="0" w:color="000000"/>
            </w:tcBorders>
            <w:vAlign w:val="center"/>
          </w:tcPr>
          <w:p w14:paraId="3D198EDF"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1839.177857</w:t>
            </w:r>
          </w:p>
        </w:tc>
        <w:tc>
          <w:tcPr>
            <w:tcW w:w="1589" w:type="dxa"/>
            <w:tcBorders>
              <w:left w:val="single" w:sz="2" w:space="0" w:color="000000"/>
              <w:bottom w:val="single" w:sz="2" w:space="0" w:color="000000"/>
              <w:right w:val="single" w:sz="2" w:space="0" w:color="000000"/>
            </w:tcBorders>
            <w:vAlign w:val="center"/>
          </w:tcPr>
          <w:p w14:paraId="188ADA7B"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7.5514</w:t>
            </w:r>
          </w:p>
        </w:tc>
      </w:tr>
      <w:tr w:rsidR="00A71566" w:rsidRPr="003611A6" w14:paraId="6A803F0F" w14:textId="77777777">
        <w:tc>
          <w:tcPr>
            <w:tcW w:w="3629" w:type="dxa"/>
            <w:tcBorders>
              <w:left w:val="single" w:sz="2" w:space="0" w:color="000000"/>
              <w:bottom w:val="single" w:sz="2" w:space="0" w:color="000000"/>
            </w:tcBorders>
            <w:vAlign w:val="center"/>
          </w:tcPr>
          <w:p w14:paraId="01B34297" w14:textId="77777777" w:rsidR="00A71566" w:rsidRPr="003611A6" w:rsidRDefault="00000000" w:rsidP="003611A6">
            <w:pPr>
              <w:pStyle w:val="Contedodatabela"/>
              <w:spacing w:line="360" w:lineRule="auto"/>
              <w:jc w:val="both"/>
              <w:rPr>
                <w:rFonts w:ascii="Arial" w:hAnsi="Arial" w:cs="Arial"/>
              </w:rPr>
            </w:pPr>
            <w:r w:rsidRPr="003611A6">
              <w:rPr>
                <w:rStyle w:val="Forte"/>
                <w:rFonts w:ascii="Arial" w:hAnsi="Arial" w:cs="Arial"/>
              </w:rPr>
              <w:t>Holt-Winters (</w:t>
            </w:r>
            <w:proofErr w:type="spellStart"/>
            <w:r w:rsidRPr="003611A6">
              <w:rPr>
                <w:rStyle w:val="Forte"/>
                <w:rFonts w:ascii="Arial" w:hAnsi="Arial" w:cs="Arial"/>
              </w:rPr>
              <w:t>add</w:t>
            </w:r>
            <w:proofErr w:type="spellEnd"/>
            <w:r w:rsidRPr="003611A6">
              <w:rPr>
                <w:rStyle w:val="Forte"/>
                <w:rFonts w:ascii="Arial" w:hAnsi="Arial" w:cs="Arial"/>
              </w:rPr>
              <w:t xml:space="preserve">, </w:t>
            </w:r>
            <w:proofErr w:type="spellStart"/>
            <w:r w:rsidRPr="003611A6">
              <w:rPr>
                <w:rStyle w:val="Forte"/>
                <w:rFonts w:ascii="Arial" w:hAnsi="Arial" w:cs="Arial"/>
              </w:rPr>
              <w:t>add</w:t>
            </w:r>
            <w:proofErr w:type="spellEnd"/>
            <w:r w:rsidRPr="003611A6">
              <w:rPr>
                <w:rStyle w:val="Forte"/>
                <w:rFonts w:ascii="Arial" w:hAnsi="Arial" w:cs="Arial"/>
              </w:rPr>
              <w:t>, 12)</w:t>
            </w:r>
          </w:p>
        </w:tc>
        <w:tc>
          <w:tcPr>
            <w:tcW w:w="1981" w:type="dxa"/>
            <w:tcBorders>
              <w:left w:val="single" w:sz="2" w:space="0" w:color="000000"/>
              <w:bottom w:val="single" w:sz="2" w:space="0" w:color="000000"/>
            </w:tcBorders>
            <w:vAlign w:val="center"/>
          </w:tcPr>
          <w:p w14:paraId="550E40D8"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2593.806923</w:t>
            </w:r>
          </w:p>
        </w:tc>
        <w:tc>
          <w:tcPr>
            <w:tcW w:w="1931" w:type="dxa"/>
            <w:tcBorders>
              <w:left w:val="single" w:sz="2" w:space="0" w:color="000000"/>
              <w:bottom w:val="single" w:sz="2" w:space="0" w:color="000000"/>
            </w:tcBorders>
            <w:vAlign w:val="center"/>
          </w:tcPr>
          <w:p w14:paraId="1EDA7BD6"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2049.476434</w:t>
            </w:r>
          </w:p>
        </w:tc>
        <w:tc>
          <w:tcPr>
            <w:tcW w:w="1589" w:type="dxa"/>
            <w:tcBorders>
              <w:left w:val="single" w:sz="2" w:space="0" w:color="000000"/>
              <w:bottom w:val="single" w:sz="2" w:space="0" w:color="000000"/>
              <w:right w:val="single" w:sz="2" w:space="0" w:color="000000"/>
            </w:tcBorders>
            <w:vAlign w:val="center"/>
          </w:tcPr>
          <w:p w14:paraId="3ECD714C" w14:textId="77777777" w:rsidR="00A71566" w:rsidRPr="003611A6" w:rsidRDefault="00000000" w:rsidP="003611A6">
            <w:pPr>
              <w:pStyle w:val="Contedodatabela"/>
              <w:spacing w:line="360" w:lineRule="auto"/>
              <w:jc w:val="both"/>
              <w:rPr>
                <w:rFonts w:ascii="Arial" w:hAnsi="Arial" w:cs="Arial"/>
              </w:rPr>
            </w:pPr>
            <w:r w:rsidRPr="003611A6">
              <w:rPr>
                <w:rFonts w:ascii="Arial" w:hAnsi="Arial" w:cs="Arial"/>
              </w:rPr>
              <w:t>8.3764</w:t>
            </w:r>
          </w:p>
        </w:tc>
      </w:tr>
    </w:tbl>
    <w:p w14:paraId="5500031B" w14:textId="77777777" w:rsidR="00A71566" w:rsidRPr="003611A6" w:rsidRDefault="00A71566" w:rsidP="003611A6">
      <w:pPr>
        <w:pStyle w:val="Corpodetexto"/>
        <w:spacing w:after="0" w:line="360" w:lineRule="auto"/>
        <w:contextualSpacing/>
        <w:jc w:val="both"/>
        <w:rPr>
          <w:rFonts w:ascii="Arial" w:hAnsi="Arial" w:cs="Arial"/>
        </w:rPr>
      </w:pPr>
    </w:p>
    <w:p w14:paraId="7C8408C8"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7051E906" w14:textId="77777777" w:rsidR="00A71566" w:rsidRPr="003611A6" w:rsidRDefault="00000000" w:rsidP="003611A6">
      <w:pPr>
        <w:pStyle w:val="Corpodetexto"/>
        <w:spacing w:after="0" w:line="360" w:lineRule="auto"/>
        <w:contextualSpacing/>
        <w:jc w:val="both"/>
        <w:rPr>
          <w:rFonts w:ascii="Arial" w:hAnsi="Arial" w:cs="Arial"/>
          <w:b/>
          <w:bCs/>
          <w:color w:val="111111"/>
        </w:rPr>
      </w:pPr>
      <w:r w:rsidRPr="003611A6">
        <w:rPr>
          <w:rFonts w:ascii="Arial" w:hAnsi="Arial" w:cs="Arial"/>
          <w:b/>
          <w:bCs/>
          <w:noProof/>
          <w:color w:val="111111"/>
        </w:rPr>
        <w:drawing>
          <wp:anchor distT="0" distB="0" distL="0" distR="0" simplePos="0" relativeHeight="251667456" behindDoc="0" locked="0" layoutInCell="0" allowOverlap="1" wp14:anchorId="26127273" wp14:editId="2CBD7594">
            <wp:simplePos x="0" y="0"/>
            <wp:positionH relativeFrom="column">
              <wp:align>center</wp:align>
            </wp:positionH>
            <wp:positionV relativeFrom="paragraph">
              <wp:posOffset>635</wp:posOffset>
            </wp:positionV>
            <wp:extent cx="5760085" cy="2370455"/>
            <wp:effectExtent l="0" t="0" r="0" b="0"/>
            <wp:wrapSquare wrapText="largest"/>
            <wp:docPr id="10"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
                    <pic:cNvPicPr>
                      <a:picLocks noChangeAspect="1" noChangeArrowheads="1"/>
                    </pic:cNvPicPr>
                  </pic:nvPicPr>
                  <pic:blipFill>
                    <a:blip r:embed="rId18"/>
                    <a:stretch>
                      <a:fillRect/>
                    </a:stretch>
                  </pic:blipFill>
                  <pic:spPr bwMode="auto">
                    <a:xfrm>
                      <a:off x="0" y="0"/>
                      <a:ext cx="5760085" cy="2370455"/>
                    </a:xfrm>
                    <a:prstGeom prst="rect">
                      <a:avLst/>
                    </a:prstGeom>
                  </pic:spPr>
                </pic:pic>
              </a:graphicData>
            </a:graphic>
          </wp:anchor>
        </w:drawing>
      </w:r>
    </w:p>
    <w:p w14:paraId="11657B80" w14:textId="1AA0D96C" w:rsidR="00A71566" w:rsidRPr="001E5F79" w:rsidRDefault="001E5F79" w:rsidP="003611A6">
      <w:pPr>
        <w:pStyle w:val="Corpodetexto"/>
        <w:spacing w:after="0" w:line="360" w:lineRule="auto"/>
        <w:contextualSpacing/>
        <w:jc w:val="both"/>
        <w:rPr>
          <w:rFonts w:ascii="Arial" w:hAnsi="Arial" w:cs="Arial"/>
          <w:color w:val="111111"/>
        </w:rPr>
      </w:pPr>
      <w:r w:rsidRPr="001E5F79">
        <w:rPr>
          <w:rFonts w:ascii="Arial" w:hAnsi="Arial" w:cs="Arial"/>
          <w:color w:val="111111"/>
        </w:rPr>
        <w:t xml:space="preserve">Análise: </w:t>
      </w:r>
      <w:r>
        <w:rPr>
          <w:rFonts w:ascii="Arial" w:hAnsi="Arial" w:cs="Arial"/>
          <w:color w:val="111111"/>
        </w:rPr>
        <w:t>Observa-se que o valor previsto está em linhas com os resultados dos últimos anos, sendo assim identifica-se que não haverá grandes</w:t>
      </w:r>
      <w:r w:rsidR="00235D41">
        <w:rPr>
          <w:rFonts w:ascii="Arial" w:hAnsi="Arial" w:cs="Arial"/>
          <w:color w:val="111111"/>
        </w:rPr>
        <w:t xml:space="preserve"> impactos mesmo o valor observado ser menor.</w:t>
      </w:r>
    </w:p>
    <w:p w14:paraId="7D3F9BC3"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0C4785DF"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t>Cronograma</w:t>
      </w:r>
    </w:p>
    <w:p w14:paraId="2EE78392" w14:textId="77777777" w:rsidR="00A71566" w:rsidRPr="003611A6" w:rsidRDefault="00A71566" w:rsidP="003611A6">
      <w:pPr>
        <w:pStyle w:val="Corpodetexto"/>
        <w:spacing w:after="0" w:line="360" w:lineRule="auto"/>
        <w:contextualSpacing/>
        <w:jc w:val="both"/>
        <w:rPr>
          <w:rFonts w:ascii="Arial" w:hAnsi="Arial" w:cs="Arial"/>
          <w:b/>
          <w:bCs/>
          <w:color w:val="111111"/>
        </w:rPr>
      </w:pPr>
    </w:p>
    <w:tbl>
      <w:tblPr>
        <w:tblStyle w:val="Tabelacomgrade"/>
        <w:tblW w:w="8640" w:type="dxa"/>
        <w:tblLayout w:type="fixed"/>
        <w:tblLook w:val="04A0" w:firstRow="1" w:lastRow="0" w:firstColumn="1" w:lastColumn="0" w:noHBand="0" w:noVBand="1"/>
      </w:tblPr>
      <w:tblGrid>
        <w:gridCol w:w="2880"/>
        <w:gridCol w:w="2880"/>
        <w:gridCol w:w="2880"/>
      </w:tblGrid>
      <w:tr w:rsidR="00A71566" w:rsidRPr="003611A6" w14:paraId="5FA32CA4" w14:textId="77777777">
        <w:tc>
          <w:tcPr>
            <w:tcW w:w="2880" w:type="dxa"/>
          </w:tcPr>
          <w:p w14:paraId="02AF3D6D" w14:textId="77777777" w:rsidR="00A71566" w:rsidRPr="003611A6" w:rsidRDefault="00000000" w:rsidP="003611A6">
            <w:pPr>
              <w:spacing w:line="360" w:lineRule="auto"/>
              <w:jc w:val="both"/>
              <w:rPr>
                <w:rFonts w:ascii="Arial" w:hAnsi="Arial" w:cs="Arial"/>
              </w:rPr>
            </w:pPr>
            <w:r w:rsidRPr="003611A6">
              <w:rPr>
                <w:rFonts w:ascii="Arial" w:hAnsi="Arial" w:cs="Arial"/>
              </w:rPr>
              <w:t>Período/Data</w:t>
            </w:r>
          </w:p>
        </w:tc>
        <w:tc>
          <w:tcPr>
            <w:tcW w:w="2880" w:type="dxa"/>
          </w:tcPr>
          <w:p w14:paraId="17D439B8" w14:textId="77777777" w:rsidR="00A71566" w:rsidRPr="003611A6" w:rsidRDefault="00000000" w:rsidP="003611A6">
            <w:pPr>
              <w:spacing w:line="360" w:lineRule="auto"/>
              <w:jc w:val="both"/>
              <w:rPr>
                <w:rFonts w:ascii="Arial" w:hAnsi="Arial" w:cs="Arial"/>
              </w:rPr>
            </w:pPr>
            <w:r w:rsidRPr="003611A6">
              <w:rPr>
                <w:rFonts w:ascii="Arial" w:hAnsi="Arial" w:cs="Arial"/>
              </w:rPr>
              <w:t>Atividades</w:t>
            </w:r>
          </w:p>
        </w:tc>
        <w:tc>
          <w:tcPr>
            <w:tcW w:w="2880" w:type="dxa"/>
          </w:tcPr>
          <w:p w14:paraId="43B70763" w14:textId="77777777" w:rsidR="00A71566" w:rsidRPr="003611A6" w:rsidRDefault="00000000" w:rsidP="003611A6">
            <w:pPr>
              <w:spacing w:line="360" w:lineRule="auto"/>
              <w:jc w:val="both"/>
              <w:rPr>
                <w:rFonts w:ascii="Arial" w:hAnsi="Arial" w:cs="Arial"/>
              </w:rPr>
            </w:pPr>
            <w:r w:rsidRPr="003611A6">
              <w:rPr>
                <w:rFonts w:ascii="Arial" w:hAnsi="Arial" w:cs="Arial"/>
              </w:rPr>
              <w:t>Entregas/Observações</w:t>
            </w:r>
          </w:p>
        </w:tc>
      </w:tr>
      <w:tr w:rsidR="00A71566" w:rsidRPr="003611A6" w14:paraId="0D413237" w14:textId="77777777">
        <w:trPr>
          <w:trHeight w:val="650"/>
        </w:trPr>
        <w:tc>
          <w:tcPr>
            <w:tcW w:w="2880" w:type="dxa"/>
          </w:tcPr>
          <w:p w14:paraId="11F47AF4" w14:textId="77777777" w:rsidR="00A71566" w:rsidRPr="003611A6" w:rsidRDefault="00000000" w:rsidP="003611A6">
            <w:pPr>
              <w:spacing w:line="360" w:lineRule="auto"/>
              <w:jc w:val="both"/>
              <w:rPr>
                <w:rFonts w:ascii="Arial" w:hAnsi="Arial" w:cs="Arial"/>
              </w:rPr>
            </w:pPr>
            <w:r w:rsidRPr="003611A6">
              <w:rPr>
                <w:rFonts w:ascii="Arial" w:hAnsi="Arial" w:cs="Arial"/>
              </w:rPr>
              <w:t>Até 10/09</w:t>
            </w:r>
          </w:p>
        </w:tc>
        <w:tc>
          <w:tcPr>
            <w:tcW w:w="2880" w:type="dxa"/>
          </w:tcPr>
          <w:p w14:paraId="6B1DA147" w14:textId="77777777" w:rsidR="00A71566" w:rsidRPr="003611A6" w:rsidRDefault="00000000" w:rsidP="003611A6">
            <w:pPr>
              <w:spacing w:line="360" w:lineRule="auto"/>
              <w:jc w:val="both"/>
              <w:rPr>
                <w:rFonts w:ascii="Arial" w:hAnsi="Arial" w:cs="Arial"/>
              </w:rPr>
            </w:pPr>
            <w:r w:rsidRPr="003611A6">
              <w:rPr>
                <w:rFonts w:ascii="Arial" w:hAnsi="Arial" w:cs="Arial"/>
              </w:rPr>
              <w:t>Levantamento inicial e revisão bibliográfica</w:t>
            </w:r>
          </w:p>
        </w:tc>
        <w:tc>
          <w:tcPr>
            <w:tcW w:w="2880" w:type="dxa"/>
          </w:tcPr>
          <w:p w14:paraId="6AC11B4C" w14:textId="77777777" w:rsidR="00A71566" w:rsidRPr="003611A6" w:rsidRDefault="00000000" w:rsidP="003611A6">
            <w:pPr>
              <w:spacing w:line="360" w:lineRule="auto"/>
              <w:jc w:val="both"/>
              <w:rPr>
                <w:rFonts w:ascii="Arial" w:hAnsi="Arial" w:cs="Arial"/>
              </w:rPr>
            </w:pPr>
            <w:r w:rsidRPr="003611A6">
              <w:rPr>
                <w:rFonts w:ascii="Arial" w:hAnsi="Arial" w:cs="Arial"/>
              </w:rPr>
              <w:t>Fundamento teórico e contextualização</w:t>
            </w:r>
          </w:p>
        </w:tc>
      </w:tr>
      <w:tr w:rsidR="00A71566" w:rsidRPr="003611A6" w14:paraId="3AF9BF8F" w14:textId="77777777">
        <w:trPr>
          <w:trHeight w:val="702"/>
        </w:trPr>
        <w:tc>
          <w:tcPr>
            <w:tcW w:w="2880" w:type="dxa"/>
          </w:tcPr>
          <w:p w14:paraId="19302846" w14:textId="77777777" w:rsidR="00A71566" w:rsidRPr="003611A6" w:rsidRDefault="00000000" w:rsidP="003611A6">
            <w:pPr>
              <w:spacing w:line="360" w:lineRule="auto"/>
              <w:jc w:val="both"/>
              <w:rPr>
                <w:rFonts w:ascii="Arial" w:hAnsi="Arial" w:cs="Arial"/>
              </w:rPr>
            </w:pPr>
            <w:r w:rsidRPr="003611A6">
              <w:rPr>
                <w:rFonts w:ascii="Arial" w:hAnsi="Arial" w:cs="Arial"/>
              </w:rPr>
              <w:t>11/09 a 20/09</w:t>
            </w:r>
          </w:p>
        </w:tc>
        <w:tc>
          <w:tcPr>
            <w:tcW w:w="2880" w:type="dxa"/>
          </w:tcPr>
          <w:p w14:paraId="6785B30F" w14:textId="77777777" w:rsidR="00A71566" w:rsidRPr="003611A6" w:rsidRDefault="00000000" w:rsidP="003611A6">
            <w:pPr>
              <w:spacing w:line="360" w:lineRule="auto"/>
              <w:jc w:val="both"/>
              <w:rPr>
                <w:rFonts w:ascii="Arial" w:hAnsi="Arial" w:cs="Arial"/>
              </w:rPr>
            </w:pPr>
            <w:r w:rsidRPr="003611A6">
              <w:rPr>
                <w:rFonts w:ascii="Arial" w:hAnsi="Arial" w:cs="Arial"/>
              </w:rPr>
              <w:t>Coleta e consolidação dos dados oficiais</w:t>
            </w:r>
          </w:p>
        </w:tc>
        <w:tc>
          <w:tcPr>
            <w:tcW w:w="2880" w:type="dxa"/>
          </w:tcPr>
          <w:p w14:paraId="0F33380B" w14:textId="77777777" w:rsidR="00A71566" w:rsidRPr="003611A6" w:rsidRDefault="00000000" w:rsidP="003611A6">
            <w:pPr>
              <w:spacing w:line="360" w:lineRule="auto"/>
              <w:jc w:val="both"/>
              <w:rPr>
                <w:rFonts w:ascii="Arial" w:hAnsi="Arial" w:cs="Arial"/>
              </w:rPr>
            </w:pPr>
            <w:r w:rsidRPr="003611A6">
              <w:rPr>
                <w:rFonts w:ascii="Arial" w:hAnsi="Arial" w:cs="Arial"/>
              </w:rPr>
              <w:t>Preparação da base de dados para análise</w:t>
            </w:r>
          </w:p>
        </w:tc>
      </w:tr>
      <w:tr w:rsidR="00A71566" w:rsidRPr="003611A6" w14:paraId="5E540ADA" w14:textId="77777777">
        <w:trPr>
          <w:trHeight w:val="542"/>
        </w:trPr>
        <w:tc>
          <w:tcPr>
            <w:tcW w:w="2880" w:type="dxa"/>
          </w:tcPr>
          <w:p w14:paraId="1A36A851" w14:textId="77777777" w:rsidR="00A71566" w:rsidRPr="003611A6" w:rsidRDefault="00000000" w:rsidP="003611A6">
            <w:pPr>
              <w:spacing w:line="360" w:lineRule="auto"/>
              <w:jc w:val="both"/>
              <w:rPr>
                <w:rFonts w:ascii="Arial" w:hAnsi="Arial" w:cs="Arial"/>
              </w:rPr>
            </w:pPr>
            <w:r w:rsidRPr="003611A6">
              <w:rPr>
                <w:rFonts w:ascii="Arial" w:hAnsi="Arial" w:cs="Arial"/>
              </w:rPr>
              <w:t>21/09 a 25/09</w:t>
            </w:r>
          </w:p>
        </w:tc>
        <w:tc>
          <w:tcPr>
            <w:tcW w:w="2880" w:type="dxa"/>
          </w:tcPr>
          <w:p w14:paraId="3DE3FD53" w14:textId="77777777" w:rsidR="00A71566" w:rsidRPr="003611A6" w:rsidRDefault="00000000" w:rsidP="003611A6">
            <w:pPr>
              <w:spacing w:line="360" w:lineRule="auto"/>
              <w:jc w:val="both"/>
              <w:rPr>
                <w:rFonts w:ascii="Arial" w:hAnsi="Arial" w:cs="Arial"/>
              </w:rPr>
            </w:pPr>
            <w:r w:rsidRPr="003611A6">
              <w:rPr>
                <w:rFonts w:ascii="Arial" w:hAnsi="Arial" w:cs="Arial"/>
              </w:rPr>
              <w:t xml:space="preserve">Tratamento e limpeza dos </w:t>
            </w:r>
            <w:r w:rsidRPr="003611A6">
              <w:rPr>
                <w:rFonts w:ascii="Arial" w:hAnsi="Arial" w:cs="Arial"/>
              </w:rPr>
              <w:lastRenderedPageBreak/>
              <w:t>dados</w:t>
            </w:r>
          </w:p>
        </w:tc>
        <w:tc>
          <w:tcPr>
            <w:tcW w:w="2880" w:type="dxa"/>
          </w:tcPr>
          <w:p w14:paraId="6E7A2115" w14:textId="77777777" w:rsidR="00A71566" w:rsidRPr="003611A6" w:rsidRDefault="00000000" w:rsidP="003611A6">
            <w:pPr>
              <w:spacing w:line="360" w:lineRule="auto"/>
              <w:jc w:val="both"/>
              <w:rPr>
                <w:rFonts w:ascii="Arial" w:hAnsi="Arial" w:cs="Arial"/>
              </w:rPr>
            </w:pPr>
            <w:r w:rsidRPr="003611A6">
              <w:rPr>
                <w:rFonts w:ascii="Arial" w:hAnsi="Arial" w:cs="Arial"/>
              </w:rPr>
              <w:lastRenderedPageBreak/>
              <w:t xml:space="preserve">Garantia de qualidade e </w:t>
            </w:r>
            <w:r w:rsidRPr="003611A6">
              <w:rPr>
                <w:rFonts w:ascii="Arial" w:hAnsi="Arial" w:cs="Arial"/>
              </w:rPr>
              <w:lastRenderedPageBreak/>
              <w:t>integridade dos dados</w:t>
            </w:r>
          </w:p>
        </w:tc>
      </w:tr>
      <w:tr w:rsidR="00A71566" w:rsidRPr="003611A6" w14:paraId="74678BB7" w14:textId="77777777">
        <w:trPr>
          <w:trHeight w:val="848"/>
        </w:trPr>
        <w:tc>
          <w:tcPr>
            <w:tcW w:w="2880" w:type="dxa"/>
          </w:tcPr>
          <w:p w14:paraId="59314082" w14:textId="77777777" w:rsidR="00A71566" w:rsidRPr="003611A6" w:rsidRDefault="00000000" w:rsidP="003611A6">
            <w:pPr>
              <w:spacing w:line="360" w:lineRule="auto"/>
              <w:jc w:val="both"/>
              <w:rPr>
                <w:rFonts w:ascii="Arial" w:hAnsi="Arial" w:cs="Arial"/>
              </w:rPr>
            </w:pPr>
            <w:r w:rsidRPr="003611A6">
              <w:rPr>
                <w:rFonts w:ascii="Arial" w:hAnsi="Arial" w:cs="Arial"/>
              </w:rPr>
              <w:lastRenderedPageBreak/>
              <w:t>26/09</w:t>
            </w:r>
          </w:p>
        </w:tc>
        <w:tc>
          <w:tcPr>
            <w:tcW w:w="2880" w:type="dxa"/>
          </w:tcPr>
          <w:p w14:paraId="5184A9F8" w14:textId="77777777" w:rsidR="00A71566" w:rsidRPr="003611A6" w:rsidRDefault="00000000" w:rsidP="003611A6">
            <w:pPr>
              <w:spacing w:line="360" w:lineRule="auto"/>
              <w:jc w:val="both"/>
              <w:rPr>
                <w:rFonts w:ascii="Arial" w:hAnsi="Arial" w:cs="Arial"/>
              </w:rPr>
            </w:pPr>
            <w:r w:rsidRPr="003611A6">
              <w:rPr>
                <w:rFonts w:ascii="Arial" w:hAnsi="Arial" w:cs="Arial"/>
              </w:rPr>
              <w:t>Entrega da 2ª etapa: análise exploratória preliminar das séries temporais</w:t>
            </w:r>
          </w:p>
        </w:tc>
        <w:tc>
          <w:tcPr>
            <w:tcW w:w="2880" w:type="dxa"/>
          </w:tcPr>
          <w:p w14:paraId="69797AC3" w14:textId="77777777" w:rsidR="00A71566" w:rsidRPr="003611A6" w:rsidRDefault="00000000" w:rsidP="003611A6">
            <w:pPr>
              <w:spacing w:line="360" w:lineRule="auto"/>
              <w:jc w:val="both"/>
              <w:rPr>
                <w:rFonts w:ascii="Arial" w:hAnsi="Arial" w:cs="Arial"/>
              </w:rPr>
            </w:pPr>
            <w:r w:rsidRPr="003611A6">
              <w:rPr>
                <w:rFonts w:ascii="Arial" w:hAnsi="Arial" w:cs="Arial"/>
              </w:rPr>
              <w:t>Avaliação de tendências e sazonalidades</w:t>
            </w:r>
          </w:p>
        </w:tc>
      </w:tr>
      <w:tr w:rsidR="00A71566" w:rsidRPr="003611A6" w14:paraId="6A9C3BE4" w14:textId="77777777">
        <w:trPr>
          <w:trHeight w:val="702"/>
        </w:trPr>
        <w:tc>
          <w:tcPr>
            <w:tcW w:w="2880" w:type="dxa"/>
          </w:tcPr>
          <w:p w14:paraId="4367D581" w14:textId="77777777" w:rsidR="00A71566" w:rsidRPr="003611A6" w:rsidRDefault="00000000" w:rsidP="003611A6">
            <w:pPr>
              <w:spacing w:line="360" w:lineRule="auto"/>
              <w:jc w:val="both"/>
              <w:rPr>
                <w:rFonts w:ascii="Arial" w:hAnsi="Arial" w:cs="Arial"/>
              </w:rPr>
            </w:pPr>
            <w:r w:rsidRPr="003611A6">
              <w:rPr>
                <w:rFonts w:ascii="Arial" w:hAnsi="Arial" w:cs="Arial"/>
              </w:rPr>
              <w:t>27/09 a 10/10</w:t>
            </w:r>
          </w:p>
        </w:tc>
        <w:tc>
          <w:tcPr>
            <w:tcW w:w="2880" w:type="dxa"/>
          </w:tcPr>
          <w:p w14:paraId="0176909B" w14:textId="77777777" w:rsidR="00A71566" w:rsidRPr="003611A6" w:rsidRDefault="00000000" w:rsidP="003611A6">
            <w:pPr>
              <w:spacing w:line="360" w:lineRule="auto"/>
              <w:jc w:val="both"/>
              <w:rPr>
                <w:rFonts w:ascii="Arial" w:hAnsi="Arial" w:cs="Arial"/>
              </w:rPr>
            </w:pPr>
            <w:r w:rsidRPr="003611A6">
              <w:rPr>
                <w:rFonts w:ascii="Arial" w:hAnsi="Arial" w:cs="Arial"/>
              </w:rPr>
              <w:t>Exploração aprofundada dos dados com técnicas estatísticas</w:t>
            </w:r>
          </w:p>
        </w:tc>
        <w:tc>
          <w:tcPr>
            <w:tcW w:w="2880" w:type="dxa"/>
          </w:tcPr>
          <w:p w14:paraId="3C963C83" w14:textId="77777777" w:rsidR="00A71566" w:rsidRPr="003611A6" w:rsidRDefault="00000000" w:rsidP="003611A6">
            <w:pPr>
              <w:spacing w:line="360" w:lineRule="auto"/>
              <w:jc w:val="both"/>
              <w:rPr>
                <w:rFonts w:ascii="Arial" w:hAnsi="Arial" w:cs="Arial"/>
              </w:rPr>
            </w:pPr>
            <w:r w:rsidRPr="003611A6">
              <w:rPr>
                <w:rFonts w:ascii="Arial" w:hAnsi="Arial" w:cs="Arial"/>
              </w:rPr>
              <w:t>Refinamento das análises e identificação de padrões</w:t>
            </w:r>
          </w:p>
        </w:tc>
      </w:tr>
      <w:tr w:rsidR="00A71566" w:rsidRPr="003611A6" w14:paraId="7B4241B2" w14:textId="77777777">
        <w:trPr>
          <w:trHeight w:val="686"/>
        </w:trPr>
        <w:tc>
          <w:tcPr>
            <w:tcW w:w="2880" w:type="dxa"/>
          </w:tcPr>
          <w:p w14:paraId="06B27804" w14:textId="77777777" w:rsidR="00A71566" w:rsidRPr="003611A6" w:rsidRDefault="00000000" w:rsidP="003611A6">
            <w:pPr>
              <w:spacing w:line="360" w:lineRule="auto"/>
              <w:jc w:val="both"/>
              <w:rPr>
                <w:rFonts w:ascii="Arial" w:hAnsi="Arial" w:cs="Arial"/>
              </w:rPr>
            </w:pPr>
            <w:r w:rsidRPr="003611A6">
              <w:rPr>
                <w:rFonts w:ascii="Arial" w:hAnsi="Arial" w:cs="Arial"/>
              </w:rPr>
              <w:t>11/10 a 20/10</w:t>
            </w:r>
          </w:p>
        </w:tc>
        <w:tc>
          <w:tcPr>
            <w:tcW w:w="2880" w:type="dxa"/>
          </w:tcPr>
          <w:p w14:paraId="07B2F14C" w14:textId="77777777" w:rsidR="00A71566" w:rsidRPr="003611A6" w:rsidRDefault="00000000" w:rsidP="003611A6">
            <w:pPr>
              <w:spacing w:line="360" w:lineRule="auto"/>
              <w:jc w:val="both"/>
              <w:rPr>
                <w:rFonts w:ascii="Arial" w:hAnsi="Arial" w:cs="Arial"/>
              </w:rPr>
            </w:pPr>
            <w:r w:rsidRPr="003611A6">
              <w:rPr>
                <w:rFonts w:ascii="Arial" w:hAnsi="Arial" w:cs="Arial"/>
              </w:rPr>
              <w:t>Desenvolvimento inicial dos modelos preditivos</w:t>
            </w:r>
          </w:p>
        </w:tc>
        <w:tc>
          <w:tcPr>
            <w:tcW w:w="2880" w:type="dxa"/>
          </w:tcPr>
          <w:p w14:paraId="76DF9ACA" w14:textId="77777777" w:rsidR="00A71566" w:rsidRPr="003611A6" w:rsidRDefault="00000000" w:rsidP="003611A6">
            <w:pPr>
              <w:spacing w:line="360" w:lineRule="auto"/>
              <w:jc w:val="both"/>
              <w:rPr>
                <w:rFonts w:ascii="Arial" w:hAnsi="Arial" w:cs="Arial"/>
              </w:rPr>
            </w:pPr>
            <w:r w:rsidRPr="003611A6">
              <w:rPr>
                <w:rFonts w:ascii="Arial" w:hAnsi="Arial" w:cs="Arial"/>
              </w:rPr>
              <w:t>Aplicação de métodos de aprendizado de máquina</w:t>
            </w:r>
          </w:p>
        </w:tc>
      </w:tr>
      <w:tr w:rsidR="00A71566" w:rsidRPr="003611A6" w14:paraId="2731A745" w14:textId="77777777">
        <w:trPr>
          <w:trHeight w:val="554"/>
        </w:trPr>
        <w:tc>
          <w:tcPr>
            <w:tcW w:w="2880" w:type="dxa"/>
          </w:tcPr>
          <w:p w14:paraId="37DF55DB" w14:textId="77777777" w:rsidR="00A71566" w:rsidRPr="003611A6" w:rsidRDefault="00000000" w:rsidP="003611A6">
            <w:pPr>
              <w:spacing w:line="360" w:lineRule="auto"/>
              <w:jc w:val="both"/>
              <w:rPr>
                <w:rFonts w:ascii="Arial" w:hAnsi="Arial" w:cs="Arial"/>
              </w:rPr>
            </w:pPr>
            <w:r w:rsidRPr="003611A6">
              <w:rPr>
                <w:rFonts w:ascii="Arial" w:hAnsi="Arial" w:cs="Arial"/>
              </w:rPr>
              <w:t>21/10 a 30/10</w:t>
            </w:r>
          </w:p>
        </w:tc>
        <w:tc>
          <w:tcPr>
            <w:tcW w:w="2880" w:type="dxa"/>
          </w:tcPr>
          <w:p w14:paraId="0DED86B5" w14:textId="77777777" w:rsidR="00A71566" w:rsidRPr="003611A6" w:rsidRDefault="00000000" w:rsidP="003611A6">
            <w:pPr>
              <w:spacing w:line="360" w:lineRule="auto"/>
              <w:jc w:val="both"/>
              <w:rPr>
                <w:rFonts w:ascii="Arial" w:hAnsi="Arial" w:cs="Arial"/>
              </w:rPr>
            </w:pPr>
            <w:r w:rsidRPr="003611A6">
              <w:rPr>
                <w:rFonts w:ascii="Arial" w:hAnsi="Arial" w:cs="Arial"/>
              </w:rPr>
              <w:t>Validação dos modelos e configurações</w:t>
            </w:r>
          </w:p>
        </w:tc>
        <w:tc>
          <w:tcPr>
            <w:tcW w:w="2880" w:type="dxa"/>
          </w:tcPr>
          <w:p w14:paraId="6C55808E" w14:textId="77777777" w:rsidR="00A71566" w:rsidRPr="003611A6" w:rsidRDefault="00000000" w:rsidP="003611A6">
            <w:pPr>
              <w:spacing w:line="360" w:lineRule="auto"/>
              <w:jc w:val="both"/>
              <w:rPr>
                <w:rFonts w:ascii="Arial" w:hAnsi="Arial" w:cs="Arial"/>
              </w:rPr>
            </w:pPr>
            <w:r w:rsidRPr="003611A6">
              <w:rPr>
                <w:rFonts w:ascii="Arial" w:hAnsi="Arial" w:cs="Arial"/>
              </w:rPr>
              <w:t xml:space="preserve">Ajuste de </w:t>
            </w:r>
            <w:proofErr w:type="spellStart"/>
            <w:r w:rsidRPr="003611A6">
              <w:rPr>
                <w:rFonts w:ascii="Arial" w:hAnsi="Arial" w:cs="Arial"/>
              </w:rPr>
              <w:t>hiperparâmetros</w:t>
            </w:r>
            <w:proofErr w:type="spellEnd"/>
            <w:r w:rsidRPr="003611A6">
              <w:rPr>
                <w:rFonts w:ascii="Arial" w:hAnsi="Arial" w:cs="Arial"/>
              </w:rPr>
              <w:t xml:space="preserve"> e avaliação de desempenho</w:t>
            </w:r>
          </w:p>
        </w:tc>
      </w:tr>
      <w:tr w:rsidR="00A71566" w:rsidRPr="003611A6" w14:paraId="3C39E2AC" w14:textId="77777777">
        <w:trPr>
          <w:trHeight w:val="846"/>
        </w:trPr>
        <w:tc>
          <w:tcPr>
            <w:tcW w:w="2880" w:type="dxa"/>
          </w:tcPr>
          <w:p w14:paraId="36EADA42" w14:textId="77777777" w:rsidR="00A71566" w:rsidRPr="003611A6" w:rsidRDefault="00000000" w:rsidP="003611A6">
            <w:pPr>
              <w:spacing w:line="360" w:lineRule="auto"/>
              <w:jc w:val="both"/>
              <w:rPr>
                <w:rFonts w:ascii="Arial" w:hAnsi="Arial" w:cs="Arial"/>
              </w:rPr>
            </w:pPr>
            <w:r w:rsidRPr="003611A6">
              <w:rPr>
                <w:rFonts w:ascii="Arial" w:hAnsi="Arial" w:cs="Arial"/>
              </w:rPr>
              <w:t>31/10</w:t>
            </w:r>
          </w:p>
        </w:tc>
        <w:tc>
          <w:tcPr>
            <w:tcW w:w="2880" w:type="dxa"/>
          </w:tcPr>
          <w:p w14:paraId="6AC3E7CC" w14:textId="77777777" w:rsidR="00A71566" w:rsidRPr="003611A6" w:rsidRDefault="00000000" w:rsidP="003611A6">
            <w:pPr>
              <w:spacing w:line="360" w:lineRule="auto"/>
              <w:jc w:val="both"/>
              <w:rPr>
                <w:rFonts w:ascii="Arial" w:hAnsi="Arial" w:cs="Arial"/>
              </w:rPr>
            </w:pPr>
            <w:r w:rsidRPr="003611A6">
              <w:rPr>
                <w:rFonts w:ascii="Arial" w:hAnsi="Arial" w:cs="Arial"/>
              </w:rPr>
              <w:t>Entrega da 3ª etapa: apresentação dos modelos preditivos</w:t>
            </w:r>
          </w:p>
        </w:tc>
        <w:tc>
          <w:tcPr>
            <w:tcW w:w="2880" w:type="dxa"/>
          </w:tcPr>
          <w:p w14:paraId="78A0646F" w14:textId="77777777" w:rsidR="00A71566" w:rsidRPr="003611A6" w:rsidRDefault="00000000" w:rsidP="003611A6">
            <w:pPr>
              <w:spacing w:line="360" w:lineRule="auto"/>
              <w:jc w:val="both"/>
              <w:rPr>
                <w:rFonts w:ascii="Arial" w:hAnsi="Arial" w:cs="Arial"/>
              </w:rPr>
            </w:pPr>
            <w:r w:rsidRPr="003611A6">
              <w:rPr>
                <w:rFonts w:ascii="Arial" w:hAnsi="Arial" w:cs="Arial"/>
              </w:rPr>
              <w:t>Propostas para previsão e planejamento</w:t>
            </w:r>
          </w:p>
        </w:tc>
      </w:tr>
      <w:tr w:rsidR="00A71566" w:rsidRPr="003611A6" w14:paraId="0450938A" w14:textId="77777777">
        <w:trPr>
          <w:trHeight w:val="703"/>
        </w:trPr>
        <w:tc>
          <w:tcPr>
            <w:tcW w:w="2880" w:type="dxa"/>
          </w:tcPr>
          <w:p w14:paraId="13B9AD24" w14:textId="77777777" w:rsidR="00A71566" w:rsidRPr="003611A6" w:rsidRDefault="00000000" w:rsidP="003611A6">
            <w:pPr>
              <w:spacing w:line="360" w:lineRule="auto"/>
              <w:jc w:val="both"/>
              <w:rPr>
                <w:rFonts w:ascii="Arial" w:hAnsi="Arial" w:cs="Arial"/>
              </w:rPr>
            </w:pPr>
            <w:r w:rsidRPr="003611A6">
              <w:rPr>
                <w:rFonts w:ascii="Arial" w:hAnsi="Arial" w:cs="Arial"/>
              </w:rPr>
              <w:t>01/11 a 15/11</w:t>
            </w:r>
          </w:p>
        </w:tc>
        <w:tc>
          <w:tcPr>
            <w:tcW w:w="2880" w:type="dxa"/>
          </w:tcPr>
          <w:p w14:paraId="5533EA96" w14:textId="77777777" w:rsidR="00A71566" w:rsidRPr="003611A6" w:rsidRDefault="00000000" w:rsidP="003611A6">
            <w:pPr>
              <w:spacing w:line="360" w:lineRule="auto"/>
              <w:jc w:val="both"/>
              <w:rPr>
                <w:rFonts w:ascii="Arial" w:hAnsi="Arial" w:cs="Arial"/>
              </w:rPr>
            </w:pPr>
            <w:r w:rsidRPr="003611A6">
              <w:rPr>
                <w:rFonts w:ascii="Arial" w:hAnsi="Arial" w:cs="Arial"/>
              </w:rPr>
              <w:t>Elaboração das visualizações gráficas dos resultados</w:t>
            </w:r>
          </w:p>
        </w:tc>
        <w:tc>
          <w:tcPr>
            <w:tcW w:w="2880" w:type="dxa"/>
          </w:tcPr>
          <w:p w14:paraId="43BB5249" w14:textId="77777777" w:rsidR="00A71566" w:rsidRPr="003611A6" w:rsidRDefault="00000000" w:rsidP="003611A6">
            <w:pPr>
              <w:spacing w:line="360" w:lineRule="auto"/>
              <w:jc w:val="both"/>
              <w:rPr>
                <w:rFonts w:ascii="Arial" w:hAnsi="Arial" w:cs="Arial"/>
              </w:rPr>
            </w:pPr>
            <w:r w:rsidRPr="003611A6">
              <w:rPr>
                <w:rFonts w:ascii="Arial" w:hAnsi="Arial" w:cs="Arial"/>
              </w:rPr>
              <w:t>Facilitar compreensão e comunicação</w:t>
            </w:r>
          </w:p>
        </w:tc>
      </w:tr>
      <w:tr w:rsidR="00A71566" w:rsidRPr="003611A6" w14:paraId="226530D3" w14:textId="77777777">
        <w:trPr>
          <w:trHeight w:val="557"/>
        </w:trPr>
        <w:tc>
          <w:tcPr>
            <w:tcW w:w="2880" w:type="dxa"/>
          </w:tcPr>
          <w:p w14:paraId="2238C085" w14:textId="77777777" w:rsidR="00A71566" w:rsidRPr="003611A6" w:rsidRDefault="00000000" w:rsidP="003611A6">
            <w:pPr>
              <w:spacing w:line="360" w:lineRule="auto"/>
              <w:jc w:val="both"/>
              <w:rPr>
                <w:rFonts w:ascii="Arial" w:hAnsi="Arial" w:cs="Arial"/>
              </w:rPr>
            </w:pPr>
            <w:r w:rsidRPr="003611A6">
              <w:rPr>
                <w:rFonts w:ascii="Arial" w:hAnsi="Arial" w:cs="Arial"/>
              </w:rPr>
              <w:t>16/11 a 27/11</w:t>
            </w:r>
          </w:p>
        </w:tc>
        <w:tc>
          <w:tcPr>
            <w:tcW w:w="2880" w:type="dxa"/>
          </w:tcPr>
          <w:p w14:paraId="763E684F" w14:textId="77777777" w:rsidR="00A71566" w:rsidRPr="003611A6" w:rsidRDefault="00000000" w:rsidP="003611A6">
            <w:pPr>
              <w:spacing w:line="360" w:lineRule="auto"/>
              <w:jc w:val="both"/>
              <w:rPr>
                <w:rFonts w:ascii="Arial" w:hAnsi="Arial" w:cs="Arial"/>
              </w:rPr>
            </w:pPr>
            <w:r w:rsidRPr="003611A6">
              <w:rPr>
                <w:rFonts w:ascii="Arial" w:hAnsi="Arial" w:cs="Arial"/>
              </w:rPr>
              <w:t>Redação do relatório final e consolidação das análises</w:t>
            </w:r>
          </w:p>
        </w:tc>
        <w:tc>
          <w:tcPr>
            <w:tcW w:w="2880" w:type="dxa"/>
          </w:tcPr>
          <w:p w14:paraId="53348F2A" w14:textId="77777777" w:rsidR="00A71566" w:rsidRPr="003611A6" w:rsidRDefault="00000000" w:rsidP="003611A6">
            <w:pPr>
              <w:spacing w:line="360" w:lineRule="auto"/>
              <w:jc w:val="both"/>
              <w:rPr>
                <w:rFonts w:ascii="Arial" w:hAnsi="Arial" w:cs="Arial"/>
              </w:rPr>
            </w:pPr>
            <w:r w:rsidRPr="003611A6">
              <w:rPr>
                <w:rFonts w:ascii="Arial" w:hAnsi="Arial" w:cs="Arial"/>
              </w:rPr>
              <w:t>Integração dos resultados e conclusões</w:t>
            </w:r>
          </w:p>
        </w:tc>
      </w:tr>
      <w:tr w:rsidR="00A71566" w:rsidRPr="003611A6" w14:paraId="5484A9E0" w14:textId="77777777">
        <w:trPr>
          <w:trHeight w:val="550"/>
        </w:trPr>
        <w:tc>
          <w:tcPr>
            <w:tcW w:w="2880" w:type="dxa"/>
          </w:tcPr>
          <w:p w14:paraId="1F0EDE14" w14:textId="77777777" w:rsidR="00A71566" w:rsidRPr="003611A6" w:rsidRDefault="00000000" w:rsidP="003611A6">
            <w:pPr>
              <w:spacing w:line="360" w:lineRule="auto"/>
              <w:jc w:val="both"/>
              <w:rPr>
                <w:rFonts w:ascii="Arial" w:hAnsi="Arial" w:cs="Arial"/>
              </w:rPr>
            </w:pPr>
            <w:r w:rsidRPr="003611A6">
              <w:rPr>
                <w:rFonts w:ascii="Arial" w:hAnsi="Arial" w:cs="Arial"/>
              </w:rPr>
              <w:t>28/11</w:t>
            </w:r>
          </w:p>
        </w:tc>
        <w:tc>
          <w:tcPr>
            <w:tcW w:w="2880" w:type="dxa"/>
          </w:tcPr>
          <w:p w14:paraId="186A6D6D" w14:textId="77777777" w:rsidR="00A71566" w:rsidRPr="003611A6" w:rsidRDefault="00000000" w:rsidP="003611A6">
            <w:pPr>
              <w:spacing w:line="360" w:lineRule="auto"/>
              <w:jc w:val="both"/>
              <w:rPr>
                <w:rFonts w:ascii="Arial" w:hAnsi="Arial" w:cs="Arial"/>
              </w:rPr>
            </w:pPr>
            <w:r w:rsidRPr="003611A6">
              <w:rPr>
                <w:rFonts w:ascii="Arial" w:hAnsi="Arial" w:cs="Arial"/>
              </w:rPr>
              <w:t>Entrega da 4ª etapa: relatório final do projeto</w:t>
            </w:r>
          </w:p>
        </w:tc>
        <w:tc>
          <w:tcPr>
            <w:tcW w:w="2880" w:type="dxa"/>
          </w:tcPr>
          <w:p w14:paraId="45F49F00" w14:textId="77777777" w:rsidR="00A71566" w:rsidRPr="003611A6" w:rsidRDefault="00000000" w:rsidP="003611A6">
            <w:pPr>
              <w:spacing w:line="360" w:lineRule="auto"/>
              <w:jc w:val="both"/>
              <w:rPr>
                <w:rFonts w:ascii="Arial" w:hAnsi="Arial" w:cs="Arial"/>
              </w:rPr>
            </w:pPr>
            <w:r w:rsidRPr="003611A6">
              <w:rPr>
                <w:rFonts w:ascii="Arial" w:hAnsi="Arial" w:cs="Arial"/>
              </w:rPr>
              <w:t>Documento completo para avaliação final</w:t>
            </w:r>
          </w:p>
        </w:tc>
      </w:tr>
    </w:tbl>
    <w:p w14:paraId="0075DF47"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450365A8"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2E5FC715"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2B6548E5"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t>Resultados</w:t>
      </w:r>
    </w:p>
    <w:p w14:paraId="67AA51FB" w14:textId="77777777" w:rsidR="00A71566" w:rsidRPr="003611A6" w:rsidRDefault="00000000" w:rsidP="003611A6">
      <w:pPr>
        <w:pStyle w:val="NormalWeb"/>
        <w:suppressAutoHyphens w:val="0"/>
        <w:spacing w:before="100" w:after="10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 xml:space="preserve">A etapa de análise de resultados teve como objetivo avaliar o desempenho dos modelos de previsão aplicados à série temporal dos investimentos públicos urbanos. A ideia foi entender </w:t>
      </w:r>
      <w:r w:rsidRPr="003611A6">
        <w:rPr>
          <w:rFonts w:ascii="Arial" w:eastAsiaTheme="minorEastAsia" w:hAnsi="Arial" w:cs="Arial"/>
          <w:color w:val="111111"/>
          <w:sz w:val="22"/>
          <w:szCs w:val="22"/>
          <w:lang w:eastAsia="en-US"/>
        </w:rPr>
        <w:lastRenderedPageBreak/>
        <w:t>como cada modelo se comporta diante dos padrões dos dados e o quanto suas previsões podem ajudar na análise e no planejamento orçamentário.</w:t>
      </w:r>
    </w:p>
    <w:p w14:paraId="0C17ED64" w14:textId="77777777" w:rsidR="00A71566" w:rsidRPr="003611A6" w:rsidRDefault="00000000" w:rsidP="003611A6">
      <w:pPr>
        <w:pStyle w:val="NormalWeb"/>
        <w:suppressAutoHyphens w:val="0"/>
        <w:spacing w:before="100" w:after="10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Depois do tratamento dos dados e da criação da série mensal de obras ativas, os modelos foram treinados e testados. A validação considerou três métricas principais: o RMSE, que mede o quanto a previsão se desvia dos valores reais; o MAE, que mostra o erro médio absoluto; e o MAPE, que indica o erro percentual, facilitando a comparação entre os modelos.</w:t>
      </w:r>
    </w:p>
    <w:p w14:paraId="0CFADBB0" w14:textId="77777777" w:rsidR="00A71566" w:rsidRPr="003611A6" w:rsidRDefault="00000000" w:rsidP="003611A6">
      <w:pPr>
        <w:pStyle w:val="NormalWeb"/>
        <w:suppressAutoHyphens w:val="0"/>
        <w:spacing w:before="100" w:after="10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De modo geral, o modelo Sazonal (</w:t>
      </w:r>
      <w:proofErr w:type="spellStart"/>
      <w:r w:rsidRPr="003611A6">
        <w:rPr>
          <w:rFonts w:ascii="Arial" w:eastAsiaTheme="minorEastAsia" w:hAnsi="Arial" w:cs="Arial"/>
          <w:color w:val="111111"/>
          <w:sz w:val="22"/>
          <w:szCs w:val="22"/>
          <w:lang w:eastAsia="en-US"/>
        </w:rPr>
        <w:t>lag</w:t>
      </w:r>
      <w:proofErr w:type="spellEnd"/>
      <w:r w:rsidRPr="003611A6">
        <w:rPr>
          <w:rFonts w:ascii="Arial" w:eastAsiaTheme="minorEastAsia" w:hAnsi="Arial" w:cs="Arial"/>
          <w:color w:val="111111"/>
          <w:sz w:val="22"/>
          <w:szCs w:val="22"/>
          <w:lang w:eastAsia="en-US"/>
        </w:rPr>
        <w:t xml:space="preserve"> 12) apresentou o melhor resultado, com o menor erro entre as previsões e os valores reais. Esse modelo repete o valor do mesmo mês do ano anterior e, mesmo sendo simples, conseguiu capturar bem o padrão dos dados. Isso mostra que os investimentos seguem uma sazonalidade </w:t>
      </w:r>
      <w:proofErr w:type="gramStart"/>
      <w:r w:rsidRPr="003611A6">
        <w:rPr>
          <w:rFonts w:ascii="Arial" w:eastAsiaTheme="minorEastAsia" w:hAnsi="Arial" w:cs="Arial"/>
          <w:color w:val="111111"/>
          <w:sz w:val="22"/>
          <w:szCs w:val="22"/>
          <w:lang w:eastAsia="en-US"/>
        </w:rPr>
        <w:t>bem marcada</w:t>
      </w:r>
      <w:proofErr w:type="gramEnd"/>
      <w:r w:rsidRPr="003611A6">
        <w:rPr>
          <w:rFonts w:ascii="Arial" w:eastAsiaTheme="minorEastAsia" w:hAnsi="Arial" w:cs="Arial"/>
          <w:color w:val="111111"/>
          <w:sz w:val="22"/>
          <w:szCs w:val="22"/>
          <w:lang w:eastAsia="en-US"/>
        </w:rPr>
        <w:t xml:space="preserve">, repetindo comportamentos parecidos ao longo dos anos. O modelo </w:t>
      </w:r>
      <w:proofErr w:type="spellStart"/>
      <w:r w:rsidRPr="003611A6">
        <w:rPr>
          <w:rFonts w:ascii="Arial" w:eastAsiaTheme="minorEastAsia" w:hAnsi="Arial" w:cs="Arial"/>
          <w:color w:val="111111"/>
          <w:sz w:val="22"/>
          <w:szCs w:val="22"/>
          <w:lang w:eastAsia="en-US"/>
        </w:rPr>
        <w:t>Naive</w:t>
      </w:r>
      <w:proofErr w:type="spellEnd"/>
      <w:r w:rsidRPr="003611A6">
        <w:rPr>
          <w:rFonts w:ascii="Arial" w:eastAsiaTheme="minorEastAsia" w:hAnsi="Arial" w:cs="Arial"/>
          <w:color w:val="111111"/>
          <w:sz w:val="22"/>
          <w:szCs w:val="22"/>
          <w:lang w:eastAsia="en-US"/>
        </w:rPr>
        <w:t>, que usa o valor do mês anterior como previsão, também teve um desempenho próximo, o que reforça a ideia de que a série tem uma forte dependência temporal — ou seja, um mês tende a se parecer bastante com o anterior.</w:t>
      </w:r>
    </w:p>
    <w:p w14:paraId="0ECAB7EC" w14:textId="77777777" w:rsidR="00A71566" w:rsidRPr="003611A6" w:rsidRDefault="00000000" w:rsidP="003611A6">
      <w:pPr>
        <w:pStyle w:val="NormalWeb"/>
        <w:suppressAutoHyphens w:val="0"/>
        <w:spacing w:before="100" w:after="10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Os modelos Holt-Winters e SARIMA, que são mais sofisticados, tiveram erros um pouco maiores, mas trouxeram uma visão mais estável e de longo prazo da série. Eles foram bons para mostrar tendências gerais, embora acabem suavizando um pouco as variações mais bruscas — especialmente em meses em que os investimentos crescem ou caem rapidamente.</w:t>
      </w:r>
    </w:p>
    <w:p w14:paraId="11FE8911" w14:textId="77777777" w:rsidR="00A71566" w:rsidRPr="003611A6" w:rsidRDefault="00000000" w:rsidP="003611A6">
      <w:pPr>
        <w:pStyle w:val="NormalWeb"/>
        <w:suppressAutoHyphens w:val="0"/>
        <w:spacing w:before="100" w:after="100" w:line="360" w:lineRule="auto"/>
        <w:jc w:val="both"/>
        <w:rPr>
          <w:rFonts w:ascii="Arial" w:hAnsi="Arial" w:cs="Arial"/>
          <w:sz w:val="22"/>
          <w:szCs w:val="22"/>
        </w:rPr>
      </w:pPr>
      <w:r w:rsidRPr="003611A6">
        <w:rPr>
          <w:rFonts w:ascii="Arial" w:eastAsiaTheme="minorEastAsia" w:hAnsi="Arial" w:cs="Arial"/>
          <w:b/>
          <w:color w:val="111111"/>
          <w:sz w:val="22"/>
          <w:szCs w:val="22"/>
          <w:lang w:eastAsia="en-US"/>
        </w:rPr>
        <w:t>7.1 Interpretação dos padrões identificados</w:t>
      </w:r>
    </w:p>
    <w:p w14:paraId="6CDD0AB8" w14:textId="77777777" w:rsidR="00A71566" w:rsidRPr="003611A6" w:rsidRDefault="00000000" w:rsidP="003611A6">
      <w:pPr>
        <w:pStyle w:val="NormalWeb"/>
        <w:suppressAutoHyphens w:val="0"/>
        <w:spacing w:before="100" w:after="10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A análise dos gráficos e previsões mostrou que os investimentos públicos seguem ciclos regulares ao longo do ano, com picos de execução e repasse sempre em períodos parecidos. Isso tem relação direta com o calendário orçamentário do governo, que costuma concentrar liberações de verba no segundo semestre, quando há a necessidade de cumprir metas e fechar o exercício financeiro.</w:t>
      </w:r>
    </w:p>
    <w:p w14:paraId="76F121DD" w14:textId="77777777" w:rsidR="00A71566" w:rsidRPr="003611A6" w:rsidRDefault="00000000" w:rsidP="003611A6">
      <w:pPr>
        <w:pStyle w:val="NormalWeb"/>
        <w:suppressAutoHyphens w:val="0"/>
        <w:spacing w:before="100" w:after="10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Foram observadas também algumas diferenças entre o previsto e o real em meses com alterações inesperadas, como a liberação de grandes convênios ou a paralisação de obras. Esses eventos são difíceis de prever, já que não seguem um padrão histórico fixo. Mesmo assim, os modelos apresentaram um erro percentual médio abaixo de 7%, o que é considerado um bom resultado para séries financeiras desse tipo.</w:t>
      </w:r>
    </w:p>
    <w:p w14:paraId="1BAD0037" w14:textId="77777777" w:rsidR="00A71566" w:rsidRPr="003611A6" w:rsidRDefault="00000000" w:rsidP="003611A6">
      <w:pPr>
        <w:pStyle w:val="NormalWeb"/>
        <w:suppressAutoHyphens w:val="0"/>
        <w:spacing w:before="100" w:after="100" w:line="360" w:lineRule="auto"/>
        <w:jc w:val="both"/>
        <w:rPr>
          <w:rFonts w:ascii="Arial" w:hAnsi="Arial" w:cs="Arial"/>
          <w:sz w:val="22"/>
          <w:szCs w:val="22"/>
        </w:rPr>
      </w:pPr>
      <w:r w:rsidRPr="003611A6">
        <w:rPr>
          <w:rFonts w:ascii="Arial" w:eastAsiaTheme="minorEastAsia" w:hAnsi="Arial" w:cs="Arial"/>
          <w:b/>
          <w:color w:val="111111"/>
          <w:sz w:val="22"/>
          <w:szCs w:val="22"/>
          <w:lang w:eastAsia="en-US"/>
        </w:rPr>
        <w:t>7.2 Aplicações práticas e perspectivas</w:t>
      </w:r>
    </w:p>
    <w:p w14:paraId="56EE0B3B" w14:textId="77777777" w:rsidR="00A71566" w:rsidRPr="003611A6" w:rsidRDefault="00000000" w:rsidP="003611A6">
      <w:pPr>
        <w:pStyle w:val="NormalWeb"/>
        <w:numPr>
          <w:ilvl w:val="0"/>
          <w:numId w:val="7"/>
        </w:numPr>
        <w:suppressAutoHyphens w:val="0"/>
        <w:spacing w:before="100" w:after="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lastRenderedPageBreak/>
        <w:t>Na prática, os resultados mostraram que esses modelos podem ser usados para prever a evolução dos investimentos ao longo do tempo e ajudar na gestão e planejamento público. Por exemplo, com base nas previsões, é possível:</w:t>
      </w:r>
    </w:p>
    <w:p w14:paraId="0531BAB1" w14:textId="77777777" w:rsidR="00A71566" w:rsidRPr="003611A6" w:rsidRDefault="00000000" w:rsidP="003611A6">
      <w:pPr>
        <w:pStyle w:val="NormalWeb"/>
        <w:numPr>
          <w:ilvl w:val="0"/>
          <w:numId w:val="7"/>
        </w:numPr>
        <w:suppressAutoHyphens w:val="0"/>
        <w:spacing w:after="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Identificar períodos de maior ou menor execução orçamentária;</w:t>
      </w:r>
    </w:p>
    <w:p w14:paraId="5FD3CD20" w14:textId="77777777" w:rsidR="00A71566" w:rsidRPr="003611A6" w:rsidRDefault="00000000" w:rsidP="003611A6">
      <w:pPr>
        <w:pStyle w:val="NormalWeb"/>
        <w:numPr>
          <w:ilvl w:val="0"/>
          <w:numId w:val="7"/>
        </w:numPr>
        <w:suppressAutoHyphens w:val="0"/>
        <w:spacing w:after="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Antecipar momentos de alta nos investimentos, facilitando o planejamento de equipes e recursos;</w:t>
      </w:r>
    </w:p>
    <w:p w14:paraId="5B7120A3" w14:textId="77777777" w:rsidR="00A71566" w:rsidRPr="003611A6" w:rsidRDefault="00000000" w:rsidP="003611A6">
      <w:pPr>
        <w:pStyle w:val="NormalWeb"/>
        <w:numPr>
          <w:ilvl w:val="0"/>
          <w:numId w:val="7"/>
        </w:numPr>
        <w:suppressAutoHyphens w:val="0"/>
        <w:spacing w:after="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Detectar comportamentos fora do padrão, o que pode indicar atrasos, cortes ou liberações extraordinárias.</w:t>
      </w:r>
    </w:p>
    <w:p w14:paraId="1DFDE927" w14:textId="77777777" w:rsidR="00A71566" w:rsidRPr="003611A6" w:rsidRDefault="00000000" w:rsidP="003611A6">
      <w:pPr>
        <w:pStyle w:val="NormalWeb"/>
        <w:numPr>
          <w:ilvl w:val="0"/>
          <w:numId w:val="7"/>
        </w:numPr>
        <w:suppressAutoHyphens w:val="0"/>
        <w:spacing w:after="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Essas informações são úteis não apenas para os gestores, mas também para a sociedade, pois tornam o acompanhamento dos gastos públicos mais claro e acessível.</w:t>
      </w:r>
    </w:p>
    <w:p w14:paraId="30E65223" w14:textId="77777777" w:rsidR="00A71566" w:rsidRPr="003611A6" w:rsidRDefault="00000000" w:rsidP="003611A6">
      <w:pPr>
        <w:pStyle w:val="NormalWeb"/>
        <w:numPr>
          <w:ilvl w:val="0"/>
          <w:numId w:val="7"/>
        </w:numPr>
        <w:suppressAutoHyphens w:val="0"/>
        <w:spacing w:after="10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 xml:space="preserve">Pensando em melhorias futuras, seria interessante incluir outras variáveis que influenciam os investimentos — como indicadores econômicos ou mudanças em programas governamentais — para aumentar a precisão das previsões. Outra possibilidade é combinar esses modelos estatísticos com técnicas de aprendizado de máquina, como </w:t>
      </w:r>
      <w:proofErr w:type="spellStart"/>
      <w:r w:rsidRPr="003611A6">
        <w:rPr>
          <w:rFonts w:ascii="Arial" w:eastAsiaTheme="minorEastAsia" w:hAnsi="Arial" w:cs="Arial"/>
          <w:color w:val="111111"/>
          <w:sz w:val="22"/>
          <w:szCs w:val="22"/>
          <w:lang w:eastAsia="en-US"/>
        </w:rPr>
        <w:t>Prophet</w:t>
      </w:r>
      <w:proofErr w:type="spellEnd"/>
      <w:r w:rsidRPr="003611A6">
        <w:rPr>
          <w:rFonts w:ascii="Arial" w:eastAsiaTheme="minorEastAsia" w:hAnsi="Arial" w:cs="Arial"/>
          <w:color w:val="111111"/>
          <w:sz w:val="22"/>
          <w:szCs w:val="22"/>
          <w:lang w:eastAsia="en-US"/>
        </w:rPr>
        <w:t xml:space="preserve"> ou LSTM, que conseguem lidar melhor com padrões não lineares e comportamentos mais complexos.</w:t>
      </w:r>
    </w:p>
    <w:p w14:paraId="0EE9E1CF" w14:textId="77777777" w:rsidR="00A71566" w:rsidRPr="003611A6" w:rsidRDefault="00000000" w:rsidP="003611A6">
      <w:pPr>
        <w:pStyle w:val="Ttulo3"/>
        <w:numPr>
          <w:ilvl w:val="0"/>
          <w:numId w:val="0"/>
        </w:numPr>
        <w:spacing w:line="360" w:lineRule="auto"/>
        <w:jc w:val="both"/>
        <w:rPr>
          <w:rFonts w:ascii="Arial" w:hAnsi="Arial" w:cs="Arial"/>
          <w:sz w:val="22"/>
          <w:szCs w:val="22"/>
        </w:rPr>
      </w:pPr>
      <w:r w:rsidRPr="003611A6">
        <w:rPr>
          <w:rFonts w:ascii="Arial" w:eastAsiaTheme="minorEastAsia" w:hAnsi="Arial" w:cs="Arial"/>
          <w:b/>
          <w:color w:val="111111"/>
          <w:sz w:val="22"/>
          <w:szCs w:val="22"/>
        </w:rPr>
        <w:t>7.3 Síntese da análise</w:t>
      </w:r>
    </w:p>
    <w:p w14:paraId="3D88748D" w14:textId="77777777" w:rsidR="00A71566" w:rsidRPr="003611A6" w:rsidRDefault="00000000" w:rsidP="003611A6">
      <w:pPr>
        <w:pStyle w:val="NormalWeb"/>
        <w:spacing w:before="280" w:after="28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Em resumo, os resultados mostraram que:</w:t>
      </w:r>
    </w:p>
    <w:p w14:paraId="36EC2176" w14:textId="77777777" w:rsidR="00A71566" w:rsidRPr="003611A6" w:rsidRDefault="00000000" w:rsidP="003611A6">
      <w:pPr>
        <w:pStyle w:val="NormalWeb"/>
        <w:numPr>
          <w:ilvl w:val="0"/>
          <w:numId w:val="6"/>
        </w:numPr>
        <w:suppressAutoHyphens w:val="0"/>
        <w:spacing w:before="100" w:after="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Os investimentos públicos têm um padrão previsível e sazonal, o que facilita o uso de modelos simples;</w:t>
      </w:r>
    </w:p>
    <w:p w14:paraId="1BCC7659" w14:textId="77777777" w:rsidR="00A71566" w:rsidRPr="003611A6" w:rsidRDefault="00000000" w:rsidP="003611A6">
      <w:pPr>
        <w:pStyle w:val="NormalWeb"/>
        <w:numPr>
          <w:ilvl w:val="0"/>
          <w:numId w:val="6"/>
        </w:numPr>
        <w:suppressAutoHyphens w:val="0"/>
        <w:spacing w:after="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Modelos básicos, como o Sazonal, já entregam bons resultados, com erros baixos e fácil interpretação;</w:t>
      </w:r>
    </w:p>
    <w:p w14:paraId="0DE4FCF1" w14:textId="77777777" w:rsidR="00A71566" w:rsidRPr="003611A6" w:rsidRDefault="00000000" w:rsidP="003611A6">
      <w:pPr>
        <w:pStyle w:val="NormalWeb"/>
        <w:numPr>
          <w:ilvl w:val="0"/>
          <w:numId w:val="6"/>
        </w:numPr>
        <w:suppressAutoHyphens w:val="0"/>
        <w:spacing w:after="10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A análise temporal é uma ferramenta eficiente para acompanhar e planejar políticas públicas, trazendo mais transparência e previsibilidade à gestão dos recursos.</w:t>
      </w:r>
    </w:p>
    <w:p w14:paraId="24C85D67" w14:textId="77777777" w:rsidR="00A71566" w:rsidRPr="003611A6" w:rsidRDefault="00000000" w:rsidP="003611A6">
      <w:pPr>
        <w:pStyle w:val="NormalWeb"/>
        <w:spacing w:before="280" w:after="280" w:line="360" w:lineRule="auto"/>
        <w:jc w:val="both"/>
        <w:rPr>
          <w:rFonts w:ascii="Arial" w:hAnsi="Arial" w:cs="Arial"/>
          <w:sz w:val="22"/>
          <w:szCs w:val="22"/>
        </w:rPr>
      </w:pPr>
      <w:r w:rsidRPr="003611A6">
        <w:rPr>
          <w:rFonts w:ascii="Arial" w:eastAsiaTheme="minorEastAsia" w:hAnsi="Arial" w:cs="Arial"/>
          <w:color w:val="111111"/>
          <w:sz w:val="22"/>
          <w:szCs w:val="22"/>
          <w:lang w:eastAsia="en-US"/>
        </w:rPr>
        <w:t>Essas conclusões reforçam que, mesmo com técnicas simples e dados públicos, é possível gerar insights valiosos sobre a dinâmica dos investimentos e apoiar decisões mais estratégicas e baseadas em dados.</w:t>
      </w:r>
    </w:p>
    <w:p w14:paraId="35B40692" w14:textId="77777777" w:rsidR="00A71566" w:rsidRDefault="00A71566" w:rsidP="003611A6">
      <w:pPr>
        <w:pStyle w:val="Corpodetexto"/>
        <w:spacing w:after="0" w:line="360" w:lineRule="auto"/>
        <w:contextualSpacing/>
        <w:jc w:val="both"/>
        <w:rPr>
          <w:rFonts w:ascii="Arial" w:hAnsi="Arial" w:cs="Arial"/>
          <w:b/>
          <w:bCs/>
          <w:color w:val="111111"/>
        </w:rPr>
      </w:pPr>
    </w:p>
    <w:p w14:paraId="516BE7DA" w14:textId="77777777" w:rsidR="00235D41" w:rsidRPr="003611A6" w:rsidRDefault="00235D41" w:rsidP="003611A6">
      <w:pPr>
        <w:pStyle w:val="Corpodetexto"/>
        <w:spacing w:after="0" w:line="360" w:lineRule="auto"/>
        <w:contextualSpacing/>
        <w:jc w:val="both"/>
        <w:rPr>
          <w:rFonts w:ascii="Arial" w:hAnsi="Arial" w:cs="Arial"/>
          <w:b/>
          <w:bCs/>
          <w:color w:val="111111"/>
        </w:rPr>
      </w:pPr>
    </w:p>
    <w:p w14:paraId="566CD3D2"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280715C1"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32DA4742"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7AEC8704"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lastRenderedPageBreak/>
        <w:t>Conclusão</w:t>
      </w:r>
    </w:p>
    <w:p w14:paraId="5F048EB3"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color w:val="111111"/>
        </w:rPr>
        <w:t>Este projeto apresentou uma análise prática sobre a previsão e o comportamento dos investimentos públicos urbanos realizados pelo Ministério das Cidades, com foco em melhorar a transparência e a eficiência da gestão dos recursos. A partir de dados oficiais consolidados de várias fontes governamentais, foi possível construir um processo completo de análise — desde a coleta e o tratamento dos dados até a modelagem e avaliação dos resultados.</w:t>
      </w:r>
    </w:p>
    <w:p w14:paraId="4CE358BF"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color w:val="111111"/>
        </w:rPr>
        <w:t>Os testes mostraram que a série de investimentos segue um padrão sazonal claro, ligado aos ciclos orçamentários típicos das políticas públicas federais. Entre os modelos aplicados, o Sazonal (</w:t>
      </w:r>
      <w:proofErr w:type="spellStart"/>
      <w:r w:rsidRPr="003611A6">
        <w:rPr>
          <w:rFonts w:ascii="Arial" w:hAnsi="Arial" w:cs="Arial"/>
          <w:color w:val="111111"/>
        </w:rPr>
        <w:t>lag</w:t>
      </w:r>
      <w:proofErr w:type="spellEnd"/>
      <w:r w:rsidRPr="003611A6">
        <w:rPr>
          <w:rFonts w:ascii="Arial" w:hAnsi="Arial" w:cs="Arial"/>
          <w:color w:val="111111"/>
        </w:rPr>
        <w:t xml:space="preserve"> 12) teve o melhor desempenho, com menor erro e boa estabilidade. Já os modelos Holt-Winters e SARIMA também tiveram resultados consistentes, mostrando boa capacidade de captar tendências e variações de longo prazo.</w:t>
      </w:r>
    </w:p>
    <w:p w14:paraId="48D06A8F"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color w:val="111111"/>
        </w:rPr>
        <w:t>Mais do que comparar técnicas, o projeto reforçou como o uso de dados e estatística pode apoiar a gestão pública, tornando decisões mais embasadas e transparentes. Aplicar modelos de previsão a esse tipo de informação é uma forma eficiente de acompanhar o andamento de políticas públicas, prever gargalos e otimizar o uso dos recursos.</w:t>
      </w:r>
    </w:p>
    <w:p w14:paraId="7E94BB40"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bCs/>
          <w:color w:val="111111"/>
        </w:rPr>
        <w:t xml:space="preserve">Já para continuação, uma ideia seria explorar outras áreas de investimento </w:t>
      </w:r>
      <w:proofErr w:type="gramStart"/>
      <w:r w:rsidRPr="003611A6">
        <w:rPr>
          <w:rFonts w:ascii="Arial" w:hAnsi="Arial" w:cs="Arial"/>
          <w:bCs/>
          <w:color w:val="111111"/>
        </w:rPr>
        <w:t>público(</w:t>
      </w:r>
      <w:proofErr w:type="gramEnd"/>
      <w:r w:rsidRPr="003611A6">
        <w:rPr>
          <w:rFonts w:ascii="Arial" w:hAnsi="Arial" w:cs="Arial"/>
          <w:bCs/>
          <w:color w:val="111111"/>
        </w:rPr>
        <w:t xml:space="preserve">saúde ou educação, por exemplo) e utilização de modelos que usam em conjunto métodos estatísticos e Machine Learning. </w:t>
      </w:r>
    </w:p>
    <w:p w14:paraId="2AE07525"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7FFADFAF" w14:textId="77777777" w:rsidR="00A71566" w:rsidRPr="003611A6" w:rsidRDefault="00A71566" w:rsidP="003611A6">
      <w:pPr>
        <w:pStyle w:val="Corpodetexto"/>
        <w:spacing w:after="0" w:line="360" w:lineRule="auto"/>
        <w:contextualSpacing/>
        <w:jc w:val="both"/>
        <w:rPr>
          <w:rFonts w:ascii="Arial" w:hAnsi="Arial" w:cs="Arial"/>
          <w:b/>
          <w:bCs/>
          <w:color w:val="111111"/>
        </w:rPr>
      </w:pPr>
    </w:p>
    <w:p w14:paraId="56643535" w14:textId="77777777" w:rsidR="00A71566" w:rsidRPr="003611A6" w:rsidRDefault="00000000" w:rsidP="003611A6">
      <w:pPr>
        <w:pStyle w:val="Corpodetexto"/>
        <w:spacing w:after="0" w:line="360" w:lineRule="auto"/>
        <w:contextualSpacing/>
        <w:jc w:val="both"/>
        <w:rPr>
          <w:rFonts w:ascii="Arial" w:hAnsi="Arial" w:cs="Arial"/>
          <w:b/>
          <w:bCs/>
          <w:color w:val="111111"/>
        </w:rPr>
      </w:pPr>
      <w:r w:rsidRPr="003611A6">
        <w:rPr>
          <w:rFonts w:ascii="Arial" w:hAnsi="Arial" w:cs="Arial"/>
        </w:rPr>
        <w:br w:type="page"/>
      </w:r>
    </w:p>
    <w:p w14:paraId="5D5A1D2D" w14:textId="77777777" w:rsidR="00A71566" w:rsidRPr="003611A6" w:rsidRDefault="00000000" w:rsidP="003611A6">
      <w:pPr>
        <w:pStyle w:val="Corpodetexto"/>
        <w:numPr>
          <w:ilvl w:val="0"/>
          <w:numId w:val="2"/>
        </w:numPr>
        <w:spacing w:after="0" w:line="360" w:lineRule="auto"/>
        <w:contextualSpacing/>
        <w:jc w:val="both"/>
        <w:rPr>
          <w:rFonts w:ascii="Arial" w:hAnsi="Arial" w:cs="Arial"/>
        </w:rPr>
      </w:pPr>
      <w:r w:rsidRPr="003611A6">
        <w:rPr>
          <w:rFonts w:ascii="Arial" w:hAnsi="Arial" w:cs="Arial"/>
          <w:b/>
          <w:bCs/>
          <w:color w:val="111111"/>
        </w:rPr>
        <w:lastRenderedPageBreak/>
        <w:t xml:space="preserve"> Referências bibliográficas e sites consultados</w:t>
      </w:r>
    </w:p>
    <w:p w14:paraId="651E28E7" w14:textId="77777777" w:rsidR="00A71566" w:rsidRPr="003611A6" w:rsidRDefault="00A71566" w:rsidP="003611A6">
      <w:pPr>
        <w:pStyle w:val="Corpodetexto"/>
        <w:spacing w:after="0" w:line="360" w:lineRule="auto"/>
        <w:contextualSpacing/>
        <w:jc w:val="both"/>
        <w:rPr>
          <w:rFonts w:ascii="Arial" w:hAnsi="Arial" w:cs="Arial"/>
          <w:b/>
          <w:bCs/>
        </w:rPr>
      </w:pPr>
    </w:p>
    <w:p w14:paraId="511412CA" w14:textId="77777777" w:rsidR="00A71566" w:rsidRPr="003611A6" w:rsidRDefault="00A71566" w:rsidP="003611A6">
      <w:pPr>
        <w:pStyle w:val="Corpodetexto"/>
        <w:spacing w:after="0" w:line="360" w:lineRule="auto"/>
        <w:contextualSpacing/>
        <w:jc w:val="both"/>
        <w:rPr>
          <w:rFonts w:ascii="Arial" w:hAnsi="Arial" w:cs="Arial"/>
        </w:rPr>
      </w:pPr>
      <w:hyperlink r:id="rId19">
        <w:r w:rsidRPr="003611A6">
          <w:rPr>
            <w:rStyle w:val="Hyperlink"/>
            <w:rFonts w:ascii="Arial" w:hAnsi="Arial" w:cs="Arial"/>
            <w:b/>
            <w:bCs/>
          </w:rPr>
          <w:t>https://dados.gov.br/dados/conjuntos-dados/base-de-dados-da-carteira-de-investimento-do-ministerio-das-cidades</w:t>
        </w:r>
      </w:hyperlink>
      <w:r w:rsidRPr="003611A6">
        <w:rPr>
          <w:rFonts w:ascii="Arial" w:hAnsi="Arial" w:cs="Arial"/>
          <w:b/>
          <w:bCs/>
        </w:rPr>
        <w:t xml:space="preserve"> – Acesso em 28/08/2025</w:t>
      </w:r>
    </w:p>
    <w:p w14:paraId="0A21A64E" w14:textId="77777777" w:rsidR="00A71566" w:rsidRPr="003611A6" w:rsidRDefault="00A71566" w:rsidP="003611A6">
      <w:pPr>
        <w:pStyle w:val="Corpodetexto"/>
        <w:spacing w:after="0" w:line="360" w:lineRule="auto"/>
        <w:contextualSpacing/>
        <w:jc w:val="both"/>
        <w:rPr>
          <w:rFonts w:ascii="Arial" w:hAnsi="Arial" w:cs="Arial"/>
          <w:b/>
          <w:bCs/>
        </w:rPr>
      </w:pPr>
    </w:p>
    <w:p w14:paraId="47F5A66C"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b/>
          <w:bCs/>
        </w:rPr>
        <w:t xml:space="preserve">COSTA, R. R. </w:t>
      </w:r>
      <w:r w:rsidRPr="003611A6">
        <w:rPr>
          <w:rFonts w:ascii="Arial" w:hAnsi="Arial" w:cs="Arial"/>
          <w:b/>
          <w:bCs/>
          <w:i/>
          <w:iCs/>
        </w:rPr>
        <w:t>Análise de séries temporais para previsão de despesas públicas</w:t>
      </w:r>
      <w:r w:rsidRPr="003611A6">
        <w:rPr>
          <w:rFonts w:ascii="Arial" w:hAnsi="Arial" w:cs="Arial"/>
          <w:b/>
          <w:bCs/>
        </w:rPr>
        <w:t xml:space="preserve">. Universidade XYZ, 2021. Disponível em: </w:t>
      </w:r>
      <w:hyperlink r:id="rId20">
        <w:r w:rsidR="00A71566" w:rsidRPr="003611A6">
          <w:rPr>
            <w:rStyle w:val="Hyperlink"/>
            <w:rFonts w:ascii="Arial" w:hAnsi="Arial" w:cs="Arial"/>
            <w:b/>
            <w:bCs/>
          </w:rPr>
          <w:t>https://imef.furg.br/images/documentos/matematica-aplicada/monografias/2021-Rosana_Ribeiro_da_Costa.pdf</w:t>
        </w:r>
      </w:hyperlink>
      <w:r w:rsidRPr="003611A6">
        <w:rPr>
          <w:rFonts w:ascii="Arial" w:hAnsi="Arial" w:cs="Arial"/>
          <w:b/>
          <w:bCs/>
        </w:rPr>
        <w:t>. Acesso em: 25 set. 2025.</w:t>
      </w:r>
    </w:p>
    <w:p w14:paraId="35FE5DE5" w14:textId="77777777" w:rsidR="00A71566" w:rsidRPr="003611A6" w:rsidRDefault="00A71566" w:rsidP="003611A6">
      <w:pPr>
        <w:pStyle w:val="Corpodetexto"/>
        <w:spacing w:after="0" w:line="360" w:lineRule="auto"/>
        <w:contextualSpacing/>
        <w:jc w:val="both"/>
        <w:rPr>
          <w:rFonts w:ascii="Arial" w:hAnsi="Arial" w:cs="Arial"/>
          <w:b/>
          <w:bCs/>
        </w:rPr>
      </w:pPr>
    </w:p>
    <w:p w14:paraId="7A64D9CD"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b/>
          <w:bCs/>
        </w:rPr>
        <w:t xml:space="preserve">ORAIR, R. O. </w:t>
      </w:r>
      <w:r w:rsidRPr="003611A6">
        <w:rPr>
          <w:rFonts w:ascii="Arial" w:hAnsi="Arial" w:cs="Arial"/>
          <w:b/>
          <w:bCs/>
          <w:i/>
          <w:iCs/>
        </w:rPr>
        <w:t>Investimento público no Brasil e suas relações com o ciclo econômico</w:t>
      </w:r>
      <w:r w:rsidRPr="003611A6">
        <w:rPr>
          <w:rFonts w:ascii="Arial" w:hAnsi="Arial" w:cs="Arial"/>
          <w:b/>
          <w:bCs/>
        </w:rPr>
        <w:t xml:space="preserve">. Revista ABC, 2018. Disponível em: </w:t>
      </w:r>
      <w:hyperlink r:id="rId21">
        <w:r w:rsidR="00A71566" w:rsidRPr="003611A6">
          <w:rPr>
            <w:rStyle w:val="Hyperlink"/>
            <w:rFonts w:ascii="Arial" w:hAnsi="Arial" w:cs="Arial"/>
            <w:b/>
            <w:bCs/>
          </w:rPr>
          <w:t>https://repositorio.ipea.gov.br/bitstreams/38d2ac47-9091-4fbb-aeb6-4b5ef0a24d07/download</w:t>
        </w:r>
      </w:hyperlink>
      <w:r w:rsidRPr="003611A6">
        <w:rPr>
          <w:rFonts w:ascii="Arial" w:hAnsi="Arial" w:cs="Arial"/>
          <w:b/>
          <w:bCs/>
        </w:rPr>
        <w:t>. Acesso em: 25 set. 2025.</w:t>
      </w:r>
    </w:p>
    <w:p w14:paraId="0A0495D9" w14:textId="77777777" w:rsidR="00A71566" w:rsidRPr="003611A6" w:rsidRDefault="00A71566" w:rsidP="003611A6">
      <w:pPr>
        <w:pStyle w:val="Corpodetexto"/>
        <w:spacing w:after="0" w:line="360" w:lineRule="auto"/>
        <w:contextualSpacing/>
        <w:jc w:val="both"/>
        <w:rPr>
          <w:rFonts w:ascii="Arial" w:hAnsi="Arial" w:cs="Arial"/>
          <w:b/>
          <w:bCs/>
        </w:rPr>
      </w:pPr>
    </w:p>
    <w:p w14:paraId="6CF5496C"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b/>
          <w:bCs/>
        </w:rPr>
        <w:t xml:space="preserve">VIANA, L. Z. B. </w:t>
      </w:r>
      <w:r w:rsidRPr="003611A6">
        <w:rPr>
          <w:rFonts w:ascii="Arial" w:hAnsi="Arial" w:cs="Arial"/>
          <w:b/>
          <w:bCs/>
          <w:i/>
          <w:iCs/>
        </w:rPr>
        <w:t>Aplicação de técnicas de séries temporais em dados governamentais</w:t>
      </w:r>
      <w:r w:rsidRPr="003611A6">
        <w:rPr>
          <w:rFonts w:ascii="Arial" w:hAnsi="Arial" w:cs="Arial"/>
          <w:b/>
          <w:bCs/>
        </w:rPr>
        <w:t xml:space="preserve">. Universidade Federal do Ceará, 2025. Disponível em: </w:t>
      </w:r>
      <w:hyperlink r:id="rId22">
        <w:r w:rsidR="00A71566" w:rsidRPr="003611A6">
          <w:rPr>
            <w:rStyle w:val="Hyperlink"/>
            <w:rFonts w:ascii="Arial" w:hAnsi="Arial" w:cs="Arial"/>
            <w:b/>
            <w:bCs/>
          </w:rPr>
          <w:t>https://www.repositorio.ufc.br/bitstream/riufc/80020/1/2025_tcc_lzbviana.pdf</w:t>
        </w:r>
      </w:hyperlink>
      <w:r w:rsidRPr="003611A6">
        <w:rPr>
          <w:rFonts w:ascii="Arial" w:hAnsi="Arial" w:cs="Arial"/>
          <w:b/>
          <w:bCs/>
        </w:rPr>
        <w:t>. Acesso em: 25 set. 2025.</w:t>
      </w:r>
    </w:p>
    <w:p w14:paraId="190E98CA" w14:textId="77777777" w:rsidR="00A71566" w:rsidRPr="003611A6" w:rsidRDefault="00A71566" w:rsidP="003611A6">
      <w:pPr>
        <w:pStyle w:val="Corpodetexto"/>
        <w:spacing w:after="0" w:line="360" w:lineRule="auto"/>
        <w:contextualSpacing/>
        <w:jc w:val="both"/>
        <w:rPr>
          <w:rFonts w:ascii="Arial" w:hAnsi="Arial" w:cs="Arial"/>
          <w:b/>
          <w:bCs/>
        </w:rPr>
      </w:pPr>
    </w:p>
    <w:p w14:paraId="60084E3B" w14:textId="77777777" w:rsidR="00A71566" w:rsidRPr="003611A6" w:rsidRDefault="00000000" w:rsidP="003611A6">
      <w:pPr>
        <w:pStyle w:val="Corpodetexto"/>
        <w:spacing w:after="0" w:line="360" w:lineRule="auto"/>
        <w:contextualSpacing/>
        <w:jc w:val="both"/>
        <w:rPr>
          <w:rFonts w:ascii="Arial" w:hAnsi="Arial" w:cs="Arial"/>
        </w:rPr>
      </w:pPr>
      <w:r w:rsidRPr="003611A6">
        <w:rPr>
          <w:rFonts w:ascii="Arial" w:hAnsi="Arial" w:cs="Arial"/>
          <w:b/>
          <w:bCs/>
        </w:rPr>
        <w:t xml:space="preserve">BRASIL. Ministério das Cidades. </w:t>
      </w:r>
      <w:r w:rsidRPr="003611A6">
        <w:rPr>
          <w:rFonts w:ascii="Arial" w:hAnsi="Arial" w:cs="Arial"/>
          <w:b/>
          <w:bCs/>
          <w:i/>
          <w:iCs/>
        </w:rPr>
        <w:t>Base de dados da carteira de investimento</w:t>
      </w:r>
      <w:r w:rsidRPr="003611A6">
        <w:rPr>
          <w:rFonts w:ascii="Arial" w:hAnsi="Arial" w:cs="Arial"/>
          <w:b/>
          <w:bCs/>
        </w:rPr>
        <w:t xml:space="preserve">. Dados.gov.br, 2025. Disponível em: </w:t>
      </w:r>
      <w:hyperlink r:id="rId23">
        <w:r w:rsidR="00A71566" w:rsidRPr="003611A6">
          <w:rPr>
            <w:rStyle w:val="Hyperlink"/>
            <w:rFonts w:ascii="Arial" w:hAnsi="Arial" w:cs="Arial"/>
            <w:b/>
            <w:bCs/>
          </w:rPr>
          <w:t>https://dados.gov.br/</w:t>
        </w:r>
      </w:hyperlink>
      <w:r w:rsidRPr="003611A6">
        <w:rPr>
          <w:rFonts w:ascii="Arial" w:hAnsi="Arial" w:cs="Arial"/>
          <w:b/>
          <w:bCs/>
        </w:rPr>
        <w:t>. Acesso em: 25 set. 2025.</w:t>
      </w:r>
    </w:p>
    <w:p w14:paraId="39AE06E6" w14:textId="77777777" w:rsidR="00A71566" w:rsidRDefault="00A71566">
      <w:pPr>
        <w:pStyle w:val="Corpodetexto"/>
        <w:spacing w:line="360" w:lineRule="auto"/>
        <w:contextualSpacing/>
        <w:jc w:val="both"/>
        <w:rPr>
          <w:b/>
          <w:bCs/>
        </w:rPr>
      </w:pPr>
    </w:p>
    <w:sectPr w:rsidR="00A71566">
      <w:footerReference w:type="even" r:id="rId24"/>
      <w:footerReference w:type="default" r:id="rId25"/>
      <w:footerReference w:type="first" r:id="rId26"/>
      <w:pgSz w:w="11906" w:h="16838"/>
      <w:pgMar w:top="1701" w:right="1134" w:bottom="1134" w:left="1701" w:header="0" w:footer="709" w:gutter="0"/>
      <w:cols w:space="720"/>
      <w:formProt w:val="0"/>
      <w:docGrid w:linePitch="360" w:charSpace="286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9805A" w14:textId="77777777" w:rsidR="00F63EA7" w:rsidRDefault="00F63EA7">
      <w:pPr>
        <w:spacing w:after="0" w:line="240" w:lineRule="auto"/>
      </w:pPr>
      <w:r>
        <w:separator/>
      </w:r>
    </w:p>
  </w:endnote>
  <w:endnote w:type="continuationSeparator" w:id="0">
    <w:p w14:paraId="2FCC4D5B" w14:textId="77777777" w:rsidR="00F63EA7" w:rsidRDefault="00F63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0"/>
    <w:family w:val="roman"/>
    <w:pitch w:val="variable"/>
  </w:font>
  <w:font w:name="Liberation Mono">
    <w:altName w:val="Courier New"/>
    <w:charset w:val="00"/>
    <w:family w:val="roman"/>
    <w:pitch w:val="variable"/>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21A3" w14:textId="77777777" w:rsidR="00A71566" w:rsidRDefault="00A7156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186142"/>
      <w:docPartObj>
        <w:docPartGallery w:val="Page Numbers (Bottom of Page)"/>
        <w:docPartUnique/>
      </w:docPartObj>
    </w:sdtPr>
    <w:sdtContent>
      <w:p w14:paraId="1787D06C" w14:textId="77777777" w:rsidR="00A71566" w:rsidRDefault="00A71566">
        <w:pPr>
          <w:pStyle w:val="Rodap"/>
          <w:jc w:val="right"/>
          <w:rPr>
            <w:rFonts w:ascii="Arial" w:hAnsi="Arial" w:cs="Arial"/>
            <w:sz w:val="20"/>
            <w:szCs w:val="20"/>
          </w:rPr>
        </w:pPr>
      </w:p>
      <w:p w14:paraId="50537BDA" w14:textId="77777777" w:rsidR="00A71566" w:rsidRDefault="00000000">
        <w:pPr>
          <w:pStyle w:val="Rodap"/>
          <w:jc w:val="right"/>
        </w:pPr>
        <w:r>
          <w:fldChar w:fldCharType="begin"/>
        </w:r>
        <w:r>
          <w:instrText xml:space="preserve"> PAGE </w:instrText>
        </w:r>
        <w:r>
          <w:fldChar w:fldCharType="separate"/>
        </w:r>
        <w:r>
          <w:t>18</w:t>
        </w:r>
        <w:r>
          <w:fldChar w:fldCharType="end"/>
        </w:r>
      </w:p>
    </w:sdtContent>
  </w:sdt>
  <w:p w14:paraId="2DC33203" w14:textId="77777777" w:rsidR="00A71566" w:rsidRDefault="00A7156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608268"/>
      <w:docPartObj>
        <w:docPartGallery w:val="Page Numbers (Bottom of Page)"/>
        <w:docPartUnique/>
      </w:docPartObj>
    </w:sdtPr>
    <w:sdtContent>
      <w:p w14:paraId="3FCCE1E5" w14:textId="77777777" w:rsidR="00A71566" w:rsidRDefault="00A71566">
        <w:pPr>
          <w:pStyle w:val="Rodap"/>
          <w:jc w:val="right"/>
          <w:rPr>
            <w:rFonts w:ascii="Arial" w:hAnsi="Arial" w:cs="Arial"/>
            <w:sz w:val="20"/>
            <w:szCs w:val="20"/>
          </w:rPr>
        </w:pPr>
      </w:p>
      <w:p w14:paraId="3202D24D" w14:textId="77777777" w:rsidR="00A71566" w:rsidRDefault="00000000">
        <w:pPr>
          <w:pStyle w:val="Rodap"/>
          <w:jc w:val="right"/>
        </w:pPr>
        <w:r>
          <w:fldChar w:fldCharType="begin"/>
        </w:r>
        <w:r>
          <w:instrText xml:space="preserve"> PAGE </w:instrText>
        </w:r>
        <w:r>
          <w:fldChar w:fldCharType="separate"/>
        </w:r>
        <w:r>
          <w:t>18</w:t>
        </w:r>
        <w:r>
          <w:fldChar w:fldCharType="end"/>
        </w:r>
      </w:p>
    </w:sdtContent>
  </w:sdt>
  <w:p w14:paraId="314AB215" w14:textId="77777777" w:rsidR="00A71566" w:rsidRDefault="00A7156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E8C2B" w14:textId="77777777" w:rsidR="00F63EA7" w:rsidRDefault="00F63EA7">
      <w:pPr>
        <w:spacing w:after="0" w:line="240" w:lineRule="auto"/>
      </w:pPr>
      <w:r>
        <w:separator/>
      </w:r>
    </w:p>
  </w:footnote>
  <w:footnote w:type="continuationSeparator" w:id="0">
    <w:p w14:paraId="35FB4D47" w14:textId="77777777" w:rsidR="00F63EA7" w:rsidRDefault="00F63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987"/>
    <w:multiLevelType w:val="multilevel"/>
    <w:tmpl w:val="CCF204A2"/>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6A52F93"/>
    <w:multiLevelType w:val="multilevel"/>
    <w:tmpl w:val="CC3A45BC"/>
    <w:lvl w:ilvl="0">
      <w:start w:val="1"/>
      <w:numFmt w:val="bullet"/>
      <w:suff w:val="space"/>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AFB2A2A"/>
    <w:multiLevelType w:val="multilevel"/>
    <w:tmpl w:val="B0A42C00"/>
    <w:lvl w:ilvl="0">
      <w:start w:val="1"/>
      <w:numFmt w:val="decimal"/>
      <w:lvlText w:val="%1"/>
      <w:lvlJc w:val="left"/>
      <w:pPr>
        <w:tabs>
          <w:tab w:val="num" w:pos="0"/>
        </w:tabs>
        <w:ind w:left="360" w:hanging="360"/>
      </w:pPr>
      <w:rPr>
        <w:rFonts w:ascii="Arial" w:eastAsia="Times New Roman" w:hAnsi="Arial" w:cs="Arial"/>
        <w:sz w:val="24"/>
      </w:rPr>
    </w:lvl>
    <w:lvl w:ilvl="1">
      <w:start w:val="4"/>
      <w:numFmt w:val="decimal"/>
      <w:lvlText w:val="%1.%2"/>
      <w:lvlJc w:val="left"/>
      <w:pPr>
        <w:tabs>
          <w:tab w:val="num" w:pos="0"/>
        </w:tabs>
        <w:ind w:left="360" w:hanging="360"/>
      </w:pPr>
      <w:rPr>
        <w:rFonts w:ascii="Arial" w:eastAsia="Times New Roman" w:hAnsi="Arial" w:cs="Arial"/>
        <w:sz w:val="24"/>
      </w:rPr>
    </w:lvl>
    <w:lvl w:ilvl="2">
      <w:start w:val="1"/>
      <w:numFmt w:val="decimal"/>
      <w:lvlText w:val="%1.%2.%3"/>
      <w:lvlJc w:val="left"/>
      <w:pPr>
        <w:tabs>
          <w:tab w:val="num" w:pos="0"/>
        </w:tabs>
        <w:ind w:left="720" w:hanging="720"/>
      </w:pPr>
      <w:rPr>
        <w:rFonts w:ascii="Arial" w:eastAsia="Times New Roman" w:hAnsi="Arial" w:cs="Arial"/>
        <w:sz w:val="24"/>
      </w:rPr>
    </w:lvl>
    <w:lvl w:ilvl="3">
      <w:start w:val="1"/>
      <w:numFmt w:val="decimal"/>
      <w:lvlText w:val="%1.%2.%3.%4"/>
      <w:lvlJc w:val="left"/>
      <w:pPr>
        <w:tabs>
          <w:tab w:val="num" w:pos="0"/>
        </w:tabs>
        <w:ind w:left="720" w:hanging="720"/>
      </w:pPr>
      <w:rPr>
        <w:rFonts w:ascii="Arial" w:eastAsia="Times New Roman" w:hAnsi="Arial" w:cs="Arial"/>
        <w:sz w:val="24"/>
      </w:rPr>
    </w:lvl>
    <w:lvl w:ilvl="4">
      <w:start w:val="1"/>
      <w:numFmt w:val="decimal"/>
      <w:lvlText w:val="%1.%2.%3.%4.%5"/>
      <w:lvlJc w:val="left"/>
      <w:pPr>
        <w:tabs>
          <w:tab w:val="num" w:pos="0"/>
        </w:tabs>
        <w:ind w:left="1080" w:hanging="1080"/>
      </w:pPr>
      <w:rPr>
        <w:rFonts w:ascii="Arial" w:eastAsia="Times New Roman" w:hAnsi="Arial" w:cs="Arial"/>
        <w:sz w:val="24"/>
      </w:rPr>
    </w:lvl>
    <w:lvl w:ilvl="5">
      <w:start w:val="1"/>
      <w:numFmt w:val="decimal"/>
      <w:lvlText w:val="%1.%2.%3.%4.%5.%6"/>
      <w:lvlJc w:val="left"/>
      <w:pPr>
        <w:tabs>
          <w:tab w:val="num" w:pos="0"/>
        </w:tabs>
        <w:ind w:left="1080" w:hanging="1080"/>
      </w:pPr>
      <w:rPr>
        <w:rFonts w:ascii="Arial" w:eastAsia="Times New Roman" w:hAnsi="Arial" w:cs="Arial"/>
        <w:sz w:val="24"/>
      </w:rPr>
    </w:lvl>
    <w:lvl w:ilvl="6">
      <w:start w:val="1"/>
      <w:numFmt w:val="decimal"/>
      <w:lvlText w:val="%1.%2.%3.%4.%5.%6.%7"/>
      <w:lvlJc w:val="left"/>
      <w:pPr>
        <w:tabs>
          <w:tab w:val="num" w:pos="0"/>
        </w:tabs>
        <w:ind w:left="1440" w:hanging="1440"/>
      </w:pPr>
      <w:rPr>
        <w:rFonts w:ascii="Arial" w:eastAsia="Times New Roman" w:hAnsi="Arial" w:cs="Arial"/>
        <w:sz w:val="24"/>
      </w:rPr>
    </w:lvl>
    <w:lvl w:ilvl="7">
      <w:start w:val="1"/>
      <w:numFmt w:val="decimal"/>
      <w:lvlText w:val="%1.%2.%3.%4.%5.%6.%7.%8"/>
      <w:lvlJc w:val="left"/>
      <w:pPr>
        <w:tabs>
          <w:tab w:val="num" w:pos="0"/>
        </w:tabs>
        <w:ind w:left="1440" w:hanging="1440"/>
      </w:pPr>
      <w:rPr>
        <w:rFonts w:ascii="Arial" w:eastAsia="Times New Roman" w:hAnsi="Arial" w:cs="Arial"/>
        <w:sz w:val="24"/>
      </w:rPr>
    </w:lvl>
    <w:lvl w:ilvl="8">
      <w:start w:val="1"/>
      <w:numFmt w:val="decimal"/>
      <w:lvlText w:val="%1.%2.%3.%4.%5.%6.%7.%8.%9"/>
      <w:lvlJc w:val="left"/>
      <w:pPr>
        <w:tabs>
          <w:tab w:val="num" w:pos="0"/>
        </w:tabs>
        <w:ind w:left="1800" w:hanging="1800"/>
      </w:pPr>
      <w:rPr>
        <w:rFonts w:ascii="Arial" w:eastAsia="Times New Roman" w:hAnsi="Arial" w:cs="Arial"/>
        <w:sz w:val="24"/>
      </w:rPr>
    </w:lvl>
  </w:abstractNum>
  <w:abstractNum w:abstractNumId="3" w15:restartNumberingAfterBreak="0">
    <w:nsid w:val="4BC57942"/>
    <w:multiLevelType w:val="multilevel"/>
    <w:tmpl w:val="47B6A9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533C614E"/>
    <w:multiLevelType w:val="multilevel"/>
    <w:tmpl w:val="82F4455C"/>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8036684"/>
    <w:multiLevelType w:val="multilevel"/>
    <w:tmpl w:val="CA42ECB2"/>
    <w:lvl w:ilvl="0">
      <w:start w:val="1"/>
      <w:numFmt w:val="decimal"/>
      <w:pStyle w:val="Ttulo1"/>
      <w:lvlText w:val="%1"/>
      <w:lvlJc w:val="left"/>
      <w:pPr>
        <w:tabs>
          <w:tab w:val="num" w:pos="0"/>
        </w:tabs>
        <w:ind w:left="432" w:hanging="432"/>
      </w:pPr>
      <w:rPr>
        <w:sz w:val="22"/>
        <w:szCs w:val="22"/>
      </w:r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6" w15:restartNumberingAfterBreak="0">
    <w:nsid w:val="7FF06219"/>
    <w:multiLevelType w:val="multilevel"/>
    <w:tmpl w:val="561AA1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468861502">
    <w:abstractNumId w:val="5"/>
  </w:num>
  <w:num w:numId="2" w16cid:durableId="181827256">
    <w:abstractNumId w:val="4"/>
  </w:num>
  <w:num w:numId="3" w16cid:durableId="427043581">
    <w:abstractNumId w:val="2"/>
  </w:num>
  <w:num w:numId="4" w16cid:durableId="1814787193">
    <w:abstractNumId w:val="3"/>
  </w:num>
  <w:num w:numId="5" w16cid:durableId="114373530">
    <w:abstractNumId w:val="1"/>
  </w:num>
  <w:num w:numId="6" w16cid:durableId="1844320854">
    <w:abstractNumId w:val="6"/>
  </w:num>
  <w:num w:numId="7" w16cid:durableId="63880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66"/>
    <w:rsid w:val="001E5F79"/>
    <w:rsid w:val="00235D41"/>
    <w:rsid w:val="002E2A1E"/>
    <w:rsid w:val="003611A6"/>
    <w:rsid w:val="00656C53"/>
    <w:rsid w:val="007E520A"/>
    <w:rsid w:val="00A56E1D"/>
    <w:rsid w:val="00A71566"/>
    <w:rsid w:val="00AD76FD"/>
    <w:rsid w:val="00DA22E3"/>
    <w:rsid w:val="00F63EA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D99F"/>
  <w15:docId w15:val="{DF753EBE-7F5D-4C90-A472-E335E51F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87F"/>
    <w:pPr>
      <w:spacing w:after="160" w:line="259" w:lineRule="auto"/>
    </w:pPr>
  </w:style>
  <w:style w:type="paragraph" w:styleId="Ttulo1">
    <w:name w:val="heading 1"/>
    <w:basedOn w:val="Normal"/>
    <w:next w:val="Normal"/>
    <w:link w:val="Ttulo1Char"/>
    <w:uiPriority w:val="9"/>
    <w:qFormat/>
    <w:rsid w:val="0067787F"/>
    <w:pPr>
      <w:keepNext/>
      <w:keepLines/>
      <w:numPr>
        <w:numId w:val="1"/>
      </w:numPr>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har"/>
    <w:uiPriority w:val="9"/>
    <w:unhideWhenUsed/>
    <w:qFormat/>
    <w:rsid w:val="0067787F"/>
    <w:pPr>
      <w:keepNext/>
      <w:keepLines/>
      <w:numPr>
        <w:ilvl w:val="1"/>
        <w:numId w:val="1"/>
      </w:numPr>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7787F"/>
    <w:pPr>
      <w:keepNext/>
      <w:keepLines/>
      <w:numPr>
        <w:ilvl w:val="2"/>
        <w:numId w:val="1"/>
      </w:numPr>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7787F"/>
    <w:pPr>
      <w:keepNext/>
      <w:keepLines/>
      <w:numPr>
        <w:ilvl w:val="3"/>
        <w:numId w:val="1"/>
      </w:numPr>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har"/>
    <w:uiPriority w:val="9"/>
    <w:semiHidden/>
    <w:unhideWhenUsed/>
    <w:qFormat/>
    <w:rsid w:val="0067787F"/>
    <w:pPr>
      <w:keepNext/>
      <w:keepLines/>
      <w:numPr>
        <w:ilvl w:val="4"/>
        <w:numId w:val="1"/>
      </w:numPr>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har"/>
    <w:uiPriority w:val="9"/>
    <w:semiHidden/>
    <w:unhideWhenUsed/>
    <w:qFormat/>
    <w:rsid w:val="0067787F"/>
    <w:pPr>
      <w:keepNext/>
      <w:keepLines/>
      <w:numPr>
        <w:ilvl w:val="5"/>
        <w:numId w:val="1"/>
      </w:numPr>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har"/>
    <w:uiPriority w:val="9"/>
    <w:semiHidden/>
    <w:unhideWhenUsed/>
    <w:qFormat/>
    <w:rsid w:val="0067787F"/>
    <w:pPr>
      <w:keepNext/>
      <w:keepLines/>
      <w:numPr>
        <w:ilvl w:val="6"/>
        <w:numId w:val="1"/>
      </w:numPr>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har"/>
    <w:uiPriority w:val="9"/>
    <w:semiHidden/>
    <w:unhideWhenUsed/>
    <w:qFormat/>
    <w:rsid w:val="0067787F"/>
    <w:pPr>
      <w:keepNext/>
      <w:keepLines/>
      <w:numPr>
        <w:ilvl w:val="7"/>
        <w:numId w:val="1"/>
      </w:numPr>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har"/>
    <w:uiPriority w:val="9"/>
    <w:unhideWhenUsed/>
    <w:qFormat/>
    <w:rsid w:val="0067787F"/>
    <w:pPr>
      <w:keepNext/>
      <w:keepLines/>
      <w:numPr>
        <w:ilvl w:val="8"/>
        <w:numId w:val="1"/>
      </w:numPr>
      <w:spacing w:before="40" w:after="0"/>
      <w:outlineLvl w:val="8"/>
    </w:pPr>
    <w:rPr>
      <w:rFonts w:asciiTheme="majorHAnsi" w:eastAsiaTheme="majorEastAsia" w:hAnsiTheme="majorHAnsi" w:cstheme="majorBidi"/>
      <w:i/>
      <w:iCs/>
      <w:color w:val="0A2F41" w:themeColor="accent1" w:themeShade="8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67787F"/>
    <w:rPr>
      <w:rFonts w:asciiTheme="majorHAnsi" w:eastAsiaTheme="majorEastAsia" w:hAnsiTheme="majorHAnsi" w:cstheme="majorBidi"/>
      <w:color w:val="0A2F41" w:themeColor="accent1" w:themeShade="80"/>
      <w:sz w:val="36"/>
      <w:szCs w:val="36"/>
    </w:rPr>
  </w:style>
  <w:style w:type="character" w:customStyle="1" w:styleId="Ttulo2Char">
    <w:name w:val="Título 2 Char"/>
    <w:basedOn w:val="Fontepargpadro"/>
    <w:link w:val="Ttulo2"/>
    <w:uiPriority w:val="9"/>
    <w:qFormat/>
    <w:rsid w:val="0067787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sid w:val="0067787F"/>
    <w:rPr>
      <w:rFonts w:asciiTheme="majorHAnsi" w:eastAsiaTheme="majorEastAsia" w:hAnsiTheme="majorHAnsi" w:cstheme="majorBidi"/>
      <w:color w:val="0F4761" w:themeColor="accent1" w:themeShade="BF"/>
      <w:sz w:val="28"/>
      <w:szCs w:val="28"/>
    </w:rPr>
  </w:style>
  <w:style w:type="character" w:customStyle="1" w:styleId="Ttulo4Char">
    <w:name w:val="Título 4 Char"/>
    <w:basedOn w:val="Fontepargpadro"/>
    <w:link w:val="Ttulo4"/>
    <w:uiPriority w:val="9"/>
    <w:semiHidden/>
    <w:qFormat/>
    <w:rsid w:val="0067787F"/>
    <w:rPr>
      <w:rFonts w:asciiTheme="majorHAnsi" w:eastAsiaTheme="majorEastAsia" w:hAnsiTheme="majorHAnsi" w:cstheme="majorBidi"/>
      <w:color w:val="0F4761" w:themeColor="accent1" w:themeShade="BF"/>
      <w:sz w:val="24"/>
      <w:szCs w:val="24"/>
    </w:rPr>
  </w:style>
  <w:style w:type="character" w:customStyle="1" w:styleId="Ttulo5Char">
    <w:name w:val="Título 5 Char"/>
    <w:basedOn w:val="Fontepargpadro"/>
    <w:link w:val="Ttulo5"/>
    <w:uiPriority w:val="9"/>
    <w:semiHidden/>
    <w:qFormat/>
    <w:rsid w:val="0067787F"/>
    <w:rPr>
      <w:rFonts w:asciiTheme="majorHAnsi" w:eastAsiaTheme="majorEastAsia" w:hAnsiTheme="majorHAnsi" w:cstheme="majorBidi"/>
      <w:caps/>
      <w:color w:val="0F4761" w:themeColor="accent1" w:themeShade="BF"/>
    </w:rPr>
  </w:style>
  <w:style w:type="character" w:customStyle="1" w:styleId="Ttulo6Char">
    <w:name w:val="Título 6 Char"/>
    <w:basedOn w:val="Fontepargpadro"/>
    <w:link w:val="Ttulo6"/>
    <w:uiPriority w:val="9"/>
    <w:semiHidden/>
    <w:qFormat/>
    <w:rsid w:val="0067787F"/>
    <w:rPr>
      <w:rFonts w:asciiTheme="majorHAnsi" w:eastAsiaTheme="majorEastAsia" w:hAnsiTheme="majorHAnsi" w:cstheme="majorBidi"/>
      <w:i/>
      <w:iCs/>
      <w:caps/>
      <w:color w:val="0A2F41" w:themeColor="accent1" w:themeShade="80"/>
    </w:rPr>
  </w:style>
  <w:style w:type="character" w:customStyle="1" w:styleId="Ttulo7Char">
    <w:name w:val="Título 7 Char"/>
    <w:basedOn w:val="Fontepargpadro"/>
    <w:link w:val="Ttulo7"/>
    <w:uiPriority w:val="9"/>
    <w:semiHidden/>
    <w:qFormat/>
    <w:rsid w:val="0067787F"/>
    <w:rPr>
      <w:rFonts w:asciiTheme="majorHAnsi" w:eastAsiaTheme="majorEastAsia" w:hAnsiTheme="majorHAnsi" w:cstheme="majorBidi"/>
      <w:b/>
      <w:bCs/>
      <w:color w:val="0A2F41" w:themeColor="accent1" w:themeShade="80"/>
    </w:rPr>
  </w:style>
  <w:style w:type="character" w:customStyle="1" w:styleId="Ttulo8Char">
    <w:name w:val="Título 8 Char"/>
    <w:basedOn w:val="Fontepargpadro"/>
    <w:link w:val="Ttulo8"/>
    <w:uiPriority w:val="9"/>
    <w:semiHidden/>
    <w:qFormat/>
    <w:rsid w:val="0067787F"/>
    <w:rPr>
      <w:rFonts w:asciiTheme="majorHAnsi" w:eastAsiaTheme="majorEastAsia" w:hAnsiTheme="majorHAnsi" w:cstheme="majorBidi"/>
      <w:b/>
      <w:bCs/>
      <w:i/>
      <w:iCs/>
      <w:color w:val="0A2F41" w:themeColor="accent1" w:themeShade="80"/>
    </w:rPr>
  </w:style>
  <w:style w:type="character" w:customStyle="1" w:styleId="Ttulo9Char">
    <w:name w:val="Título 9 Char"/>
    <w:basedOn w:val="Fontepargpadro"/>
    <w:link w:val="Ttulo9"/>
    <w:uiPriority w:val="9"/>
    <w:qFormat/>
    <w:rsid w:val="0067787F"/>
    <w:rPr>
      <w:rFonts w:asciiTheme="majorHAnsi" w:eastAsiaTheme="majorEastAsia" w:hAnsiTheme="majorHAnsi" w:cstheme="majorBidi"/>
      <w:i/>
      <w:iCs/>
      <w:color w:val="0A2F41" w:themeColor="accent1" w:themeShade="80"/>
    </w:rPr>
  </w:style>
  <w:style w:type="character" w:customStyle="1" w:styleId="TtuloChar">
    <w:name w:val="Título Char"/>
    <w:basedOn w:val="Fontepargpadro"/>
    <w:link w:val="Ttulo"/>
    <w:uiPriority w:val="10"/>
    <w:qFormat/>
    <w:rsid w:val="0067787F"/>
    <w:rPr>
      <w:rFonts w:asciiTheme="majorHAnsi" w:eastAsiaTheme="majorEastAsia" w:hAnsiTheme="majorHAnsi" w:cstheme="majorBidi"/>
      <w:caps/>
      <w:color w:val="0E2841" w:themeColor="text2"/>
      <w:spacing w:val="-15"/>
      <w:sz w:val="72"/>
      <w:szCs w:val="72"/>
    </w:rPr>
  </w:style>
  <w:style w:type="character" w:customStyle="1" w:styleId="SubttuloChar">
    <w:name w:val="Subtítulo Char"/>
    <w:basedOn w:val="Fontepargpadro"/>
    <w:link w:val="Subttulo"/>
    <w:uiPriority w:val="11"/>
    <w:qFormat/>
    <w:rsid w:val="0067787F"/>
    <w:rPr>
      <w:rFonts w:asciiTheme="majorHAnsi" w:eastAsiaTheme="majorEastAsia" w:hAnsiTheme="majorHAnsi" w:cstheme="majorBidi"/>
      <w:color w:val="156082" w:themeColor="accent1"/>
      <w:sz w:val="28"/>
      <w:szCs w:val="28"/>
    </w:rPr>
  </w:style>
  <w:style w:type="character" w:customStyle="1" w:styleId="CitaoChar">
    <w:name w:val="Citação Char"/>
    <w:basedOn w:val="Fontepargpadro"/>
    <w:link w:val="Citao"/>
    <w:uiPriority w:val="29"/>
    <w:qFormat/>
    <w:rsid w:val="0067787F"/>
    <w:rPr>
      <w:color w:val="0E2841" w:themeColor="text2"/>
      <w:sz w:val="24"/>
      <w:szCs w:val="24"/>
    </w:rPr>
  </w:style>
  <w:style w:type="character" w:styleId="nfaseIntensa">
    <w:name w:val="Intense Emphasis"/>
    <w:basedOn w:val="Fontepargpadro"/>
    <w:uiPriority w:val="21"/>
    <w:qFormat/>
    <w:rsid w:val="0067787F"/>
    <w:rPr>
      <w:b/>
      <w:bCs/>
      <w:i/>
      <w:iCs/>
    </w:rPr>
  </w:style>
  <w:style w:type="character" w:customStyle="1" w:styleId="CitaoIntensaChar">
    <w:name w:val="Citação Intensa Char"/>
    <w:basedOn w:val="Fontepargpadro"/>
    <w:link w:val="CitaoIntensa"/>
    <w:uiPriority w:val="30"/>
    <w:qFormat/>
    <w:rsid w:val="0067787F"/>
    <w:rPr>
      <w:rFonts w:asciiTheme="majorHAnsi" w:eastAsiaTheme="majorEastAsia" w:hAnsiTheme="majorHAnsi" w:cstheme="majorBidi"/>
      <w:color w:val="0E2841" w:themeColor="text2"/>
      <w:spacing w:val="-6"/>
      <w:sz w:val="32"/>
      <w:szCs w:val="32"/>
    </w:rPr>
  </w:style>
  <w:style w:type="character" w:styleId="RefernciaIntensa">
    <w:name w:val="Intense Reference"/>
    <w:basedOn w:val="Fontepargpadro"/>
    <w:uiPriority w:val="32"/>
    <w:qFormat/>
    <w:rsid w:val="0067787F"/>
    <w:rPr>
      <w:b/>
      <w:bCs/>
      <w:smallCaps/>
      <w:color w:val="0E2841" w:themeColor="text2"/>
      <w:u w:val="single"/>
    </w:rPr>
  </w:style>
  <w:style w:type="character" w:styleId="Forte">
    <w:name w:val="Strong"/>
    <w:basedOn w:val="Fontepargpadro"/>
    <w:uiPriority w:val="22"/>
    <w:qFormat/>
    <w:rsid w:val="0067787F"/>
    <w:rPr>
      <w:b/>
      <w:bCs/>
    </w:rPr>
  </w:style>
  <w:style w:type="character" w:styleId="nfase">
    <w:name w:val="Emphasis"/>
    <w:basedOn w:val="Fontepargpadro"/>
    <w:uiPriority w:val="20"/>
    <w:qFormat/>
    <w:rsid w:val="0067787F"/>
    <w:rPr>
      <w:i/>
      <w:iCs/>
    </w:rPr>
  </w:style>
  <w:style w:type="character" w:styleId="nfaseSutil">
    <w:name w:val="Subtle Emphasis"/>
    <w:basedOn w:val="Fontepargpadro"/>
    <w:uiPriority w:val="19"/>
    <w:qFormat/>
    <w:rsid w:val="0067787F"/>
    <w:rPr>
      <w:i/>
      <w:iCs/>
      <w:color w:val="595959" w:themeColor="text1" w:themeTint="A6"/>
    </w:rPr>
  </w:style>
  <w:style w:type="character" w:styleId="RefernciaSutil">
    <w:name w:val="Subtle Reference"/>
    <w:basedOn w:val="Fontepargpadro"/>
    <w:uiPriority w:val="31"/>
    <w:qFormat/>
    <w:rsid w:val="0067787F"/>
    <w:rPr>
      <w:smallCaps/>
      <w:color w:val="595959" w:themeColor="text1" w:themeTint="A6"/>
      <w:u w:val="none" w:color="7F7F7F"/>
    </w:rPr>
  </w:style>
  <w:style w:type="character" w:styleId="TtulodoLivro">
    <w:name w:val="Book Title"/>
    <w:basedOn w:val="Fontepargpadro"/>
    <w:uiPriority w:val="33"/>
    <w:qFormat/>
    <w:rsid w:val="0067787F"/>
    <w:rPr>
      <w:b/>
      <w:bCs/>
      <w:smallCaps/>
      <w:spacing w:val="10"/>
    </w:rPr>
  </w:style>
  <w:style w:type="character" w:customStyle="1" w:styleId="CabealhoChar">
    <w:name w:val="Cabeçalho Char"/>
    <w:basedOn w:val="Fontepargpadro"/>
    <w:link w:val="Cabealho"/>
    <w:uiPriority w:val="99"/>
    <w:qFormat/>
    <w:rsid w:val="00E0110C"/>
  </w:style>
  <w:style w:type="character" w:customStyle="1" w:styleId="RodapChar">
    <w:name w:val="Rodapé Char"/>
    <w:basedOn w:val="Fontepargpadro"/>
    <w:link w:val="Rodap"/>
    <w:uiPriority w:val="99"/>
    <w:qFormat/>
    <w:rsid w:val="00E0110C"/>
  </w:style>
  <w:style w:type="character" w:styleId="Nmerodelinha">
    <w:name w:val="line number"/>
    <w:basedOn w:val="Fontepargpadro"/>
    <w:uiPriority w:val="99"/>
    <w:semiHidden/>
    <w:unhideWhenUsed/>
    <w:qFormat/>
    <w:rsid w:val="00617C16"/>
  </w:style>
  <w:style w:type="character" w:customStyle="1" w:styleId="Hyperlink1">
    <w:name w:val="Hyperlink1"/>
    <w:basedOn w:val="Fontepargpadro"/>
    <w:uiPriority w:val="99"/>
    <w:unhideWhenUsed/>
    <w:qFormat/>
    <w:rsid w:val="00E234A8"/>
    <w:rPr>
      <w:color w:val="0000FF"/>
      <w:u w:val="single"/>
    </w:rPr>
  </w:style>
  <w:style w:type="character" w:customStyle="1" w:styleId="MenoPendente1">
    <w:name w:val="Menção Pendente1"/>
    <w:basedOn w:val="Fontepargpadro"/>
    <w:uiPriority w:val="99"/>
    <w:semiHidden/>
    <w:unhideWhenUsed/>
    <w:qFormat/>
    <w:rsid w:val="00973365"/>
    <w:rPr>
      <w:color w:val="605E5C"/>
      <w:shd w:val="clear" w:color="auto" w:fill="E1DFDD"/>
    </w:rPr>
  </w:style>
  <w:style w:type="character" w:customStyle="1" w:styleId="TextodebaloChar">
    <w:name w:val="Texto de balão Char"/>
    <w:basedOn w:val="Fontepargpadro"/>
    <w:link w:val="Textodebalo"/>
    <w:uiPriority w:val="99"/>
    <w:semiHidden/>
    <w:qFormat/>
    <w:rsid w:val="001E022C"/>
    <w:rPr>
      <w:rFonts w:ascii="Tahoma" w:hAnsi="Tahoma" w:cs="Tahoma"/>
      <w:sz w:val="16"/>
      <w:szCs w:val="16"/>
    </w:rPr>
  </w:style>
  <w:style w:type="character" w:customStyle="1" w:styleId="HiperlinkVisitado1">
    <w:name w:val="HiperlinkVisitado1"/>
    <w:basedOn w:val="Fontepargpadro"/>
    <w:uiPriority w:val="99"/>
    <w:semiHidden/>
    <w:unhideWhenUsed/>
    <w:qFormat/>
    <w:rsid w:val="006F7069"/>
    <w:rPr>
      <w:color w:val="96607D" w:themeColor="followedHyperlink"/>
      <w:u w:val="single"/>
    </w:rPr>
  </w:style>
  <w:style w:type="character" w:customStyle="1" w:styleId="Marcadores">
    <w:name w:val="Marcadores"/>
    <w:qFormat/>
    <w:rPr>
      <w:rFonts w:ascii="OpenSymbol" w:eastAsia="OpenSymbol" w:hAnsi="OpenSymbol" w:cs="OpenSymbol"/>
    </w:rPr>
  </w:style>
  <w:style w:type="character" w:styleId="TextodoEspaoReservado">
    <w:name w:val="Placeholder Text"/>
    <w:basedOn w:val="Fontepargpadro"/>
    <w:uiPriority w:val="99"/>
    <w:semiHidden/>
    <w:qFormat/>
    <w:rsid w:val="001E68C3"/>
    <w:rPr>
      <w:color w:val="808080"/>
    </w:rPr>
  </w:style>
  <w:style w:type="character" w:styleId="Hyperlink">
    <w:name w:val="Hyperlink"/>
    <w:rPr>
      <w:color w:val="000080"/>
      <w:u w:val="single"/>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MenoPendente2">
    <w:name w:val="Menção Pendente2"/>
    <w:basedOn w:val="Fontepargpadro"/>
    <w:uiPriority w:val="99"/>
    <w:semiHidden/>
    <w:unhideWhenUsed/>
    <w:qFormat/>
    <w:rsid w:val="006A28A0"/>
    <w:rPr>
      <w:color w:val="605E5C"/>
      <w:shd w:val="clear" w:color="auto" w:fill="E1DFDD"/>
    </w:rPr>
  </w:style>
  <w:style w:type="character" w:customStyle="1" w:styleId="Smbolosdenumerao">
    <w:name w:val="Símbolos de numeração"/>
    <w:qFormat/>
  </w:style>
  <w:style w:type="character" w:customStyle="1" w:styleId="Cdigo-fonte">
    <w:name w:val="Código-fonte"/>
    <w:qFormat/>
    <w:rPr>
      <w:rFonts w:ascii="Liberation Mono" w:eastAsia="Liberation Mono" w:hAnsi="Liberation Mono" w:cs="Liberation Mono"/>
    </w:rPr>
  </w:style>
  <w:style w:type="paragraph" w:styleId="Ttulo">
    <w:name w:val="Title"/>
    <w:basedOn w:val="Normal"/>
    <w:next w:val="Corpodetexto"/>
    <w:link w:val="TtuloChar"/>
    <w:uiPriority w:val="10"/>
    <w:qFormat/>
    <w:rsid w:val="0067787F"/>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Corpodetexto">
    <w:name w:val="Body Text"/>
    <w:basedOn w:val="Normal"/>
    <w:pPr>
      <w:spacing w:after="140" w:line="276" w:lineRule="auto"/>
    </w:pPr>
  </w:style>
  <w:style w:type="paragraph" w:styleId="Lista">
    <w:name w:val="List"/>
    <w:basedOn w:val="Corpodetexto"/>
    <w:rPr>
      <w:rFonts w:cs="Arial Unicode MS"/>
    </w:rPr>
  </w:style>
  <w:style w:type="paragraph" w:styleId="Legenda">
    <w:name w:val="caption"/>
    <w:basedOn w:val="Normal"/>
    <w:qFormat/>
    <w:pPr>
      <w:suppressLineNumbers/>
      <w:spacing w:before="120" w:after="120"/>
    </w:pPr>
    <w:rPr>
      <w:rFonts w:cs="Arial Unicode MS"/>
      <w:i/>
      <w:iCs/>
      <w:sz w:val="24"/>
      <w:szCs w:val="24"/>
    </w:rPr>
  </w:style>
  <w:style w:type="paragraph" w:customStyle="1" w:styleId="ndice">
    <w:name w:val="Índice"/>
    <w:basedOn w:val="Normal"/>
    <w:qFormat/>
    <w:pPr>
      <w:suppressLineNumbers/>
    </w:pPr>
    <w:rPr>
      <w:rFonts w:cs="Arial Unicode MS"/>
    </w:rPr>
  </w:style>
  <w:style w:type="paragraph" w:customStyle="1" w:styleId="caption1">
    <w:name w:val="caption1"/>
    <w:basedOn w:val="Normal"/>
    <w:qFormat/>
    <w:pPr>
      <w:suppressLineNumbers/>
      <w:spacing w:before="120" w:after="120"/>
    </w:pPr>
    <w:rPr>
      <w:rFonts w:cs="Arial Unicode MS"/>
      <w:i/>
      <w:iCs/>
      <w:sz w:val="24"/>
      <w:szCs w:val="24"/>
    </w:rPr>
  </w:style>
  <w:style w:type="paragraph" w:customStyle="1" w:styleId="caption11">
    <w:name w:val="caption11"/>
    <w:basedOn w:val="Normal"/>
    <w:qFormat/>
    <w:pPr>
      <w:suppressLineNumbers/>
      <w:spacing w:before="120" w:after="120"/>
    </w:pPr>
    <w:rPr>
      <w:rFonts w:cs="Arial Unicode MS"/>
      <w:i/>
      <w:iCs/>
      <w:sz w:val="24"/>
      <w:szCs w:val="24"/>
    </w:rPr>
  </w:style>
  <w:style w:type="paragraph" w:customStyle="1" w:styleId="caption111">
    <w:name w:val="caption111"/>
    <w:basedOn w:val="Normal"/>
    <w:qFormat/>
    <w:pPr>
      <w:suppressLineNumbers/>
      <w:spacing w:before="120" w:after="120"/>
    </w:pPr>
    <w:rPr>
      <w:rFonts w:cs="Arial Unicode MS"/>
      <w:i/>
      <w:iCs/>
      <w:sz w:val="24"/>
      <w:szCs w:val="24"/>
    </w:rPr>
  </w:style>
  <w:style w:type="paragraph" w:customStyle="1" w:styleId="caption1111">
    <w:name w:val="caption1111"/>
    <w:basedOn w:val="Normal"/>
    <w:qFormat/>
    <w:pPr>
      <w:suppressLineNumbers/>
      <w:spacing w:before="120" w:after="120"/>
    </w:pPr>
    <w:rPr>
      <w:rFonts w:cs="Arial Unicode MS"/>
      <w:i/>
      <w:iCs/>
      <w:sz w:val="24"/>
      <w:szCs w:val="24"/>
    </w:rPr>
  </w:style>
  <w:style w:type="paragraph" w:customStyle="1" w:styleId="caption11111">
    <w:name w:val="caption11111"/>
    <w:basedOn w:val="Normal"/>
    <w:next w:val="Normal"/>
    <w:uiPriority w:val="35"/>
    <w:semiHidden/>
    <w:unhideWhenUsed/>
    <w:qFormat/>
    <w:rsid w:val="0067787F"/>
    <w:pPr>
      <w:spacing w:line="240" w:lineRule="auto"/>
    </w:pPr>
    <w:rPr>
      <w:b/>
      <w:bCs/>
      <w:smallCaps/>
      <w:color w:val="0E2841" w:themeColor="text2"/>
    </w:rPr>
  </w:style>
  <w:style w:type="paragraph" w:styleId="Subttulo">
    <w:name w:val="Subtitle"/>
    <w:basedOn w:val="Normal"/>
    <w:next w:val="Normal"/>
    <w:link w:val="SubttuloChar"/>
    <w:uiPriority w:val="11"/>
    <w:qFormat/>
    <w:rsid w:val="0067787F"/>
    <w:pPr>
      <w:spacing w:after="240" w:line="240" w:lineRule="auto"/>
    </w:pPr>
    <w:rPr>
      <w:rFonts w:asciiTheme="majorHAnsi" w:eastAsiaTheme="majorEastAsia" w:hAnsiTheme="majorHAnsi" w:cstheme="majorBidi"/>
      <w:color w:val="156082" w:themeColor="accent1"/>
      <w:sz w:val="28"/>
      <w:szCs w:val="28"/>
    </w:rPr>
  </w:style>
  <w:style w:type="paragraph" w:styleId="Citao">
    <w:name w:val="Quote"/>
    <w:basedOn w:val="Normal"/>
    <w:next w:val="Normal"/>
    <w:link w:val="CitaoChar"/>
    <w:uiPriority w:val="29"/>
    <w:qFormat/>
    <w:rsid w:val="0067787F"/>
    <w:pPr>
      <w:spacing w:before="120" w:after="120"/>
      <w:ind w:left="720"/>
    </w:pPr>
    <w:rPr>
      <w:color w:val="0E2841" w:themeColor="text2"/>
      <w:sz w:val="24"/>
      <w:szCs w:val="24"/>
    </w:rPr>
  </w:style>
  <w:style w:type="paragraph" w:styleId="PargrafodaLista">
    <w:name w:val="List Paragraph"/>
    <w:basedOn w:val="Normal"/>
    <w:uiPriority w:val="34"/>
    <w:qFormat/>
    <w:rsid w:val="0067787F"/>
    <w:pPr>
      <w:ind w:left="720"/>
      <w:contextualSpacing/>
    </w:pPr>
  </w:style>
  <w:style w:type="paragraph" w:styleId="CitaoIntensa">
    <w:name w:val="Intense Quote"/>
    <w:basedOn w:val="Normal"/>
    <w:next w:val="Normal"/>
    <w:link w:val="CitaoIntensaChar"/>
    <w:uiPriority w:val="30"/>
    <w:qFormat/>
    <w:rsid w:val="0067787F"/>
    <w:pPr>
      <w:spacing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paragraph" w:styleId="SemEspaamento">
    <w:name w:val="No Spacing"/>
    <w:uiPriority w:val="1"/>
    <w:qFormat/>
    <w:rsid w:val="0067787F"/>
  </w:style>
  <w:style w:type="paragraph" w:customStyle="1" w:styleId="indexheading1">
    <w:name w:val="index heading1"/>
    <w:basedOn w:val="Ttulo"/>
    <w:qFormat/>
  </w:style>
  <w:style w:type="paragraph" w:customStyle="1" w:styleId="indexheading2">
    <w:name w:val="index heading2"/>
    <w:basedOn w:val="Ttulo"/>
    <w:qFormat/>
  </w:style>
  <w:style w:type="paragraph" w:customStyle="1" w:styleId="indexheading3">
    <w:name w:val="index heading3"/>
    <w:basedOn w:val="Ttulo"/>
    <w:qFormat/>
  </w:style>
  <w:style w:type="paragraph" w:customStyle="1" w:styleId="indexheading4">
    <w:name w:val="index heading4"/>
    <w:basedOn w:val="Ttulo"/>
    <w:qFormat/>
  </w:style>
  <w:style w:type="paragraph" w:styleId="Ttulodendiceremissivo">
    <w:name w:val="index heading"/>
    <w:basedOn w:val="Ttulo"/>
  </w:style>
  <w:style w:type="paragraph" w:styleId="CabealhodoSumrio">
    <w:name w:val="TOC Heading"/>
    <w:basedOn w:val="Ttulo1"/>
    <w:next w:val="Normal"/>
    <w:uiPriority w:val="39"/>
    <w:unhideWhenUsed/>
    <w:qFormat/>
    <w:rsid w:val="0067787F"/>
    <w:pPr>
      <w:numPr>
        <w:numId w:val="0"/>
      </w:numPr>
    </w:pPr>
  </w:style>
  <w:style w:type="paragraph" w:customStyle="1" w:styleId="CabealhoeRodap">
    <w:name w:val="Cabeçalho e Rodapé"/>
    <w:basedOn w:val="Normal"/>
    <w:qFormat/>
  </w:style>
  <w:style w:type="paragraph" w:customStyle="1" w:styleId="Cabealhoerodap1">
    <w:name w:val="Cabeçalho e rodapé1"/>
    <w:basedOn w:val="Normal"/>
    <w:qFormat/>
  </w:style>
  <w:style w:type="paragraph" w:styleId="Cabealho">
    <w:name w:val="header"/>
    <w:basedOn w:val="Normal"/>
    <w:link w:val="CabealhoChar"/>
    <w:uiPriority w:val="99"/>
    <w:unhideWhenUsed/>
    <w:rsid w:val="00E0110C"/>
    <w:pPr>
      <w:tabs>
        <w:tab w:val="center" w:pos="4252"/>
        <w:tab w:val="right" w:pos="8504"/>
      </w:tabs>
      <w:spacing w:after="0" w:line="240" w:lineRule="auto"/>
    </w:pPr>
  </w:style>
  <w:style w:type="paragraph" w:styleId="Rodap">
    <w:name w:val="footer"/>
    <w:basedOn w:val="Normal"/>
    <w:link w:val="RodapChar"/>
    <w:uiPriority w:val="99"/>
    <w:unhideWhenUsed/>
    <w:rsid w:val="00E0110C"/>
    <w:pPr>
      <w:tabs>
        <w:tab w:val="center" w:pos="4252"/>
        <w:tab w:val="right" w:pos="8504"/>
      </w:tabs>
      <w:spacing w:after="0" w:line="240" w:lineRule="auto"/>
    </w:pPr>
  </w:style>
  <w:style w:type="paragraph" w:styleId="NormalWeb">
    <w:name w:val="Normal (Web)"/>
    <w:basedOn w:val="Normal"/>
    <w:uiPriority w:val="99"/>
    <w:unhideWhenUsed/>
    <w:qFormat/>
    <w:rsid w:val="00E0110C"/>
    <w:pPr>
      <w:spacing w:beforeAutospacing="1"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qFormat/>
    <w:rsid w:val="001E022C"/>
    <w:pPr>
      <w:spacing w:after="0" w:line="240" w:lineRule="auto"/>
    </w:pPr>
    <w:rPr>
      <w:rFonts w:ascii="Tahoma" w:hAnsi="Tahoma" w:cs="Tahoma"/>
      <w:sz w:val="16"/>
      <w:szCs w:val="16"/>
    </w:rPr>
  </w:style>
  <w:style w:type="paragraph" w:customStyle="1" w:styleId="Referencia">
    <w:name w:val="Referencia"/>
    <w:basedOn w:val="Normal"/>
    <w:qFormat/>
    <w:rsid w:val="005853A1"/>
    <w:pPr>
      <w:spacing w:before="60" w:after="60" w:line="240" w:lineRule="auto"/>
      <w:ind w:left="567"/>
    </w:pPr>
    <w:rPr>
      <w:rFonts w:ascii="Book Antiqua" w:eastAsia="Times New Roman" w:hAnsi="Book Antiqua" w:cs="Times New Roman"/>
      <w:sz w:val="20"/>
      <w:szCs w:val="20"/>
      <w:lang w:eastAsia="pt-BR"/>
    </w:rPr>
  </w:style>
  <w:style w:type="paragraph" w:customStyle="1" w:styleId="card-text">
    <w:name w:val="card-text"/>
    <w:basedOn w:val="Normal"/>
    <w:qFormat/>
    <w:rsid w:val="00003C33"/>
    <w:pPr>
      <w:spacing w:beforeAutospacing="1"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pPr>
      <w:suppressLineNumbers/>
      <w:ind w:left="340" w:hanging="340"/>
    </w:pPr>
    <w:rPr>
      <w:sz w:val="20"/>
      <w:szCs w:val="20"/>
    </w:rPr>
  </w:style>
  <w:style w:type="paragraph" w:customStyle="1" w:styleId="Linhahorizontal">
    <w:name w:val="Linha horizontal"/>
    <w:basedOn w:val="Normal"/>
    <w:next w:val="Corpodetexto"/>
    <w:qFormat/>
    <w:pPr>
      <w:suppressLineNumbers/>
      <w:pBdr>
        <w:bottom w:val="double" w:sz="2" w:space="0" w:color="808080"/>
      </w:pBdr>
      <w:spacing w:after="283"/>
    </w:pPr>
    <w:rPr>
      <w:sz w:val="12"/>
      <w:szCs w:val="12"/>
    </w:rPr>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table" w:styleId="Tabelacomgrade">
    <w:name w:val="Table Grid"/>
    <w:basedOn w:val="Tabelanormal"/>
    <w:uiPriority w:val="59"/>
    <w:rsid w:val="00FF16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2E2A1E"/>
    <w:rPr>
      <w:color w:val="605E5C"/>
      <w:shd w:val="clear" w:color="auto" w:fill="E1DFDD"/>
    </w:rPr>
  </w:style>
  <w:style w:type="character" w:styleId="HiperlinkVisitado">
    <w:name w:val="FollowedHyperlink"/>
    <w:basedOn w:val="Fontepargpadro"/>
    <w:uiPriority w:val="99"/>
    <w:semiHidden/>
    <w:unhideWhenUsed/>
    <w:rsid w:val="002E2A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repositorio.ipea.gov.br/bitstreams/38d2ac47-9091-4fbb-aeb6-4b5ef0a24d07/download"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imef.furg.br/images/documentos/matematica-aplicada/monografias/2021-Rosana_Ribeiro_da_Cost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ados.gov.br/"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ados.gov.br/dados/conjuntos-dados/base-de-dados-da-carteira-de-investimento-do-ministerio-das-cidades" TargetMode="External"/><Relationship Id="rId4" Type="http://schemas.openxmlformats.org/officeDocument/2006/relationships/settings" Target="settings.xml"/><Relationship Id="rId9" Type="http://schemas.openxmlformats.org/officeDocument/2006/relationships/hyperlink" Target="https://github.com/paulomasson-tech/ProjetoAplicado4" TargetMode="External"/><Relationship Id="rId14" Type="http://schemas.openxmlformats.org/officeDocument/2006/relationships/image" Target="media/image6.png"/><Relationship Id="rId22" Type="http://schemas.openxmlformats.org/officeDocument/2006/relationships/hyperlink" Target="https://www.repositorio.ufc.br/bitstream/riufc/80020/1/2025_tcc_lzbviana.pdf"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798D1-D4D8-4E16-AF2D-CDD524DA6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2983</Words>
  <Characters>18256</Characters>
  <Application>Microsoft Office Word</Application>
  <DocSecurity>0</DocSecurity>
  <Lines>480</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Masson</dc:creator>
  <dc:description/>
  <cp:lastModifiedBy>Paulo Cesar Masson Junior</cp:lastModifiedBy>
  <cp:revision>6</cp:revision>
  <cp:lastPrinted>2025-05-30T02:57:00Z</cp:lastPrinted>
  <dcterms:created xsi:type="dcterms:W3CDTF">2025-10-31T19:35:00Z</dcterms:created>
  <dcterms:modified xsi:type="dcterms:W3CDTF">2025-11-28T13:07:00Z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573e4e-3478-4a3d-9ff6-44bc0f7b0839_ActionId">
    <vt:lpwstr>d80a22b8-833c-40eb-abeb-b82510840632</vt:lpwstr>
  </property>
  <property fmtid="{D5CDD505-2E9C-101B-9397-08002B2CF9AE}" pid="3" name="MSIP_Label_a3573e4e-3478-4a3d-9ff6-44bc0f7b0839_ContentBits">
    <vt:lpwstr>0</vt:lpwstr>
  </property>
  <property fmtid="{D5CDD505-2E9C-101B-9397-08002B2CF9AE}" pid="4" name="MSIP_Label_a3573e4e-3478-4a3d-9ff6-44bc0f7b0839_Enabled">
    <vt:lpwstr>true</vt:lpwstr>
  </property>
  <property fmtid="{D5CDD505-2E9C-101B-9397-08002B2CF9AE}" pid="5" name="MSIP_Label_a3573e4e-3478-4a3d-9ff6-44bc0f7b0839_Method">
    <vt:lpwstr>Standard</vt:lpwstr>
  </property>
  <property fmtid="{D5CDD505-2E9C-101B-9397-08002B2CF9AE}" pid="6" name="MSIP_Label_a3573e4e-3478-4a3d-9ff6-44bc0f7b0839_Name">
    <vt:lpwstr>C1 - Standard (Internals)</vt:lpwstr>
  </property>
  <property fmtid="{D5CDD505-2E9C-101B-9397-08002B2CF9AE}" pid="7" name="MSIP_Label_a3573e4e-3478-4a3d-9ff6-44bc0f7b0839_SetDate">
    <vt:lpwstr>2025-05-28T22:45:32Z</vt:lpwstr>
  </property>
  <property fmtid="{D5CDD505-2E9C-101B-9397-08002B2CF9AE}" pid="8" name="MSIP_Label_a3573e4e-3478-4a3d-9ff6-44bc0f7b0839_SiteId">
    <vt:lpwstr>02aaf53c-da95-474b-bf1c-fefd6b731cb0</vt:lpwstr>
  </property>
  <property fmtid="{D5CDD505-2E9C-101B-9397-08002B2CF9AE}" pid="9" name="MSIP_Label_a3573e4e-3478-4a3d-9ff6-44bc0f7b0839_Tag">
    <vt:lpwstr>10, 3, 0, 1</vt:lpwstr>
  </property>
</Properties>
</file>