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sz w:val="28"/>
        </w:rPr>
        <w:t>EMBARGOS_DE_DECLARACAO_V3</w:t>
      </w:r>
    </w:p>
    <w:p/>
    <w:p>
      <w:pPr>
        <w:spacing w:before="120" w:after="120"/>
        <w:jc w:val="center"/>
      </w:pPr>
      <w:r>
        <w:rPr>
          <w:rFonts w:ascii="Arial" w:hAnsi="Arial"/>
          <w:b/>
          <w:i w:val="0"/>
          <w:sz w:val="24"/>
        </w:rPr>
        <w:t>EXCELENTÍSSIMO SENHOR MINISTRO SEBASTIÃO REIS JÚNIOR, DIGNÍSSIMO RELATOR DO AGRAVO REGIMENTAL NOS EMBARGOS DE DECLARAÇÃO NO AGRAVO EM RECURSO ESPECIAL N. 2.502.254/SC</w:t>
      </w:r>
    </w:p>
    <w:p>
      <w:pPr>
        <w:spacing w:before="0" w:after="120" w:line="360" w:lineRule="exact"/>
        <w:jc w:val="both"/>
      </w:pPr>
      <w:r>
        <w:rPr>
          <w:rFonts w:ascii="Arial" w:hAnsi="Arial"/>
          <w:b w:val="0"/>
          <w:i w:val="0"/>
          <w:sz w:val="24"/>
        </w:rPr>
        <w:t>AgRg nos EDcl no AREsp n. 2.502.254/SC</w:t>
      </w:r>
    </w:p>
    <w:p>
      <w:pPr>
        <w:spacing w:before="0" w:after="120" w:line="360" w:lineRule="exact"/>
        <w:jc w:val="both"/>
      </w:pPr>
      <w:r>
        <w:rPr>
          <w:rFonts w:ascii="Arial" w:hAnsi="Arial"/>
          <w:b w:val="0"/>
          <w:i w:val="0"/>
          <w:sz w:val="24"/>
        </w:rPr>
        <w:t>CARLOS ANTÔNIO MUNARETTO, já qualificado nos autos em epígrafe, em que é embargado o MINISTÉRIO PÚBLICO DO ESTADO DE SANTA CATARINA, vem, respeitosamente, à elevada presença de Vossa Excelência, por seus advogados signatários, com fundamento no art. 1.022, incisos I e II, do CPC, c/c o art. 619 do CPP, opor EMBARGOS DE DECLARAÇÃO, com pedido de efeitos infringentes e para fins de prequestionamento, contra o acórdão proferido pela Colenda Sexta Turma desse Egrégio Superior Tribunal de Justiça (e-STJ fls. 2.880/2.881), que negou provimento ao agravo regimental interposto pelo embargante, pelas razões de fato e de direito a seguir expostas.</w:t>
      </w:r>
    </w:p>
    <w:p>
      <w:pPr>
        <w:spacing w:before="240" w:after="120"/>
        <w:jc w:val="left"/>
      </w:pPr>
      <w:r>
        <w:rPr>
          <w:rFonts w:ascii="Arial" w:hAnsi="Arial"/>
          <w:b/>
          <w:i w:val="0"/>
          <w:sz w:val="24"/>
        </w:rPr>
        <w:t>I – DAS OMISSÕES NO ACÓRDÃO EMBARGADO</w:t>
      </w:r>
    </w:p>
    <w:p>
      <w:pPr>
        <w:spacing w:before="0" w:after="120" w:line="360" w:lineRule="exact"/>
        <w:jc w:val="both"/>
      </w:pPr>
      <w:r>
        <w:rPr>
          <w:rFonts w:ascii="Arial" w:hAnsi="Arial"/>
          <w:b w:val="0"/>
          <w:i w:val="0"/>
          <w:sz w:val="24"/>
        </w:rPr>
        <w:t>O acórdão embargado negou provimento ao agravo regimental interposto pelo embargante, mantendo a decisão monocrática que não conheceu do agravo em recurso especial (e-STJ fls. 2.841/2.843), pela aplicação da Súmula n. 182/STJ, ao argumento de que "o agravante não logrou desconstituir seu fundamento" e de que a parte agravante "não impugnou, de forma suficiente e pormenorizada, o segundo fundamento" da decisão que inadmitiu o recurso especial na origem.</w:t>
      </w:r>
    </w:p>
    <w:p>
      <w:pPr>
        <w:spacing w:before="0" w:after="120" w:line="360" w:lineRule="exact"/>
        <w:jc w:val="both"/>
      </w:pPr>
      <w:r>
        <w:rPr>
          <w:rFonts w:ascii="Arial" w:hAnsi="Arial"/>
          <w:b w:val="0"/>
          <w:i w:val="0"/>
          <w:sz w:val="24"/>
        </w:rPr>
        <w:t>Ocorre que, Excelência, o acórdão embargado incorreu em manifesta omissão, ao deixar de apreciar os argumentos específicos e detalhados apresentados pelo embargante nas razões do agravo regimental, que demonstraram, de forma pormenorizada, as razões pelas quais os verbetes sumulares utilizados como óbice não incidem ao caso vertente.</w:t>
      </w:r>
    </w:p>
    <w:p>
      <w:pPr>
        <w:spacing w:before="0" w:after="120" w:line="360" w:lineRule="exact"/>
        <w:jc w:val="both"/>
      </w:pPr>
      <w:r>
        <w:rPr>
          <w:rFonts w:ascii="Arial" w:hAnsi="Arial"/>
          <w:b w:val="0"/>
          <w:i w:val="0"/>
          <w:sz w:val="24"/>
        </w:rPr>
        <w:t>1.1 – Omissão quanto aos argumentos do tópico II.1 do agravo regimental, que demonstram a impugnação específica da Súmula n. 83/STJ em relação à violação ao art. 619 do CPP e ao art. 489, §1º, III e IV, do CPC</w:t>
      </w:r>
    </w:p>
    <w:p>
      <w:pPr>
        <w:spacing w:before="0" w:after="120" w:line="360" w:lineRule="exact"/>
        <w:jc w:val="both"/>
      </w:pPr>
      <w:r>
        <w:rPr>
          <w:rFonts w:ascii="Arial" w:hAnsi="Arial"/>
          <w:b w:val="0"/>
          <w:i w:val="0"/>
          <w:sz w:val="24"/>
        </w:rPr>
        <w:t>No tópico II.1 das razões do agravo regimental (itens 14 a 26, fls. 2.866/2.872), o embargante demonstrou, de forma específica e fundamentada, que a Súmula n. 83/STJ não obsta o exame do recurso especial quanto à violação ao art. 619 do CPP e ao art. 489, §1º, III e IV, do CPC. Em um primeiro momento, expôs que o acórdão do Tribunal de Justiça de Santa Catarina que julgou os embargos de declaração não enfrentou a argumentação defensiva relativa ao exame das circunstâncias do art. 59 do CP nos delitos de receptação e adulteração de sinal de veículo automotor, limitando-se a afirmar, genericamente, que os vícios apontados traduziriam "rediscussão do mérito do processo" (fls. 2.546/2.551). Registrou o embargante, ademais, que a motivação exposta no aresto da Corte local é formada por apenas 2 (dois) parágrafos genéricos, que se prestariam "a justificar qualquer outra decisão ou vício, em evidente violação ao art. 489, §1º, III e IV, do CPC, aplicado subsidiariamente ao processo penal" (fls. 2.677/2.678).</w:t>
      </w:r>
    </w:p>
    <w:p>
      <w:pPr>
        <w:spacing w:before="0" w:after="120" w:line="360" w:lineRule="exact"/>
        <w:jc w:val="both"/>
      </w:pPr>
      <w:r>
        <w:rPr>
          <w:rFonts w:ascii="Arial" w:hAnsi="Arial"/>
          <w:b w:val="0"/>
          <w:i w:val="0"/>
          <w:sz w:val="24"/>
        </w:rPr>
        <w:t>Não fosse isso o suficiente, o embargante demonstrou que o entendimento firmado pela Corte local diverge da jurisprudência desse Colendo Superior Tribunal de Justiça, que reconhece a "afronta ao art. 619 do CPP quando o acórdão hostilizado deixa de se manifestar, de forma fundamentada, sobre questão essencial ao deslinde da controvérsia, o que se coaduna ao caso em exame. Embora não esteja o Julgador obrigado a enfrentar todos os pontos alegados pelas Partes, havendo omissão e contradição sobre questão relevante para o deslinde da controvérsia, devem estas serem aclaradas em sede de embargos de declaração, sob pena de nulidade do julgado" (AgRg no AREsp n. 1.719.549, rel. Min. Laurita Vaz, j. em 15.2.2022 — grifos acrescentados).</w:t>
      </w:r>
    </w:p>
    <w:p>
      <w:pPr>
        <w:spacing w:before="0" w:after="120" w:line="360" w:lineRule="exact"/>
        <w:jc w:val="both"/>
      </w:pPr>
      <w:r>
        <w:rPr>
          <w:rFonts w:ascii="Arial" w:hAnsi="Arial"/>
          <w:b w:val="0"/>
          <w:i w:val="0"/>
          <w:sz w:val="24"/>
        </w:rPr>
        <w:t>O acórdão embargado, contudo, não se pronunciou sobre nenhum desses argumentos, limitando-se a afirmar, de forma genérica, que o agravante não teria impugnado especificamente os fundamentos da decisão agravada. Essa omissão é manifesta e compromete a higidez do julgamento, porquanto a Colenda Turma deixou de analisar se, efetivamente, a impugnação apresentada atendia ou não ao requisito de especificidade exigido pela Súmula n. 182/STJ — limitando-se a ratificar a decisão monocrática "pelo que nela se contém", sem qualquer enfrentamento da argumentação deduzida no agravo regimental.</w:t>
      </w:r>
    </w:p>
    <w:p>
      <w:pPr>
        <w:spacing w:before="0" w:after="120" w:line="360" w:lineRule="exact"/>
        <w:jc w:val="both"/>
      </w:pPr>
      <w:r>
        <w:rPr>
          <w:rFonts w:ascii="Arial" w:hAnsi="Arial"/>
          <w:b w:val="0"/>
          <w:i w:val="0"/>
          <w:sz w:val="24"/>
        </w:rPr>
        <w:t>1.2 – Omissão quanto aos argumentos do tópico II.2 do agravo regimental, que demonstram a impugnação específica da Súmula n. 83/STJ quanto à violação ao art. 157 do CPP</w:t>
      </w:r>
    </w:p>
    <w:p>
      <w:pPr>
        <w:spacing w:before="0" w:after="120" w:line="360" w:lineRule="exact"/>
        <w:jc w:val="both"/>
      </w:pPr>
      <w:r>
        <w:rPr>
          <w:rFonts w:ascii="Arial" w:hAnsi="Arial"/>
          <w:b w:val="0"/>
          <w:i w:val="0"/>
          <w:sz w:val="24"/>
        </w:rPr>
        <w:t>No tópico II.2 das razões do agravo regimental (itens 27 a 35, fls. 2.872/2.877), o embargante demonstrou que a interceptação postal que fundamentou a condenação foi determinada sem decisão judicial que autorizasse, de forma expressa e fundamentada, a quebra do sigilo de correspondência, configurando prova ilícita utilizada para alicerçar a condenação, em afronta ao art. 157 do CPP. Aliás, o próprio aresto da Corte local reconheceu que as decisões judiciais de fls. 150/151 e 153/155 limitaram-se a deferir "a utilização do procedimento denominado pela Lei n. 9034/95 de 'Ação Controlada'", sem tratar especificamente da interceptação epistolar, o que evidencia que a questão exige mera revaloração jurídica da situação fática delimitada pelos arestos recorridos, afastando a incidência da Súmula n. 7/STJ.</w:t>
      </w:r>
    </w:p>
    <w:p>
      <w:pPr>
        <w:spacing w:before="0" w:after="120" w:line="360" w:lineRule="exact"/>
        <w:jc w:val="both"/>
      </w:pPr>
      <w:r>
        <w:rPr>
          <w:rFonts w:ascii="Arial" w:hAnsi="Arial"/>
          <w:b w:val="0"/>
          <w:i w:val="0"/>
          <w:sz w:val="24"/>
        </w:rPr>
        <w:t>Além disso, o embargante colacionou jurisprudência desse Colendo STJ em casos análogos, que foi desrespeitada pelo Tribunal de Justiça Catarinense. Nesse sentido, citou que "A quebra do sigilo do correio eletrônico somente pode ser decretada, elidindo a proteção ao direito, diante dos requisitos próprios de cautelaridade que a JUSTIFIQUEM idoneamente, desaguando em um quadro de IMPRESCINDIBILIDADE da providência" (HC n. 315.220/RS, rel. Min. Maria Thereza de Assis Moura, Sexta Turma, j. em 15.9.2015 — destaques acrescentados). No mesmo sentido, o embargante demonstrou que a ausência de fundamentação quanto à necessidade da medida acarreta a ilicitude das provas obtidas e a consequente contaminação da ação penal, citando precedente segundo o qual "As provas obtidas em violação a garantia constitucional do sigilo bancário, e as dela derivadas, são ilícitas e têm de ser desentranhadas do processo" (HC n. 100.382/MG, rel. Min. Rogério Schietti Cruz, Sexta Turma, j. em 14.10.2021 — grifos acrescentados).</w:t>
      </w:r>
    </w:p>
    <w:p>
      <w:pPr>
        <w:spacing w:before="0" w:after="120" w:line="360" w:lineRule="exact"/>
        <w:jc w:val="both"/>
      </w:pPr>
      <w:r>
        <w:rPr>
          <w:rFonts w:ascii="Arial" w:hAnsi="Arial"/>
          <w:b w:val="0"/>
          <w:i w:val="0"/>
          <w:sz w:val="24"/>
        </w:rPr>
        <w:t>Mais uma vez, o acórdão embargado não analisou nenhum desses argumentos, que foram apresentados de forma específica e pormenorizada no agravo regimental, com a colação de precedentes dessa própria Corte Superior que demonstram a divergência entre o entendimento da Corte local e a jurisprudência do STJ sobre a matéria. O decisum embargado sequer mencionou a existência do tópico II.2, tampouco se manifestou sobre os precedentes citados pelo embargante.</w:t>
      </w:r>
    </w:p>
    <w:p>
      <w:pPr>
        <w:spacing w:before="0" w:after="120" w:line="360" w:lineRule="exact"/>
        <w:jc w:val="both"/>
      </w:pPr>
      <w:r>
        <w:rPr>
          <w:rFonts w:ascii="Arial" w:hAnsi="Arial"/>
          <w:b w:val="0"/>
          <w:i w:val="0"/>
          <w:sz w:val="24"/>
        </w:rPr>
        <w:t>1.3 – Omissão quanto aos argumentos relativos à violação ao art. 59 do CP (maus antecedentes e circunstâncias do crime)</w:t>
      </w:r>
    </w:p>
    <w:p>
      <w:pPr>
        <w:spacing w:before="0" w:after="120" w:line="360" w:lineRule="exact"/>
        <w:jc w:val="both"/>
      </w:pPr>
      <w:r>
        <w:rPr>
          <w:rFonts w:ascii="Arial" w:hAnsi="Arial"/>
          <w:b w:val="0"/>
          <w:i w:val="0"/>
          <w:sz w:val="24"/>
        </w:rPr>
        <w:t>O agravo regimental também demonstrou, no contexto da impugnação à Súmula n. 83/STJ, que a afronta ao art. 59 do CP diz respeito a dois vícios distintos e independentes. Em primeiro lugar, a utilização de critério temporal objetivo pelo Tribunal local, sem motivar ou justificar a importância da condenação anterior ao caso concreto, para negativar a circunstância judicial de maus antecedentes, em desacordo com o Tema n. 150/STF. Em segundo lugar, a utilização de elementares do crime para exasperar a pena-base, configurando inadmissível bis in idem, porquanto o argumento utilizado pelos arestos recorridos para negativar as circunstâncias do crime — de que "não é normal nem lícito que sejam comprados materiais adulterados" — constitui elementar do delito de receptação qualificada.</w:t>
      </w:r>
    </w:p>
    <w:p>
      <w:pPr>
        <w:spacing w:before="0" w:after="120" w:line="360" w:lineRule="exact"/>
        <w:jc w:val="both"/>
      </w:pPr>
      <w:r>
        <w:rPr>
          <w:rFonts w:ascii="Arial" w:hAnsi="Arial"/>
          <w:b w:val="0"/>
          <w:i w:val="0"/>
          <w:sz w:val="24"/>
        </w:rPr>
        <w:t>O acórdão embargado silenciou integralmente sobre essas questões, que foram deduzidas com precisão e acompanhadas de fundamentação jurídica consistente, limitando-se a afirmar, genericamente, que o embargante não teria impugnado os fundamentos da decisão agravada. A omissão é tanto mais grave quando se constata que os precedentes mencionados pela decisão agravada para aplicar a Súmula n. 83/STJ não possuem correlação com a questão debatida nos autos, pois tratam apenas da possibilidade de utilização de condenação anterior como maus antecedentes após o prazo depurador, sem abordar a utilização de critério temporal objetivo e a ausência de motivação adequada para a negativação da circunstância judicial — o que, como demonstrado, constitui mera revaloração jurídica e afasta a Súmula n. 7/STJ.</w:t>
      </w:r>
    </w:p>
    <w:p>
      <w:pPr>
        <w:spacing w:before="240" w:after="120"/>
        <w:jc w:val="left"/>
      </w:pPr>
      <w:r>
        <w:rPr>
          <w:rFonts w:ascii="Arial" w:hAnsi="Arial"/>
          <w:b/>
          <w:i w:val="0"/>
          <w:sz w:val="24"/>
        </w:rPr>
        <w:t>II – DA CONTRADIÇÃO</w:t>
      </w:r>
    </w:p>
    <w:p>
      <w:pPr>
        <w:spacing w:before="0" w:after="120" w:line="360" w:lineRule="exact"/>
        <w:jc w:val="both"/>
      </w:pPr>
      <w:r>
        <w:rPr>
          <w:rFonts w:ascii="Arial" w:hAnsi="Arial"/>
          <w:b w:val="0"/>
          <w:i w:val="0"/>
          <w:sz w:val="24"/>
        </w:rPr>
        <w:t>2.1 – Contradição entre a qualificação de "insurgência genérica" e o conteúdo efetivo do agravo regimental</w:t>
      </w:r>
    </w:p>
    <w:p>
      <w:pPr>
        <w:spacing w:before="0" w:after="120" w:line="360" w:lineRule="exact"/>
        <w:jc w:val="both"/>
      </w:pPr>
      <w:r>
        <w:rPr>
          <w:rFonts w:ascii="Arial" w:hAnsi="Arial"/>
          <w:b w:val="0"/>
          <w:i w:val="0"/>
          <w:sz w:val="24"/>
        </w:rPr>
        <w:t>O acórdão embargado padece, ainda, de manifesta contradição.</w:t>
      </w:r>
    </w:p>
    <w:p>
      <w:pPr>
        <w:spacing w:before="0" w:after="120" w:line="360" w:lineRule="exact"/>
        <w:jc w:val="both"/>
      </w:pPr>
      <w:r>
        <w:rPr>
          <w:rFonts w:ascii="Arial" w:hAnsi="Arial"/>
          <w:b w:val="0"/>
          <w:i w:val="0"/>
          <w:sz w:val="24"/>
        </w:rPr>
        <w:t>A ementa do julgado qualifica a impugnação do embargante como "INSURGÊNCIA GENÉRICA". Ocorre que o agravo regimental interposto contém argumentação detalhada, distribuída em 2 (dois) tópicos específicos (II.1 e II.2), com citação literal de trechos dos arestos recorridos e da decisão agravada, indicação precisa dos fundamentos que se pretendeu impugnar, demonstração da divergência com a jurisprudência dessa Colenda Corte Superior e colação de precedentes específicos (AgRg no AREsp n. 1.719.549, HC n. 315.220/RS e HC n. 100.382/MG), ao longo de 10 (dez) laudas de argumentação fundamentada.</w:t>
      </w:r>
    </w:p>
    <w:p>
      <w:pPr>
        <w:spacing w:before="0" w:after="120" w:line="360" w:lineRule="exact"/>
        <w:jc w:val="both"/>
      </w:pPr>
      <w:r>
        <w:rPr>
          <w:rFonts w:ascii="Arial" w:hAnsi="Arial"/>
          <w:b w:val="0"/>
          <w:i w:val="0"/>
          <w:sz w:val="24"/>
        </w:rPr>
        <w:t>Ora, Excelência, não há como qualificar como "genérica" uma impugnação que dedica mais de 10 (dez) laudas à demonstração pormenorizada das razões pelas quais cada um dos fundamentos da decisão agravada não subsiste, com cotejo analítico entre o entendimento firmado pela Corte local e a jurisprudência dessa Corte Superior.</w:t>
      </w:r>
    </w:p>
    <w:p>
      <w:pPr>
        <w:spacing w:before="0" w:after="120" w:line="360" w:lineRule="exact"/>
        <w:jc w:val="both"/>
      </w:pPr>
      <w:r>
        <w:rPr>
          <w:rFonts w:ascii="Arial" w:hAnsi="Arial"/>
          <w:b w:val="0"/>
          <w:i w:val="0"/>
          <w:sz w:val="24"/>
        </w:rPr>
        <w:t>A contradição reside, portanto, na conclusão de que o agravante teria feito "insurgência genérica" quando, em verdade, o agravo regimental apresentou impugnação específica, fundamentada e pormenorizada a cada um dos fundamentos da decisão monocrática que não conheceu do agravo em recurso especial. É dizer: o acórdão embargado qualifica como genérico aquilo que, pela sua própria extensão e conteúdo, é manifestamente específico, o que configura contradição interna no julgado, sanável pela via dos embargos de declaração (art. 1.022, I, do CPC).</w:t>
      </w:r>
    </w:p>
    <w:p>
      <w:pPr>
        <w:spacing w:before="240" w:after="120"/>
        <w:jc w:val="left"/>
      </w:pPr>
      <w:r>
        <w:rPr>
          <w:rFonts w:ascii="Arial" w:hAnsi="Arial"/>
          <w:b/>
          <w:i w:val="0"/>
          <w:sz w:val="24"/>
        </w:rPr>
        <w:t>III – DOS EFEITOS INFRINGENTES</w:t>
      </w:r>
    </w:p>
    <w:p>
      <w:pPr>
        <w:spacing w:before="0" w:after="120" w:line="360" w:lineRule="exact"/>
        <w:jc w:val="both"/>
      </w:pPr>
      <w:r>
        <w:rPr>
          <w:rFonts w:ascii="Arial" w:hAnsi="Arial"/>
          <w:b w:val="0"/>
          <w:i w:val="0"/>
          <w:sz w:val="24"/>
        </w:rPr>
        <w:t>Os vícios apontados, uma vez sanados, conduzem inevitavelmente à modificação do resultado do julgamento, razão pela qual se requer a atribuição de efeitos infringentes aos presentes aclaratórios.</w:t>
      </w:r>
    </w:p>
    <w:p>
      <w:pPr>
        <w:spacing w:before="0" w:after="120" w:line="360" w:lineRule="exact"/>
        <w:jc w:val="both"/>
      </w:pPr>
      <w:r>
        <w:rPr>
          <w:rFonts w:ascii="Arial" w:hAnsi="Arial"/>
          <w:b w:val="0"/>
          <w:i w:val="0"/>
          <w:sz w:val="24"/>
        </w:rPr>
        <w:t>Com efeito, a jurisprudência desse Colendo Superior Tribunal de Justiça admite a atribuição de efeitos infringentes aos embargos de declaração quando o saneamento do vício implica, necessariamente, a alteração do julgado. Nesse sentido, "os embargos de declaração, excepcionalmente, podem ter efeitos infringentes (modificativos), desde que sanado o vício (omissão, contradição, obscuridade ou erro material), a conclusão do julgamento seja alterada" (EDcl no AgRg no AREsp n. 420.911/RS, rel. Min. Og Fernandes, Sexta Turma, j. em 18.11.2014).</w:t>
      </w:r>
    </w:p>
    <w:p>
      <w:pPr>
        <w:spacing w:before="0" w:after="120" w:line="360" w:lineRule="exact"/>
        <w:jc w:val="both"/>
      </w:pPr>
      <w:r>
        <w:rPr>
          <w:rFonts w:ascii="Arial" w:hAnsi="Arial"/>
          <w:b w:val="0"/>
          <w:i w:val="0"/>
          <w:sz w:val="24"/>
        </w:rPr>
        <w:t>No caso vertente, o reconhecimento das omissões apontadas — com o consequente enfrentamento dos argumentos específicos apresentados no agravo regimental — conduz ao afastamento da Súmula n. 182/STJ, porquanto restará demonstrado que o embargante impugnou, sim, de forma específica e pormenorizada, todos os fundamentos da decisão que não admitiu o recurso especial na origem.</w:t>
      </w:r>
    </w:p>
    <w:p>
      <w:pPr>
        <w:spacing w:before="0" w:after="120" w:line="360" w:lineRule="exact"/>
        <w:jc w:val="both"/>
      </w:pPr>
      <w:r>
        <w:rPr>
          <w:rFonts w:ascii="Arial" w:hAnsi="Arial"/>
          <w:b w:val="0"/>
          <w:i w:val="0"/>
          <w:sz w:val="24"/>
        </w:rPr>
        <w:t>Ademais, o saneamento da contradição entre a qualificação de "insurgência genérica" e o conteúdo efetivo do agravo regimental reforça a necessidade de reforma do acórdão embargado, porquanto demonstra que a premissa que alicerça o julgamento — a suposta genericidade da impugnação — não encontra respaldo na realidade processual.</w:t>
      </w:r>
    </w:p>
    <w:p>
      <w:pPr>
        <w:spacing w:before="0" w:after="120" w:line="360" w:lineRule="exact"/>
        <w:jc w:val="both"/>
      </w:pPr>
      <w:r>
        <w:rPr>
          <w:rFonts w:ascii="Arial" w:hAnsi="Arial"/>
          <w:b w:val="0"/>
          <w:i w:val="0"/>
          <w:sz w:val="24"/>
        </w:rPr>
        <w:t>Desse modo, impõe-se a atribuição de efeitos infringentes para reformar o acórdão embargado e dar provimento ao agravo regimental, com a consequente admissão e regular processamento do recurso especial interposto.</w:t>
      </w:r>
    </w:p>
    <w:p>
      <w:pPr>
        <w:spacing w:before="240" w:after="120"/>
        <w:jc w:val="left"/>
      </w:pPr>
      <w:r>
        <w:rPr>
          <w:rFonts w:ascii="Arial" w:hAnsi="Arial"/>
          <w:b/>
          <w:i w:val="0"/>
          <w:sz w:val="24"/>
        </w:rPr>
        <w:t>IV – DA NECESSIDADE DE INTIMAÇÃO DA PARTE EMBARGADA PARA MANIFESTAÇÃO</w:t>
      </w:r>
    </w:p>
    <w:p>
      <w:pPr>
        <w:spacing w:before="0" w:after="120" w:line="360" w:lineRule="exact"/>
        <w:jc w:val="both"/>
      </w:pPr>
      <w:r>
        <w:rPr>
          <w:rFonts w:ascii="Arial" w:hAnsi="Arial"/>
          <w:b w:val="0"/>
          <w:i w:val="0"/>
          <w:sz w:val="24"/>
        </w:rPr>
        <w:t>Excelência, considerando que os presentes embargos de declaração veiculam pedido expresso de efeitos infringentes, requer o embargante que a Procuradoria-Geral da República seja intimada para, querendo, apresentar impugnação aos presentes aclaratórios, no prazo de 5 (cinco) dias, nos termos do art. 1.023, §2º, do CPC, aplicado subsidiariamente ao processo penal por força do art. 3º do CPP.</w:t>
      </w:r>
    </w:p>
    <w:p>
      <w:pPr>
        <w:spacing w:before="0" w:after="120" w:line="360" w:lineRule="exact"/>
        <w:jc w:val="both"/>
      </w:pPr>
      <w:r>
        <w:rPr>
          <w:rFonts w:ascii="Arial" w:hAnsi="Arial"/>
          <w:b w:val="0"/>
          <w:i w:val="0"/>
          <w:sz w:val="24"/>
        </w:rPr>
        <w:t>Com efeito, o referido dispositivo legal é categórico ao estabelecer que "O juiz intimará o embargado para, querendo, manifestar-se, no prazo de 5 (cinco) dias, sobre os embargos opostos, caso seu eventual acolhimento implique a modificação da decisão embargada". No caso vertente, como demonstrado na seção III, o acolhimento dos presentes aclaratórios conduz, inevitavelmente, à modificação do resultado do julgamento, com a reforma do acórdão embargado e o provimento do agravo regimental, o que torna obrigatória a intimação prévia da parte embargada.</w:t>
      </w:r>
    </w:p>
    <w:p>
      <w:pPr>
        <w:spacing w:before="0" w:after="120" w:line="360" w:lineRule="exact"/>
        <w:jc w:val="both"/>
      </w:pPr>
      <w:r>
        <w:rPr>
          <w:rFonts w:ascii="Arial" w:hAnsi="Arial"/>
          <w:b w:val="0"/>
          <w:i w:val="0"/>
          <w:sz w:val="24"/>
        </w:rPr>
        <w:t>Essa exigência, aliás, não se limita ao cumprimento formal do art. 1.023, §2º, do CPC, mas decorre diretamente dos postulados constitucionais do contraditório, da ampla defesa e do devido processo legal (art. 5º, incisos LIV e LV, da Constituição Federal), que asseguram a ambas as partes o direito de participar efetivamente da construção da decisão judicial. Nesse sentido, esse Colendo Superior Tribunal de Justiça firmou entendimento no sentido de que "a atribuição de efeitos modificativos aos Embargos de Declaração reclama a intimação prévia do embargado para apresentar impugnação, sob pena de ofensa aos postulados constitucionais do contraditório e da ampla defesa" (REsp n. 1.841.584/SP, rel. Min. Ricardo Villas Bôas Cueva, Terceira Turma, j. em 10.12.2019).</w:t>
      </w:r>
    </w:p>
    <w:p>
      <w:pPr>
        <w:spacing w:before="0" w:after="120" w:line="360" w:lineRule="exact"/>
        <w:jc w:val="both"/>
      </w:pPr>
      <w:r>
        <w:rPr>
          <w:rFonts w:ascii="Arial" w:hAnsi="Arial"/>
          <w:b w:val="0"/>
          <w:i w:val="0"/>
          <w:sz w:val="24"/>
        </w:rPr>
        <w:t>Não fosse isso o suficiente, a intimação prévia se mostra imprescindível também em observância à vedação à decisão surpresa, positivada no art. 10 do CPC, segundo o qual "o juiz não pode decidir, em grau algum de jurisdição, com base em fundamento a respeito do qual não se tenha dado às partes oportunidade de se manifestar, ainda que se trate de matéria sobre a qual deva decidir de ofício". Ora, sendo o julgamento dos presentes aclaratórios submetido à Colenda Sexta Turma, órgão colegiado no qual cada Eminente Ministro pode apresentar posicionamento divergente e acolher ou rejeitar os vícios aqui apontados com fundamentos próprios, a intimação prévia do embargado assegura que eventual posicionamento divergente não surpreenda as partes, garantindo a possibilidade de manifestação sobre questões que possam influenciar o resultado do julgamento.</w:t>
      </w:r>
    </w:p>
    <w:p>
      <w:pPr>
        <w:spacing w:before="0" w:after="120" w:line="360" w:lineRule="exact"/>
        <w:jc w:val="both"/>
      </w:pPr>
      <w:r>
        <w:rPr>
          <w:rFonts w:ascii="Arial" w:hAnsi="Arial"/>
          <w:b w:val="0"/>
          <w:i w:val="0"/>
          <w:sz w:val="24"/>
        </w:rPr>
        <w:t>Portanto, requer o embargante que, antes da inclusão dos presentes embargos de declaração em pauta para julgamento pela Colenda Sexta Turma, seja a Procuradoria-Geral da República intimada para, querendo, apresentar impugnação no prazo legal de 5 (cinco) dias, sob pena de nulidade do julgamento por ofensa ao contraditório (art. 5º, LV, da CF) e à vedação à decisão surpresa (art. 10 do CPC).</w:t>
      </w:r>
    </w:p>
    <w:p>
      <w:pPr>
        <w:spacing w:before="240" w:after="120"/>
        <w:jc w:val="left"/>
      </w:pPr>
      <w:r>
        <w:rPr>
          <w:rFonts w:ascii="Arial" w:hAnsi="Arial"/>
          <w:b/>
          <w:i w:val="0"/>
          <w:sz w:val="24"/>
        </w:rPr>
        <w:t>V – DO PREQUESTIONAMENTO DOS DISPOSITIVOS CONSTITUCIONAIS</w:t>
      </w:r>
    </w:p>
    <w:p>
      <w:pPr>
        <w:spacing w:before="0" w:after="120" w:line="360" w:lineRule="exact"/>
        <w:jc w:val="both"/>
      </w:pPr>
      <w:r>
        <w:rPr>
          <w:rFonts w:ascii="Arial" w:hAnsi="Arial"/>
          <w:b w:val="0"/>
          <w:i w:val="0"/>
          <w:sz w:val="24"/>
        </w:rPr>
        <w:t>Para fins de prequestionamento, nos termos do art. 1.025 do CPC, o embargante suscita, para eventual interposição de recurso extraordinário, a violação aos dispositivos constitucionais a seguir indicados, cuja configuração restará evidenciada caso as omissões e a contradição apontadas nestes aclaratórios não sejam devidamente sanadas.</w:t>
      </w:r>
    </w:p>
    <w:p>
      <w:pPr>
        <w:spacing w:before="0" w:after="120" w:line="360" w:lineRule="exact"/>
        <w:jc w:val="both"/>
      </w:pPr>
      <w:r>
        <w:rPr>
          <w:rFonts w:ascii="Arial" w:hAnsi="Arial"/>
          <w:b w:val="0"/>
          <w:i w:val="0"/>
          <w:sz w:val="24"/>
        </w:rPr>
        <w:t>Com efeito, se o acórdão embargado persistir em não enfrentar os argumentos específicos deduzidos no agravo regimental — notadamente quanto à ilicitude da interceptação postal sem autorização judicial, à inadmissibilidade das provas dela derivadas e aos vícios na dosimetria da pena —, restará configurada ofensa aos arts. 5º, XII (sigilo de correspondência), 5º, LVI (inadmissibilidade de provas ilícitas), e 5º, XLVI (individualização da pena), todos da Constituição Federal.</w:t>
      </w:r>
    </w:p>
    <w:p>
      <w:pPr>
        <w:spacing w:before="0" w:after="120" w:line="360" w:lineRule="exact"/>
        <w:jc w:val="both"/>
      </w:pPr>
      <w:r>
        <w:rPr>
          <w:rFonts w:ascii="Arial" w:hAnsi="Arial"/>
          <w:b w:val="0"/>
          <w:i w:val="0"/>
          <w:sz w:val="24"/>
        </w:rPr>
        <w:t>De igual modo, a manutenção do aresto sem a devida explicitação das razões pelas quais os argumentos concretamente apresentados teriam sido considerados insuficientes — e, ainda, sem o enfrentamento da omissão do Tribunal de origem quanto às circunstâncias judiciais do art. 59 do CP — importará em violação ao art. 93, IX, da Constituição Federal, que impõe a fundamentação de todas as decisões judiciais, sob pena de nulidade.</w:t>
      </w:r>
    </w:p>
    <w:p>
      <w:pPr>
        <w:spacing w:before="240" w:after="120"/>
        <w:jc w:val="left"/>
      </w:pPr>
      <w:r>
        <w:rPr>
          <w:rFonts w:ascii="Arial" w:hAnsi="Arial"/>
          <w:b/>
          <w:i w:val="0"/>
          <w:sz w:val="24"/>
        </w:rPr>
        <w:t>VI – DOS PEDIDOS</w:t>
      </w:r>
    </w:p>
    <w:p>
      <w:pPr>
        <w:spacing w:before="0" w:after="120" w:line="360" w:lineRule="exact"/>
        <w:jc w:val="both"/>
      </w:pPr>
      <w:r>
        <w:rPr>
          <w:rFonts w:ascii="Arial" w:hAnsi="Arial"/>
          <w:b w:val="0"/>
          <w:i w:val="0"/>
          <w:sz w:val="24"/>
        </w:rPr>
        <w:t>Ante o exposto, são estes aclaratórios para requerer:</w:t>
      </w:r>
    </w:p>
    <w:p>
      <w:pPr>
        <w:spacing w:after="80" w:line="360" w:lineRule="exact"/>
        <w:ind w:left="850"/>
        <w:jc w:val="both"/>
      </w:pPr>
      <w:r>
        <w:rPr>
          <w:rFonts w:ascii="Arial" w:hAnsi="Arial"/>
          <w:b w:val="0"/>
          <w:i w:val="0"/>
          <w:sz w:val="24"/>
        </w:rPr>
        <w:t>a) a intimação da Procuradoria-Geral da República para, querendo, apresentar impugnação aos presentes embargos de declaração no prazo de 5 (cinco) dias, nos termos do art. 1.023, §2º, do CPC, previamente à inclusão em pauta para julgamento;</w:t>
      </w:r>
    </w:p>
    <w:p>
      <w:pPr>
        <w:spacing w:after="80" w:line="360" w:lineRule="exact"/>
        <w:ind w:left="850"/>
        <w:jc w:val="both"/>
      </w:pPr>
      <w:r>
        <w:rPr>
          <w:rFonts w:ascii="Arial" w:hAnsi="Arial"/>
          <w:b w:val="0"/>
          <w:i w:val="0"/>
          <w:sz w:val="24"/>
        </w:rPr>
        <w:t>b) o recebimento e acolhimento dos presentes embargos de declaração;</w:t>
      </w:r>
    </w:p>
    <w:p>
      <w:pPr>
        <w:spacing w:after="80" w:line="360" w:lineRule="exact"/>
        <w:ind w:left="850"/>
        <w:jc w:val="both"/>
      </w:pPr>
      <w:r>
        <w:rPr>
          <w:rFonts w:ascii="Arial" w:hAnsi="Arial"/>
          <w:b w:val="0"/>
          <w:i w:val="0"/>
          <w:sz w:val="24"/>
        </w:rPr>
        <w:t>c) o saneamento das omissões apontadas (itens 1.1, 1.2 e 1.3), com o enfrentamento dos argumentos específicos apresentados no agravo regimental que demonstram a impugnação pormenorizada de todos os fundamentos da decisão agravada e a inaplicabilidade da Súmula n. 182/STJ ao caso vertente;</w:t>
      </w:r>
    </w:p>
    <w:p>
      <w:pPr>
        <w:spacing w:after="80" w:line="360" w:lineRule="exact"/>
        <w:ind w:left="850"/>
        <w:jc w:val="both"/>
      </w:pPr>
      <w:r>
        <w:rPr>
          <w:rFonts w:ascii="Arial" w:hAnsi="Arial"/>
          <w:b w:val="0"/>
          <w:i w:val="0"/>
          <w:sz w:val="24"/>
        </w:rPr>
        <w:t>d) o saneamento da contradição apontada (item 2.1), relativa à qualificação da impugnação como "insurgência genérica" quando, em verdade, os argumentos foram apresentados de forma específica, fundamentada e detalhada;</w:t>
      </w:r>
    </w:p>
    <w:p>
      <w:pPr>
        <w:spacing w:after="80" w:line="360" w:lineRule="exact"/>
        <w:ind w:left="850"/>
        <w:jc w:val="both"/>
      </w:pPr>
      <w:r>
        <w:rPr>
          <w:rFonts w:ascii="Arial" w:hAnsi="Arial"/>
          <w:b w:val="0"/>
          <w:i w:val="0"/>
          <w:sz w:val="24"/>
        </w:rPr>
        <w:t>e) a atribuição de efeitos infringentes aos presentes embargos de declaração, com a reforma do acórdão embargado para dar provimento ao agravo regimental e admitir o regular processamento do recurso especial;</w:t>
      </w:r>
    </w:p>
    <w:p>
      <w:pPr>
        <w:spacing w:after="80" w:line="360" w:lineRule="exact"/>
        <w:ind w:left="850"/>
        <w:jc w:val="both"/>
      </w:pPr>
      <w:r>
        <w:rPr>
          <w:rFonts w:ascii="Arial" w:hAnsi="Arial"/>
          <w:b w:val="0"/>
          <w:i w:val="0"/>
          <w:sz w:val="24"/>
        </w:rPr>
        <w:t>f) para fins de prequestionamento, a manifestação expressa sobre os arts. 5º, incisos XII, LVI e XLVI, e 93, inciso IX, todos da Constituição Federal.</w:t>
      </w:r>
    </w:p>
    <w:p>
      <w:pPr>
        <w:spacing w:before="0" w:after="120" w:line="360" w:lineRule="exact"/>
        <w:jc w:val="both"/>
      </w:pPr>
      <w:r>
        <w:rPr>
          <w:rFonts w:ascii="Arial" w:hAnsi="Arial"/>
          <w:b w:val="0"/>
          <w:i w:val="0"/>
          <w:sz w:val="24"/>
        </w:rPr>
        <w:t>Pleiteia, por fim, sejam todas as intimações realizadas em nome dos advogados Paulo Ekke Moukarzel Junior, inscrito na OAB/SC sob o nº 36.591, e Bruno Gastão da Rosa, inscrito na OAB/SC sob o nº 47.774, sob pena de nulidade (art. 272, §5º, do CPC).</w:t>
      </w:r>
    </w:p>
    <w:p>
      <w:pPr>
        <w:spacing w:before="0" w:after="120" w:line="360" w:lineRule="exact"/>
        <w:jc w:val="both"/>
      </w:pPr>
      <w:r>
        <w:rPr>
          <w:rFonts w:ascii="Arial" w:hAnsi="Arial"/>
          <w:b w:val="0"/>
          <w:i w:val="0"/>
          <w:sz w:val="24"/>
        </w:rPr>
        <w:t>Pede deferimento.</w:t>
      </w:r>
    </w:p>
    <w:p>
      <w:pPr>
        <w:spacing w:before="0" w:after="120" w:line="360" w:lineRule="exact"/>
        <w:jc w:val="both"/>
      </w:pPr>
      <w:r>
        <w:rPr>
          <w:rFonts w:ascii="Arial" w:hAnsi="Arial"/>
          <w:b w:val="0"/>
          <w:i w:val="0"/>
          <w:sz w:val="24"/>
        </w:rPr>
        <w:t>Florianópolis, 12 de março de 2026.</w:t>
      </w:r>
    </w:p>
    <w:p>
      <w:pPr>
        <w:spacing w:before="0" w:after="120" w:line="360" w:lineRule="exact"/>
        <w:jc w:val="both"/>
      </w:pPr>
      <w:r>
        <w:rPr>
          <w:rFonts w:ascii="Arial" w:hAnsi="Arial"/>
          <w:b w:val="0"/>
          <w:i w:val="0"/>
          <w:sz w:val="24"/>
        </w:rPr>
        <w:t>Paulo Ekke Moukarzel Junior</w:t>
        <w:tab/>
        <w:tab/>
        <w:tab/>
        <w:t>Bruno Gastão da Rosa</w:t>
      </w:r>
    </w:p>
    <w:p>
      <w:pPr>
        <w:spacing w:before="120" w:after="120"/>
        <w:jc w:val="center"/>
      </w:pPr>
      <w:r>
        <w:rPr>
          <w:rFonts w:ascii="Arial" w:hAnsi="Arial"/>
          <w:b/>
          <w:i w:val="0"/>
          <w:sz w:val="24"/>
        </w:rPr>
        <w:t>OAB/SC 36.591</w:t>
        <w:tab/>
        <w:tab/>
        <w:tab/>
        <w:tab/>
        <w:tab/>
        <w:t>OAB/SC 47.774</w:t>
      </w:r>
    </w:p>
    <w:p>
      <w:pPr>
        <w:spacing w:before="480" w:after="40"/>
        <w:jc w:val="center"/>
      </w:pPr>
      <w:r>
        <w:rPr>
          <w:rFonts w:ascii="Arial" w:hAnsi="Arial"/>
          <w:b/>
          <w:sz w:val="24"/>
        </w:rPr>
        <w:t>Paulo Ekke Moukarzel Junior</w:t>
      </w:r>
    </w:p>
    <w:p>
      <w:pPr>
        <w:spacing w:before="0" w:after="120"/>
        <w:jc w:val="center"/>
      </w:pPr>
      <w:r>
        <w:rPr>
          <w:rFonts w:ascii="Arial" w:hAnsi="Arial"/>
          <w:sz w:val="24"/>
        </w:rPr>
        <w:t>OAB/SC n. 36.591</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Pagina </w:t>
    </w:r>
    <w:r>
      <w:fldChar w:fldCharType="begin"/>
    </w:r>
    <w:r>
      <w:instrText xml:space="preserve"> PAGE </w:instrText>
    </w:r>
    <w:r>
      <w:fldChar w:fldCharType="end"/>
    </w:r>
    <w:r>
      <w:rPr>
        <w:rFonts w:ascii="Arial" w:hAnsi="Arial"/>
        <w:sz w:val="18"/>
      </w:rPr>
      <w:t xml:space="preserve"> de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Cliente: Carlos Antonio Munaretto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