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BA142" w14:textId="0CFB738A" w:rsidR="000169F1" w:rsidRPr="00F4561F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F4561F">
        <w:rPr>
          <w:rFonts w:ascii="Arial" w:eastAsia="Calibri" w:hAnsi="Arial" w:cs="Times New Roman"/>
          <w:sz w:val="24"/>
          <w:szCs w:val="24"/>
        </w:rPr>
        <w:t xml:space="preserve"> SENHOR MINISTRO JOÃO BATISTA MOREIRA, DIGNÍSSIMO RELATOR DO RECURSO ORDINÁRIO EM </w:t>
      </w:r>
      <w:r w:rsidR="00F4561F">
        <w:rPr>
          <w:rFonts w:ascii="Arial" w:eastAsia="Calibri" w:hAnsi="Arial" w:cs="Times New Roman"/>
          <w:i/>
          <w:iCs/>
          <w:sz w:val="24"/>
          <w:szCs w:val="24"/>
        </w:rPr>
        <w:t xml:space="preserve">HABEAS CORPUS </w:t>
      </w:r>
      <w:r w:rsidR="00F4561F">
        <w:rPr>
          <w:rFonts w:ascii="Arial" w:eastAsia="Calibri" w:hAnsi="Arial" w:cs="Times New Roman"/>
          <w:sz w:val="24"/>
          <w:szCs w:val="24"/>
        </w:rPr>
        <w:t xml:space="preserve">N. </w:t>
      </w:r>
      <w:r w:rsidR="00F4561F" w:rsidRPr="00F4561F">
        <w:rPr>
          <w:rFonts w:ascii="Arial" w:eastAsia="Calibri" w:hAnsi="Arial" w:cs="Times New Roman"/>
          <w:sz w:val="24"/>
          <w:szCs w:val="24"/>
        </w:rPr>
        <w:t>181</w:t>
      </w:r>
      <w:r w:rsidR="00F4561F">
        <w:rPr>
          <w:rFonts w:ascii="Arial" w:eastAsia="Calibri" w:hAnsi="Arial" w:cs="Times New Roman"/>
          <w:sz w:val="24"/>
          <w:szCs w:val="24"/>
        </w:rPr>
        <w:t>.</w:t>
      </w:r>
      <w:r w:rsidR="00F4561F" w:rsidRPr="00F4561F">
        <w:rPr>
          <w:rFonts w:ascii="Arial" w:eastAsia="Calibri" w:hAnsi="Arial" w:cs="Times New Roman"/>
          <w:sz w:val="24"/>
          <w:szCs w:val="24"/>
        </w:rPr>
        <w:t>648</w:t>
      </w:r>
      <w:r w:rsidR="00F4561F">
        <w:rPr>
          <w:rFonts w:ascii="Arial" w:eastAsia="Calibri" w:hAnsi="Arial" w:cs="Times New Roman"/>
          <w:sz w:val="24"/>
          <w:szCs w:val="24"/>
        </w:rPr>
        <w:t>/SC</w:t>
      </w:r>
    </w:p>
    <w:p w14:paraId="18E63FD7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42BCCEF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F61BEA6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3DBA744" w14:textId="79000061" w:rsidR="000169F1" w:rsidRPr="00136102" w:rsidRDefault="00F4561F" w:rsidP="00F4561F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RHC n. 181.648/SC</w:t>
      </w:r>
      <w:r w:rsidR="000169F1">
        <w:rPr>
          <w:rFonts w:ascii="Arial" w:eastAsia="Calibri" w:hAnsi="Arial" w:cs="Times New Roman"/>
          <w:sz w:val="24"/>
          <w:szCs w:val="24"/>
        </w:rPr>
        <w:tab/>
      </w:r>
    </w:p>
    <w:p w14:paraId="2CACC80D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B836739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B1BE100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793C165" w14:textId="6596C1A4" w:rsidR="000169F1" w:rsidRPr="00F4561F" w:rsidRDefault="00F4561F" w:rsidP="000169F1">
      <w:pPr>
        <w:pStyle w:val="Qualificaodaspartes"/>
      </w:pPr>
      <w:r>
        <w:rPr>
          <w:b/>
        </w:rPr>
        <w:t>LICOLN ZAGHI JÚNIOR</w:t>
      </w:r>
      <w:r w:rsidR="000169F1" w:rsidRPr="00A814BD">
        <w:t xml:space="preserve">, </w:t>
      </w:r>
      <w:r>
        <w:t xml:space="preserve">já qualificado nos autos do recurso ordinário constitucional em </w:t>
      </w:r>
      <w:r>
        <w:rPr>
          <w:i/>
          <w:iCs/>
        </w:rPr>
        <w:t xml:space="preserve">habeas corpus </w:t>
      </w:r>
      <w:r>
        <w:t>n. 181.648/SC,</w:t>
      </w:r>
      <w:r w:rsidR="00902AE7">
        <w:t xml:space="preserve"> em que é recorrido o MINISTÉRIO PÚBLICO DO ESTADO DE SANTA CATARINA,</w:t>
      </w:r>
      <w:r>
        <w:t xml:space="preserve">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</w:t>
      </w:r>
      <w:r w:rsidR="007F0F80">
        <w:t xml:space="preserve"> juntar aos autos </w:t>
      </w:r>
      <w:r w:rsidR="007F0F80">
        <w:rPr>
          <w:b/>
          <w:bCs w:val="0"/>
          <w:i/>
          <w:iCs/>
        </w:rPr>
        <w:t>MEMORIAIS</w:t>
      </w:r>
      <w:r w:rsidR="007F0F80">
        <w:t>, nos termos delineados a seguir</w:t>
      </w:r>
      <w:r>
        <w:t>.</w:t>
      </w:r>
    </w:p>
    <w:p w14:paraId="56AF6259" w14:textId="6E8AA567" w:rsidR="00422D19" w:rsidRDefault="00422D19" w:rsidP="00422D19">
      <w:pPr>
        <w:pStyle w:val="Ttulo2"/>
        <w:ind w:left="0"/>
        <w:rPr>
          <w:rFonts w:eastAsia="Calibri"/>
        </w:rPr>
      </w:pPr>
    </w:p>
    <w:p w14:paraId="117DA42D" w14:textId="57F84532" w:rsidR="00422D19" w:rsidRPr="006F156A" w:rsidRDefault="008455B5" w:rsidP="00422D19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8"/>
          <w:szCs w:val="18"/>
        </w:rPr>
      </w:pPr>
      <w:r>
        <w:rPr>
          <w:rFonts w:eastAsia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70970D" wp14:editId="33D0FA49">
                <wp:simplePos x="0" y="0"/>
                <wp:positionH relativeFrom="column">
                  <wp:posOffset>90170</wp:posOffset>
                </wp:positionH>
                <wp:positionV relativeFrom="paragraph">
                  <wp:posOffset>61595</wp:posOffset>
                </wp:positionV>
                <wp:extent cx="5753100" cy="1162050"/>
                <wp:effectExtent l="0" t="0" r="19050" b="19050"/>
                <wp:wrapNone/>
                <wp:docPr id="1756128243" name="Retângulo: Cantos Diagonai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116205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CE509" id="Retângulo: Cantos Diagonais Arredondados 2" o:spid="_x0000_s1026" style="position:absolute;margin-left:7.1pt;margin-top:4.85pt;width:453pt;height:9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753100,1162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" path="m193679,l5753100,r,l5753100,968371v,106966,-86713,193679,-193679,193679l,1162050r,l,193679c,86713,86713,,193679,xe" filled="f" strokecolor="#8eaadb [1940]" strokeweight="1pt">
                <v:stroke joinstyle="miter"/>
                <v:path arrowok="t" o:connecttype="custom" o:connectlocs="193679,0;5753100,0;5753100,0;5753100,968371;5559421,1162050;0,1162050;0,1162050;0,193679;193679,0" o:connectangles="0,0,0,0,0,0,0,0,0"/>
              </v:shape>
            </w:pict>
          </mc:Fallback>
        </mc:AlternateContent>
      </w:r>
      <w:r w:rsidR="00422D19">
        <w:rPr>
          <w:rFonts w:ascii="Arial" w:eastAsia="Calibri" w:hAnsi="Arial" w:cs="Times New Roman"/>
          <w:sz w:val="24"/>
          <w:szCs w:val="24"/>
        </w:rPr>
        <w:tab/>
      </w:r>
    </w:p>
    <w:p w14:paraId="1C101D6E" w14:textId="77777777" w:rsidR="00422D19" w:rsidRPr="002C4B1A" w:rsidRDefault="00422D19" w:rsidP="00422D19">
      <w:pPr>
        <w:pStyle w:val="Ttulo"/>
        <w:jc w:val="center"/>
        <w:rPr>
          <w:rFonts w:cs="Arial"/>
        </w:rPr>
      </w:pPr>
      <w:r w:rsidRPr="002C4B1A">
        <w:rPr>
          <w:rFonts w:cs="Arial"/>
        </w:rPr>
        <w:t xml:space="preserve">MEMORIAIS PELO </w:t>
      </w:r>
      <w:r>
        <w:rPr>
          <w:rFonts w:cs="Arial"/>
        </w:rPr>
        <w:t>RECORRENTE</w:t>
      </w:r>
    </w:p>
    <w:p w14:paraId="3145B896" w14:textId="77777777" w:rsidR="00422D19" w:rsidRPr="006F156A" w:rsidRDefault="00422D19" w:rsidP="00422D19">
      <w:pPr>
        <w:pStyle w:val="Ttulo"/>
        <w:rPr>
          <w:rFonts w:cs="Arial"/>
          <w:sz w:val="20"/>
          <w:szCs w:val="22"/>
        </w:rPr>
      </w:pPr>
    </w:p>
    <w:p w14:paraId="0F89F632" w14:textId="6728C519" w:rsidR="00422D19" w:rsidRPr="002C4B1A" w:rsidRDefault="00422D19" w:rsidP="00422D19">
      <w:pPr>
        <w:pStyle w:val="Ttulo"/>
        <w:jc w:val="center"/>
        <w:rPr>
          <w:rFonts w:cs="Arial"/>
        </w:rPr>
      </w:pPr>
      <w:r w:rsidRPr="002C4B1A">
        <w:rPr>
          <w:rFonts w:cs="Arial"/>
        </w:rPr>
        <w:t>EMINENTE</w:t>
      </w:r>
      <w:r w:rsidR="00BF6747">
        <w:rPr>
          <w:rFonts w:cs="Arial"/>
        </w:rPr>
        <w:t xml:space="preserve">S MINISTROS INTEGRANTES DA </w:t>
      </w:r>
      <w:r w:rsidRPr="002C4B1A">
        <w:rPr>
          <w:rFonts w:cs="Arial"/>
        </w:rPr>
        <w:t xml:space="preserve">COLENDA </w:t>
      </w:r>
      <w:r>
        <w:rPr>
          <w:rFonts w:cs="Arial"/>
        </w:rPr>
        <w:t>5ª TURMA DO SUPERIOR TRIBUNAL DE JUSTIÇA</w:t>
      </w:r>
    </w:p>
    <w:p w14:paraId="3AB6A0E0" w14:textId="77777777" w:rsidR="00422D19" w:rsidRPr="0029415C" w:rsidRDefault="00422D19" w:rsidP="00422D19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16"/>
          <w:szCs w:val="16"/>
        </w:rPr>
      </w:pPr>
    </w:p>
    <w:p w14:paraId="0B467A82" w14:textId="33398D43" w:rsidR="00422D19" w:rsidRPr="005C4689" w:rsidRDefault="00422D19" w:rsidP="00422D19">
      <w:pPr>
        <w:pStyle w:val="Ttulo"/>
      </w:pPr>
      <w:r w:rsidRPr="005C4689">
        <w:t>I –</w:t>
      </w:r>
      <w:r>
        <w:t xml:space="preserve"> RESUMO DA DEMANDA</w:t>
      </w:r>
    </w:p>
    <w:p w14:paraId="29D68B7E" w14:textId="77777777" w:rsidR="00422D19" w:rsidRPr="004A3F4E" w:rsidRDefault="00422D19" w:rsidP="00422D19">
      <w:pPr>
        <w:pStyle w:val="Ttulo2"/>
      </w:pPr>
    </w:p>
    <w:p w14:paraId="26B23871" w14:textId="77777777" w:rsidR="00422D19" w:rsidRDefault="00422D19" w:rsidP="00422D19">
      <w:pPr>
        <w:pStyle w:val="SemEspaamento"/>
      </w:pPr>
      <w:r>
        <w:t xml:space="preserve">O recorrente foi denunciado pelo suposto crime de homicídio doloso qualificado por motivo fútil </w:t>
      </w:r>
      <w:r w:rsidRPr="00824182">
        <w:rPr>
          <w:sz w:val="20"/>
          <w:szCs w:val="18"/>
        </w:rPr>
        <w:t xml:space="preserve">(art. 121, §2º, II, do CP) </w:t>
      </w:r>
      <w:r>
        <w:t xml:space="preserve">e pelo delito de porte ilegal de arma de fogo de uso permitido </w:t>
      </w:r>
      <w:r w:rsidRPr="006A244E">
        <w:rPr>
          <w:sz w:val="20"/>
          <w:szCs w:val="18"/>
        </w:rPr>
        <w:t>(art. 14 da Lei 10.826/03)</w:t>
      </w:r>
      <w:r>
        <w:t xml:space="preserve">, pois, enquanto discutia com Glauco, dono do bar </w:t>
      </w:r>
      <w:proofErr w:type="spellStart"/>
      <w:r>
        <w:t>Whyskenta</w:t>
      </w:r>
      <w:proofErr w:type="spellEnd"/>
      <w:r>
        <w:t xml:space="preserve">, em Campinas/SC, em frente ao estabelecimento, buscou se defender do ofendido </w:t>
      </w:r>
      <w:proofErr w:type="spellStart"/>
      <w:r>
        <w:t>Utan</w:t>
      </w:r>
      <w:proofErr w:type="spellEnd"/>
      <w:r>
        <w:t xml:space="preserve"> </w:t>
      </w:r>
      <w:proofErr w:type="spellStart"/>
      <w:r>
        <w:t>Guaraçaí</w:t>
      </w:r>
      <w:proofErr w:type="spellEnd"/>
      <w:r>
        <w:t xml:space="preserve"> da Rosa Camargo, que, alcoolizado </w:t>
      </w:r>
      <w:r w:rsidRPr="00EB0460">
        <w:rPr>
          <w:sz w:val="20"/>
          <w:szCs w:val="18"/>
        </w:rPr>
        <w:t>(10,85 decigramas de álcool por litro de sangue – evento 1, LAUDO4)</w:t>
      </w:r>
      <w:r>
        <w:t xml:space="preserve"> </w:t>
      </w:r>
      <w:r w:rsidRPr="00094D35">
        <w:t xml:space="preserve">e evidentemente alterado, </w:t>
      </w:r>
      <w:r>
        <w:rPr>
          <w:u w:val="single"/>
        </w:rPr>
        <w:t>contrariou</w:t>
      </w:r>
      <w:r w:rsidRPr="00094D35">
        <w:t xml:space="preserve"> o pedido de sua esposa para não intervir em discussão que </w:t>
      </w:r>
      <w:r w:rsidRPr="00A90535">
        <w:rPr>
          <w:u w:val="single"/>
        </w:rPr>
        <w:t>não</w:t>
      </w:r>
      <w:r w:rsidRPr="00094D35">
        <w:t xml:space="preserve"> lhe dizia respeito </w:t>
      </w:r>
      <w:r w:rsidRPr="00094D35">
        <w:rPr>
          <w:sz w:val="20"/>
          <w:szCs w:val="18"/>
        </w:rPr>
        <w:t>(evento 1, VIDEO3, 9m14s-9m39s)</w:t>
      </w:r>
      <w:r w:rsidRPr="00094D35">
        <w:t xml:space="preserve">, partiu com </w:t>
      </w:r>
      <w:r w:rsidRPr="00A90535">
        <w:rPr>
          <w:u w:val="single"/>
        </w:rPr>
        <w:t>ímpeto</w:t>
      </w:r>
      <w:r w:rsidRPr="00094D35">
        <w:t xml:space="preserve"> e </w:t>
      </w:r>
      <w:r w:rsidRPr="00A90535">
        <w:rPr>
          <w:u w:val="single"/>
        </w:rPr>
        <w:t>agressividade</w:t>
      </w:r>
      <w:r w:rsidRPr="00094D35">
        <w:t xml:space="preserve"> para a direção do </w:t>
      </w:r>
      <w:r>
        <w:t>recorrente</w:t>
      </w:r>
      <w:r w:rsidRPr="00094D35">
        <w:t xml:space="preserve">, consoante </w:t>
      </w:r>
      <w:r w:rsidRPr="00EB393A">
        <w:rPr>
          <w:b/>
          <w:bCs/>
          <w:u w:val="single"/>
        </w:rPr>
        <w:t>registrado</w:t>
      </w:r>
      <w:r w:rsidRPr="00EB393A">
        <w:rPr>
          <w:u w:val="single"/>
        </w:rPr>
        <w:t xml:space="preserve"> por </w:t>
      </w:r>
      <w:r w:rsidRPr="00EB393A">
        <w:rPr>
          <w:b/>
          <w:bCs/>
          <w:u w:val="single"/>
        </w:rPr>
        <w:t>câmera</w:t>
      </w:r>
      <w:r w:rsidRPr="00EB393A">
        <w:rPr>
          <w:u w:val="single"/>
        </w:rPr>
        <w:t xml:space="preserve"> de segurança do local </w:t>
      </w:r>
      <w:r w:rsidRPr="00094D35">
        <w:rPr>
          <w:sz w:val="20"/>
          <w:szCs w:val="18"/>
        </w:rPr>
        <w:t>(evento 1, VIDEO5, 1m1s-1m11s</w:t>
      </w:r>
      <w:r>
        <w:rPr>
          <w:sz w:val="20"/>
          <w:szCs w:val="18"/>
        </w:rPr>
        <w:t xml:space="preserve">, do inquérito policial e </w:t>
      </w:r>
      <w:r>
        <w:rPr>
          <w:b/>
          <w:bCs/>
          <w:sz w:val="20"/>
          <w:szCs w:val="18"/>
        </w:rPr>
        <w:t xml:space="preserve">doc. 1 </w:t>
      </w:r>
      <w:r>
        <w:rPr>
          <w:sz w:val="20"/>
          <w:szCs w:val="18"/>
        </w:rPr>
        <w:t>– anexo</w:t>
      </w:r>
      <w:r w:rsidRPr="00094D35">
        <w:rPr>
          <w:sz w:val="20"/>
          <w:szCs w:val="18"/>
        </w:rPr>
        <w:t>)</w:t>
      </w:r>
      <w:r w:rsidRPr="00094D35">
        <w:t>.</w:t>
      </w:r>
    </w:p>
    <w:p w14:paraId="1E2C0E76" w14:textId="77777777" w:rsidR="00422D19" w:rsidRDefault="00422D19" w:rsidP="00422D19">
      <w:pPr>
        <w:pStyle w:val="SemEspaamento"/>
      </w:pPr>
      <w:r>
        <w:t xml:space="preserve">Para conter a investida do ofendido, cuja </w:t>
      </w:r>
      <w:r w:rsidRPr="00645A11">
        <w:rPr>
          <w:u w:val="single"/>
        </w:rPr>
        <w:t>postura violenta</w:t>
      </w:r>
      <w:r>
        <w:t xml:space="preserve"> foi </w:t>
      </w:r>
      <w:r w:rsidRPr="00EB0460">
        <w:rPr>
          <w:u w:val="single"/>
        </w:rPr>
        <w:t>determinante</w:t>
      </w:r>
      <w:r>
        <w:t xml:space="preserve"> para a ocorrência do resultado, o recorrente sacou a sua arma e, </w:t>
      </w:r>
      <w:r>
        <w:rPr>
          <w:b/>
          <w:bCs/>
        </w:rPr>
        <w:t xml:space="preserve">apontando-a para </w:t>
      </w:r>
      <w:r w:rsidRPr="00EB393A">
        <w:rPr>
          <w:b/>
          <w:bCs/>
          <w:u w:val="single"/>
        </w:rPr>
        <w:t>baixo</w:t>
      </w:r>
      <w:r>
        <w:t xml:space="preserve">, pediu para </w:t>
      </w:r>
      <w:proofErr w:type="spellStart"/>
      <w:r>
        <w:t>Utan</w:t>
      </w:r>
      <w:proofErr w:type="spellEnd"/>
      <w:r>
        <w:t xml:space="preserve"> não se aproximar. Contudo, diante da </w:t>
      </w:r>
      <w:r>
        <w:lastRenderedPageBreak/>
        <w:t xml:space="preserve">investida insistente contra o paciente e, por consequência, da iminente agressão, Lincoln foi obrigado a atuar para salvaguardar a sua integridade física e, infelizmente, ocorreu uma fatalidade </w:t>
      </w:r>
      <w:r w:rsidRPr="00C45ED2">
        <w:rPr>
          <w:sz w:val="20"/>
          <w:szCs w:val="20"/>
        </w:rPr>
        <w:t>(</w:t>
      </w:r>
      <w:r w:rsidRPr="00C45ED2">
        <w:rPr>
          <w:i/>
          <w:iCs/>
          <w:sz w:val="20"/>
          <w:szCs w:val="20"/>
        </w:rPr>
        <w:t xml:space="preserve">vide </w:t>
      </w:r>
      <w:r w:rsidRPr="00C45ED2">
        <w:rPr>
          <w:sz w:val="20"/>
          <w:szCs w:val="20"/>
        </w:rPr>
        <w:t>evento 1, VIDEO5, 1m1s-1m11s</w:t>
      </w:r>
      <w:r>
        <w:rPr>
          <w:sz w:val="20"/>
          <w:szCs w:val="20"/>
        </w:rPr>
        <w:t xml:space="preserve"> da ação penal</w:t>
      </w:r>
      <w:r w:rsidRPr="00C45ED2">
        <w:rPr>
          <w:sz w:val="20"/>
          <w:szCs w:val="20"/>
        </w:rPr>
        <w:t xml:space="preserve"> e </w:t>
      </w:r>
      <w:r w:rsidRPr="00C45ED2">
        <w:rPr>
          <w:b/>
          <w:bCs/>
          <w:sz w:val="20"/>
          <w:szCs w:val="20"/>
        </w:rPr>
        <w:t xml:space="preserve">doc. </w:t>
      </w:r>
      <w:r>
        <w:rPr>
          <w:b/>
          <w:bCs/>
          <w:sz w:val="20"/>
          <w:szCs w:val="20"/>
        </w:rPr>
        <w:t>1</w:t>
      </w:r>
      <w:r>
        <w:rPr>
          <w:sz w:val="20"/>
          <w:szCs w:val="20"/>
        </w:rPr>
        <w:t xml:space="preserve"> – anexo</w:t>
      </w:r>
      <w:r w:rsidRPr="00C45ED2">
        <w:rPr>
          <w:sz w:val="20"/>
          <w:szCs w:val="20"/>
        </w:rPr>
        <w:t>)</w:t>
      </w:r>
      <w:r>
        <w:t>.</w:t>
      </w:r>
    </w:p>
    <w:p w14:paraId="1B337C51" w14:textId="77777777" w:rsidR="00422D19" w:rsidRDefault="00422D19" w:rsidP="00422D19">
      <w:pPr>
        <w:pStyle w:val="SemEspaamento"/>
      </w:pPr>
      <w:r>
        <w:t xml:space="preserve">No curso do inquérito policial, foi decretada a sua prisão preventiva </w:t>
      </w:r>
      <w:r w:rsidRPr="00EB0460">
        <w:rPr>
          <w:sz w:val="20"/>
          <w:szCs w:val="18"/>
        </w:rPr>
        <w:t>(evento 1, DESPDECPART6)</w:t>
      </w:r>
      <w:r>
        <w:t>, para a garantia da ordem pública, em razão de suposta gravidade da conduta e periculosidade do recorrente, com o desígnio de assegurar a aplicação da lei penal, pois existiria risco de fuga no caso, e pela conveniência da instrução criminal.</w:t>
      </w:r>
    </w:p>
    <w:p w14:paraId="2134F2CA" w14:textId="77777777" w:rsidR="00422D19" w:rsidRDefault="00422D19" w:rsidP="00422D19">
      <w:pPr>
        <w:pStyle w:val="SemEspaamento"/>
      </w:pPr>
      <w:r>
        <w:t xml:space="preserve">Concluído o inquérito policial, o paciente requereu a revogação da prisão preventiva </w:t>
      </w:r>
      <w:r w:rsidRPr="004466E9">
        <w:rPr>
          <w:sz w:val="20"/>
          <w:szCs w:val="18"/>
        </w:rPr>
        <w:t xml:space="preserve">(evento </w:t>
      </w:r>
      <w:r>
        <w:rPr>
          <w:sz w:val="20"/>
          <w:szCs w:val="18"/>
        </w:rPr>
        <w:t>1, PET7, do HC</w:t>
      </w:r>
      <w:r w:rsidRPr="004466E9">
        <w:rPr>
          <w:sz w:val="20"/>
          <w:szCs w:val="18"/>
        </w:rPr>
        <w:t>)</w:t>
      </w:r>
      <w:r>
        <w:t xml:space="preserve">, com ou sem fixação de cautelares diversas da prisão, sob o fundamento de que, após a instauração do contraditório, o contraste entre os argumentos apresentados pela defesa e os da decisão que decretou a preventiva revela a </w:t>
      </w:r>
      <w:r w:rsidRPr="00E941B8">
        <w:rPr>
          <w:u w:val="single"/>
        </w:rPr>
        <w:t>ausência</w:t>
      </w:r>
      <w:r>
        <w:t xml:space="preserve"> dos requisitos autorizadores da segregação cautelar.</w:t>
      </w:r>
    </w:p>
    <w:p w14:paraId="0752EE2D" w14:textId="77777777" w:rsidR="00422D19" w:rsidRDefault="00422D19" w:rsidP="00422D19">
      <w:pPr>
        <w:pStyle w:val="SemEspaamento"/>
      </w:pPr>
      <w:r>
        <w:t xml:space="preserve">Esse pedido foi indeferido </w:t>
      </w:r>
      <w:r w:rsidRPr="00E71C10">
        <w:rPr>
          <w:sz w:val="20"/>
          <w:szCs w:val="18"/>
        </w:rPr>
        <w:t>(</w:t>
      </w:r>
      <w:r>
        <w:rPr>
          <w:sz w:val="20"/>
          <w:szCs w:val="18"/>
        </w:rPr>
        <w:t>evento 1, DESPDECPART8, do HC</w:t>
      </w:r>
      <w:r w:rsidRPr="00E71C10">
        <w:rPr>
          <w:sz w:val="20"/>
          <w:szCs w:val="18"/>
        </w:rPr>
        <w:t>)</w:t>
      </w:r>
      <w:r>
        <w:t>, ao argumento de que a prisão deveria ser mantida pelos “</w:t>
      </w:r>
      <w:r w:rsidRPr="00F76303">
        <w:rPr>
          <w:i/>
          <w:iCs/>
        </w:rPr>
        <w:t>seus próprios fundamentos</w:t>
      </w:r>
      <w:r>
        <w:t>”, pois a “</w:t>
      </w:r>
      <w:r w:rsidRPr="00F76303">
        <w:rPr>
          <w:i/>
          <w:iCs/>
        </w:rPr>
        <w:t xml:space="preserve">defesa pretende a análise aprofundada e exaustiva sobre os elementos probatórios colhidos até o momento, providência que, contudo, somente é cabível </w:t>
      </w:r>
      <w:r w:rsidRPr="00EB0460">
        <w:rPr>
          <w:i/>
          <w:iCs/>
          <w:u w:val="single"/>
        </w:rPr>
        <w:t>depois de oportunizada a produção de prova em juízo</w:t>
      </w:r>
      <w:r>
        <w:t>”.</w:t>
      </w:r>
    </w:p>
    <w:p w14:paraId="1387F012" w14:textId="77777777" w:rsidR="00422D19" w:rsidRDefault="00422D19" w:rsidP="00422D19">
      <w:pPr>
        <w:pStyle w:val="SemEspaamento"/>
      </w:pPr>
      <w:r>
        <w:t xml:space="preserve">Diante disso, o recorrente acatou a decisão e aguardou a realização da audiência de instrução e julgamento, ocasião em que pleiteou, novamente, pela revogação da prisão preventiva, sobretudo porque </w:t>
      </w:r>
      <w:r w:rsidRPr="00B64A15">
        <w:rPr>
          <w:u w:val="single"/>
        </w:rPr>
        <w:t>encerrada</w:t>
      </w:r>
      <w:r>
        <w:t xml:space="preserve"> a </w:t>
      </w:r>
      <w:r w:rsidRPr="00B64A15">
        <w:rPr>
          <w:u w:val="single"/>
        </w:rPr>
        <w:t>instrução processual</w:t>
      </w:r>
      <w:r>
        <w:t>, na qual restou demonstrado que</w:t>
      </w:r>
      <w:r w:rsidRPr="009955D4">
        <w:t xml:space="preserve"> </w:t>
      </w:r>
      <w:r>
        <w:t xml:space="preserve">o ofendido não estava envolvido na conversa entre Lincoln e o dono do estabelecimento </w:t>
      </w:r>
      <w:r w:rsidRPr="00E71C10">
        <w:rPr>
          <w:sz w:val="20"/>
          <w:szCs w:val="18"/>
        </w:rPr>
        <w:t>(Glauco)</w:t>
      </w:r>
      <w:r>
        <w:t xml:space="preserve">, mas, comprovadamente alcoolizado, perpetrou </w:t>
      </w:r>
      <w:r w:rsidRPr="00A022E5">
        <w:rPr>
          <w:u w:val="single"/>
        </w:rPr>
        <w:t>conduta</w:t>
      </w:r>
      <w:r>
        <w:t xml:space="preserve"> </w:t>
      </w:r>
      <w:r w:rsidRPr="00A022E5">
        <w:rPr>
          <w:u w:val="single"/>
        </w:rPr>
        <w:t>agressiva</w:t>
      </w:r>
      <w:r>
        <w:t xml:space="preserve"> contra o recorrente, o que foi o </w:t>
      </w:r>
      <w:r w:rsidRPr="00B64A15">
        <w:rPr>
          <w:u w:val="single"/>
        </w:rPr>
        <w:t>fato determinante</w:t>
      </w:r>
      <w:r>
        <w:t xml:space="preserve"> para a atuação de Lincoln em legítima defesa e, infelizmente, para a ocorrência do resultado.</w:t>
      </w:r>
    </w:p>
    <w:p w14:paraId="61118D19" w14:textId="77777777" w:rsidR="00422D19" w:rsidRDefault="00422D19" w:rsidP="00422D19">
      <w:pPr>
        <w:pStyle w:val="SemEspaamento"/>
      </w:pPr>
      <w:r>
        <w:t>No entanto, o pleito foi novamente indeferido, sob o fundamento de que a “</w:t>
      </w:r>
      <w:r w:rsidRPr="00F979A0">
        <w:rPr>
          <w:i/>
          <w:iCs/>
        </w:rPr>
        <w:t>prisão preventiva do réu foi mantida pelo fundamentos já apresentados nas decisões do evento 96 desses autos e do evento 29 dos autos relacionado[s]</w:t>
      </w:r>
      <w:r>
        <w:t xml:space="preserve">” </w:t>
      </w:r>
      <w:r w:rsidRPr="00F979A0">
        <w:rPr>
          <w:sz w:val="20"/>
          <w:szCs w:val="18"/>
        </w:rPr>
        <w:t>(evento 1</w:t>
      </w:r>
      <w:r>
        <w:rPr>
          <w:sz w:val="20"/>
          <w:szCs w:val="18"/>
        </w:rPr>
        <w:t>, CERT_EXT9, do HC</w:t>
      </w:r>
      <w:r w:rsidRPr="00F979A0">
        <w:rPr>
          <w:sz w:val="20"/>
          <w:szCs w:val="18"/>
        </w:rPr>
        <w:t>)</w:t>
      </w:r>
      <w:r>
        <w:t>.</w:t>
      </w:r>
    </w:p>
    <w:p w14:paraId="795ED883" w14:textId="61EB3623" w:rsidR="00422D19" w:rsidRPr="004A3F4E" w:rsidRDefault="00422D19" w:rsidP="00422D19">
      <w:pPr>
        <w:pStyle w:val="SemEspaamento"/>
      </w:pPr>
      <w:r>
        <w:t xml:space="preserve">Impetrado </w:t>
      </w:r>
      <w:r>
        <w:rPr>
          <w:i/>
          <w:iCs/>
        </w:rPr>
        <w:t xml:space="preserve">habeas corpus </w:t>
      </w:r>
      <w:r>
        <w:t>para reconhecer a ilegalidade da prisão, a Colenda 1ª Câmara Criminal do Tribunal de Justiça catarinense denegou a ordem requerida, utilizando-se dos mesmos argumentos da decisão que decretou a preventiva, o que motivou a interposição do presente recurso, sobretudo porque, diversamente do que concluiu o acordão combatido, não estão preenchidos os requisitos autorizadores da segregação cautelar, como se verá a seguir, o que conduz à concessão da ordem de soltura aqui pleiteada.</w:t>
      </w:r>
    </w:p>
    <w:p w14:paraId="46A51107" w14:textId="77777777" w:rsidR="00422D19" w:rsidRPr="00DB7D25" w:rsidRDefault="00422D19" w:rsidP="00422D19">
      <w:pPr>
        <w:pStyle w:val="SemEspaamento"/>
        <w:numPr>
          <w:ilvl w:val="0"/>
          <w:numId w:val="0"/>
        </w:numPr>
        <w:rPr>
          <w:sz w:val="16"/>
          <w:szCs w:val="14"/>
        </w:rPr>
      </w:pPr>
    </w:p>
    <w:p w14:paraId="458B01B3" w14:textId="77777777" w:rsidR="00422D19" w:rsidRDefault="00422D19" w:rsidP="00422D19">
      <w:pPr>
        <w:pStyle w:val="Ttulo"/>
        <w:spacing w:line="276" w:lineRule="auto"/>
      </w:pPr>
      <w:r w:rsidRPr="00136102">
        <w:t xml:space="preserve">II – </w:t>
      </w:r>
      <w:r>
        <w:t>RAZÕES QUE REVELAM A INSUBSISTÊNCIA DA DECISÃO QUE MANTEVE A PREVENTIVA E CONDUZEM À CONCESSÃO DA ORDEM</w:t>
      </w:r>
    </w:p>
    <w:p w14:paraId="00CD06CC" w14:textId="77777777" w:rsidR="00422D19" w:rsidRPr="00DB7D25" w:rsidRDefault="00422D19" w:rsidP="00422D19">
      <w:pPr>
        <w:pStyle w:val="SemEspaamento"/>
        <w:numPr>
          <w:ilvl w:val="0"/>
          <w:numId w:val="0"/>
        </w:numPr>
        <w:ind w:left="1418"/>
        <w:rPr>
          <w:sz w:val="18"/>
          <w:szCs w:val="16"/>
        </w:rPr>
      </w:pPr>
    </w:p>
    <w:p w14:paraId="548A809F" w14:textId="77777777" w:rsidR="00422D19" w:rsidRDefault="00422D19" w:rsidP="00422D19">
      <w:pPr>
        <w:pStyle w:val="SemEspaamento"/>
      </w:pPr>
      <w:r>
        <w:rPr>
          <w:b/>
          <w:bCs/>
        </w:rPr>
        <w:t>AUSÊNCIA DE GRAVIDADE CONCRETA DA CONDUTA, ante a possibilidade/probabilidade de atuação em legítima defesa</w:t>
      </w:r>
      <w:r>
        <w:t xml:space="preserve">: Excelência, o vídeo que gravou a ocorrência dos fatos </w:t>
      </w:r>
      <w:r w:rsidRPr="00577898">
        <w:rPr>
          <w:sz w:val="20"/>
          <w:szCs w:val="18"/>
        </w:rPr>
        <w:t xml:space="preserve">(evento 1, VIDEO5 e </w:t>
      </w:r>
      <w:r w:rsidRPr="00577898">
        <w:rPr>
          <w:b/>
          <w:bCs/>
          <w:sz w:val="20"/>
          <w:szCs w:val="18"/>
        </w:rPr>
        <w:t xml:space="preserve">doc. </w:t>
      </w:r>
      <w:r>
        <w:rPr>
          <w:b/>
          <w:bCs/>
          <w:sz w:val="20"/>
          <w:szCs w:val="18"/>
        </w:rPr>
        <w:t>1</w:t>
      </w:r>
      <w:r>
        <w:rPr>
          <w:sz w:val="20"/>
          <w:szCs w:val="18"/>
        </w:rPr>
        <w:t xml:space="preserve"> – anexo</w:t>
      </w:r>
      <w:r w:rsidRPr="00577898">
        <w:rPr>
          <w:sz w:val="20"/>
          <w:szCs w:val="18"/>
        </w:rPr>
        <w:t xml:space="preserve">) </w:t>
      </w:r>
      <w:r>
        <w:t xml:space="preserve">bem demonstra que </w:t>
      </w:r>
      <w:proofErr w:type="spellStart"/>
      <w:r>
        <w:t>Utan</w:t>
      </w:r>
      <w:proofErr w:type="spellEnd"/>
      <w:r>
        <w:t xml:space="preserve"> </w:t>
      </w:r>
      <w:r w:rsidRPr="005A655F">
        <w:rPr>
          <w:u w:val="single"/>
        </w:rPr>
        <w:t>não participava da discussão</w:t>
      </w:r>
      <w:r>
        <w:t xml:space="preserve"> e, quando insistiu em se deslocar com ímpeto e de forma agressiva em direção a Lincoln, </w:t>
      </w:r>
      <w:r w:rsidRPr="00624A50">
        <w:t>o</w:t>
      </w:r>
      <w:r w:rsidRPr="00577898">
        <w:rPr>
          <w:b/>
          <w:bCs/>
        </w:rPr>
        <w:t xml:space="preserve"> </w:t>
      </w:r>
      <w:r>
        <w:t>paciente</w:t>
      </w:r>
      <w:r w:rsidRPr="00577898">
        <w:rPr>
          <w:b/>
          <w:bCs/>
        </w:rPr>
        <w:t xml:space="preserve"> </w:t>
      </w:r>
      <w:r w:rsidRPr="00B30BCB">
        <w:rPr>
          <w:b/>
          <w:bCs/>
          <w:u w:val="single"/>
        </w:rPr>
        <w:t>SEMPRE</w:t>
      </w:r>
      <w:r w:rsidRPr="00577898">
        <w:rPr>
          <w:b/>
          <w:bCs/>
        </w:rPr>
        <w:t xml:space="preserve"> caminhou para trás</w:t>
      </w:r>
      <w:r>
        <w:t xml:space="preserve">, </w:t>
      </w:r>
      <w:r w:rsidRPr="00577898">
        <w:rPr>
          <w:b/>
          <w:bCs/>
        </w:rPr>
        <w:t>tendo apontado</w:t>
      </w:r>
      <w:r>
        <w:t>, inicialmente,</w:t>
      </w:r>
      <w:r w:rsidRPr="00577898">
        <w:rPr>
          <w:b/>
          <w:bCs/>
        </w:rPr>
        <w:t xml:space="preserve"> a arma </w:t>
      </w:r>
      <w:r w:rsidRPr="005A655F">
        <w:rPr>
          <w:b/>
          <w:bCs/>
        </w:rPr>
        <w:t>para</w:t>
      </w:r>
      <w:r w:rsidRPr="00577898">
        <w:rPr>
          <w:b/>
          <w:bCs/>
        </w:rPr>
        <w:t xml:space="preserve"> </w:t>
      </w:r>
      <w:r w:rsidRPr="005A655F">
        <w:rPr>
          <w:b/>
          <w:bCs/>
          <w:u w:val="single"/>
        </w:rPr>
        <w:t>BAIXO</w:t>
      </w:r>
      <w:r>
        <w:t xml:space="preserve">, o que conduz à probabilidade de se estar diante de atuação em </w:t>
      </w:r>
      <w:r w:rsidRPr="00577898">
        <w:rPr>
          <w:u w:val="single"/>
        </w:rPr>
        <w:t>legítima defesa</w:t>
      </w:r>
      <w:r>
        <w:t xml:space="preserve">, que tem o condão de </w:t>
      </w:r>
      <w:r w:rsidRPr="005A655F">
        <w:rPr>
          <w:u w:val="single"/>
        </w:rPr>
        <w:t>excluir a ilicitude</w:t>
      </w:r>
      <w:r w:rsidRPr="005A655F">
        <w:t xml:space="preserve"> da conduta praticada</w:t>
      </w:r>
      <w:r>
        <w:t xml:space="preserve"> </w:t>
      </w:r>
      <w:r w:rsidRPr="00577898">
        <w:rPr>
          <w:sz w:val="20"/>
          <w:szCs w:val="18"/>
        </w:rPr>
        <w:t>(art. 23, II, do CP)</w:t>
      </w:r>
      <w:r>
        <w:t xml:space="preserve">. </w:t>
      </w:r>
    </w:p>
    <w:p w14:paraId="60753CA9" w14:textId="0D41CC9E" w:rsidR="00422D19" w:rsidRDefault="00422D19" w:rsidP="00422D19">
      <w:pPr>
        <w:pStyle w:val="SemEspaamento"/>
      </w:pPr>
      <w:r>
        <w:t xml:space="preserve">Portanto, essa </w:t>
      </w:r>
      <w:r w:rsidRPr="003968BE">
        <w:rPr>
          <w:u w:val="single"/>
        </w:rPr>
        <w:t>possibilidade</w:t>
      </w:r>
      <w:r>
        <w:t xml:space="preserve"> de excludente de ilicitude afasta a alegada gravidade da conduta em razão do local movimentado em que ocorreu o fato. </w:t>
      </w:r>
    </w:p>
    <w:p w14:paraId="0CA51017" w14:textId="77777777" w:rsidR="00422D19" w:rsidRDefault="00422D19" w:rsidP="00422D19">
      <w:pPr>
        <w:pStyle w:val="SemEspaamento"/>
      </w:pPr>
      <w:r w:rsidRPr="005A655F">
        <w:t xml:space="preserve">Nesse sentido, como explicam os insignes doutrinadores Eugênio Pacelli e Douglas Fischer </w:t>
      </w:r>
      <w:r w:rsidRPr="005A655F">
        <w:rPr>
          <w:sz w:val="20"/>
          <w:szCs w:val="18"/>
        </w:rPr>
        <w:t>(Comentários ao Código de Processo Penal e sua Jurisprudência, 11 ed., São Paulo: Atlas, 2019, p. 736)</w:t>
      </w:r>
      <w:r w:rsidRPr="005A655F">
        <w:t>, “</w:t>
      </w:r>
      <w:r w:rsidRPr="005A655F">
        <w:rPr>
          <w:i/>
          <w:iCs/>
          <w:u w:val="single"/>
        </w:rPr>
        <w:t>Havendo dúvidas</w:t>
      </w:r>
      <w:r w:rsidRPr="005A655F">
        <w:rPr>
          <w:i/>
          <w:iCs/>
        </w:rPr>
        <w:t xml:space="preserve"> quanto à existência de qualquer </w:t>
      </w:r>
      <w:r w:rsidRPr="005A655F">
        <w:rPr>
          <w:i/>
          <w:iCs/>
          <w:u w:val="single"/>
        </w:rPr>
        <w:t>causa de justificação</w:t>
      </w:r>
      <w:r w:rsidRPr="005A655F">
        <w:rPr>
          <w:i/>
          <w:iCs/>
        </w:rPr>
        <w:t xml:space="preserve"> (excludentes da ilicitude), </w:t>
      </w:r>
      <w:r w:rsidRPr="005A655F">
        <w:rPr>
          <w:i/>
          <w:iCs/>
          <w:u w:val="single"/>
        </w:rPr>
        <w:t>não</w:t>
      </w:r>
      <w:r w:rsidRPr="005A655F">
        <w:rPr>
          <w:i/>
          <w:iCs/>
        </w:rPr>
        <w:t xml:space="preserve"> </w:t>
      </w:r>
      <w:r w:rsidRPr="005A655F">
        <w:rPr>
          <w:i/>
          <w:iCs/>
          <w:u w:val="single"/>
        </w:rPr>
        <w:t>se</w:t>
      </w:r>
      <w:r w:rsidRPr="005A655F">
        <w:rPr>
          <w:i/>
          <w:iCs/>
        </w:rPr>
        <w:t xml:space="preserve"> </w:t>
      </w:r>
      <w:r w:rsidRPr="005A655F">
        <w:rPr>
          <w:i/>
          <w:iCs/>
          <w:u w:val="single"/>
        </w:rPr>
        <w:t>determinará</w:t>
      </w:r>
      <w:r w:rsidRPr="005A655F">
        <w:rPr>
          <w:i/>
          <w:iCs/>
        </w:rPr>
        <w:t xml:space="preserve"> a prisão [preventiva] (art. 314 do CPP)</w:t>
      </w:r>
      <w:r w:rsidRPr="005A655F">
        <w:t xml:space="preserve"> </w:t>
      </w:r>
      <w:r w:rsidRPr="005A655F">
        <w:rPr>
          <w:sz w:val="20"/>
          <w:szCs w:val="18"/>
        </w:rPr>
        <w:t>(grifos acrescentados)</w:t>
      </w:r>
      <w:r w:rsidRPr="005A655F">
        <w:t>.</w:t>
      </w:r>
    </w:p>
    <w:p w14:paraId="0EFE62A3" w14:textId="6A3BB42E" w:rsidR="003E7D12" w:rsidRPr="005A655F" w:rsidRDefault="003E7D12" w:rsidP="00422D19">
      <w:pPr>
        <w:pStyle w:val="SemEspaamento"/>
      </w:pPr>
      <w:r>
        <w:t xml:space="preserve">Assim, </w:t>
      </w:r>
      <w:r w:rsidR="003E3BBE">
        <w:t xml:space="preserve">como </w:t>
      </w:r>
      <w:r>
        <w:t xml:space="preserve">o recorrente não está pleiteando o reconhecimento </w:t>
      </w:r>
      <w:r w:rsidR="003968BE">
        <w:t xml:space="preserve">imediato </w:t>
      </w:r>
      <w:r w:rsidR="00E811EA">
        <w:t>d</w:t>
      </w:r>
      <w:r>
        <w:t xml:space="preserve">essa excludente de ilicitude, mas apenas que seja </w:t>
      </w:r>
      <w:r w:rsidR="00A30C0E">
        <w:t xml:space="preserve">constatado que existe </w:t>
      </w:r>
      <w:r>
        <w:t xml:space="preserve">discussão quanto à </w:t>
      </w:r>
      <w:r w:rsidRPr="00BC6B42">
        <w:rPr>
          <w:u w:val="single"/>
        </w:rPr>
        <w:t>possibilidade</w:t>
      </w:r>
      <w:r>
        <w:t xml:space="preserve"> de </w:t>
      </w:r>
      <w:r w:rsidR="003968BE">
        <w:t xml:space="preserve">ela </w:t>
      </w:r>
      <w:r w:rsidR="00A30C0E">
        <w:t>ter ocorrido</w:t>
      </w:r>
      <w:r w:rsidR="00BC6B42">
        <w:t xml:space="preserve"> </w:t>
      </w:r>
      <w:r w:rsidR="00A30C0E">
        <w:t xml:space="preserve">no caso vertente, </w:t>
      </w:r>
      <w:r w:rsidR="00105FBD">
        <w:t xml:space="preserve">o que </w:t>
      </w:r>
      <w:r w:rsidR="00105FBD" w:rsidRPr="00105FBD">
        <w:rPr>
          <w:u w:val="single"/>
        </w:rPr>
        <w:t>afasta</w:t>
      </w:r>
      <w:r w:rsidR="00105FBD">
        <w:t xml:space="preserve"> a </w:t>
      </w:r>
      <w:r w:rsidR="00105FBD" w:rsidRPr="00105FBD">
        <w:rPr>
          <w:u w:val="single"/>
        </w:rPr>
        <w:t>gravidade</w:t>
      </w:r>
      <w:r w:rsidR="00105FBD">
        <w:t xml:space="preserve"> da </w:t>
      </w:r>
      <w:r w:rsidR="00105FBD" w:rsidRPr="00105FBD">
        <w:rPr>
          <w:u w:val="single"/>
        </w:rPr>
        <w:t>conduta</w:t>
      </w:r>
      <w:r w:rsidR="00105FBD">
        <w:t xml:space="preserve">, </w:t>
      </w:r>
      <w:r w:rsidR="00A83EA5">
        <w:t xml:space="preserve">conforme </w:t>
      </w:r>
      <w:r w:rsidR="00DB7D25">
        <w:t xml:space="preserve">demonstram </w:t>
      </w:r>
      <w:r w:rsidR="00A83EA5">
        <w:t>as imagens</w:t>
      </w:r>
      <w:r w:rsidR="00DB7D25">
        <w:t xml:space="preserve"> do vídeo que registrou o fato</w:t>
      </w:r>
      <w:r w:rsidR="003968BE">
        <w:t xml:space="preserve"> </w:t>
      </w:r>
      <w:r w:rsidR="003968BE" w:rsidRPr="003968BE">
        <w:rPr>
          <w:sz w:val="20"/>
          <w:szCs w:val="18"/>
        </w:rPr>
        <w:t>(</w:t>
      </w:r>
      <w:r w:rsidR="003968BE" w:rsidRPr="003968BE">
        <w:rPr>
          <w:b/>
          <w:bCs/>
          <w:sz w:val="20"/>
          <w:szCs w:val="18"/>
        </w:rPr>
        <w:t>doc. 1</w:t>
      </w:r>
      <w:r w:rsidR="003968BE" w:rsidRPr="003968BE">
        <w:rPr>
          <w:sz w:val="20"/>
          <w:szCs w:val="18"/>
        </w:rPr>
        <w:t>)</w:t>
      </w:r>
      <w:r w:rsidR="00DB7D25">
        <w:t xml:space="preserve">, </w:t>
      </w:r>
      <w:r w:rsidR="008968DC">
        <w:t>não subsiste</w:t>
      </w:r>
      <w:r w:rsidR="00105FBD">
        <w:t xml:space="preserve"> </w:t>
      </w:r>
      <w:r w:rsidR="008968DC">
        <w:t xml:space="preserve">o argumento </w:t>
      </w:r>
      <w:r w:rsidR="00BC6B42">
        <w:t xml:space="preserve">do </w:t>
      </w:r>
      <w:r w:rsidR="00BC6B42">
        <w:rPr>
          <w:i/>
          <w:iCs/>
        </w:rPr>
        <w:t xml:space="preserve">decisum </w:t>
      </w:r>
      <w:r w:rsidR="00BC6B42">
        <w:t xml:space="preserve">recorrido </w:t>
      </w:r>
      <w:r w:rsidR="003968BE">
        <w:t xml:space="preserve">de que </w:t>
      </w:r>
      <w:r w:rsidR="000E1E91">
        <w:t xml:space="preserve">o recorrente </w:t>
      </w:r>
      <w:r w:rsidR="00105FBD">
        <w:t xml:space="preserve">pretende </w:t>
      </w:r>
      <w:r w:rsidR="000E1E91">
        <w:t xml:space="preserve">discutir </w:t>
      </w:r>
      <w:r w:rsidR="003968BE">
        <w:t>questão de mérito</w:t>
      </w:r>
      <w:r w:rsidR="000E1E91">
        <w:t xml:space="preserve">, </w:t>
      </w:r>
      <w:r w:rsidR="00105FBD">
        <w:t xml:space="preserve">inviável de análise em sede de </w:t>
      </w:r>
      <w:r w:rsidR="00105FBD">
        <w:rPr>
          <w:i/>
          <w:iCs/>
        </w:rPr>
        <w:t>habeas corpus</w:t>
      </w:r>
      <w:r w:rsidR="00A30C0E">
        <w:t>.</w:t>
      </w:r>
    </w:p>
    <w:p w14:paraId="3366FD07" w14:textId="77777777" w:rsidR="00422D19" w:rsidRPr="00B35C97" w:rsidRDefault="00422D19" w:rsidP="00422D19">
      <w:pPr>
        <w:pStyle w:val="SemEspaamento"/>
        <w:numPr>
          <w:ilvl w:val="0"/>
          <w:numId w:val="0"/>
        </w:numPr>
        <w:rPr>
          <w:sz w:val="16"/>
          <w:szCs w:val="14"/>
        </w:rPr>
      </w:pPr>
    </w:p>
    <w:p w14:paraId="1105B1A3" w14:textId="77777777" w:rsidR="00422D19" w:rsidRDefault="00422D19" w:rsidP="00422D19">
      <w:pPr>
        <w:pStyle w:val="SemEspaamento"/>
      </w:pPr>
      <w:r>
        <w:rPr>
          <w:b/>
          <w:bCs/>
        </w:rPr>
        <w:t>INEXISTÊNCIA DE PERICULOSIDADE DO RECORRENTE</w:t>
      </w:r>
      <w:r>
        <w:t xml:space="preserve">: Excelência, o recorrente </w:t>
      </w:r>
      <w:r w:rsidRPr="0014254E">
        <w:rPr>
          <w:b/>
          <w:bCs/>
          <w:u w:val="single"/>
        </w:rPr>
        <w:t>não é</w:t>
      </w:r>
      <w:r w:rsidRPr="00D06812">
        <w:rPr>
          <w:u w:val="single"/>
        </w:rPr>
        <w:t xml:space="preserve"> um </w:t>
      </w:r>
      <w:r w:rsidRPr="00EC35A3">
        <w:rPr>
          <w:b/>
          <w:bCs/>
          <w:u w:val="single"/>
        </w:rPr>
        <w:t>delinquente</w:t>
      </w:r>
      <w:r w:rsidRPr="00D06812">
        <w:rPr>
          <w:u w:val="single"/>
        </w:rPr>
        <w:t xml:space="preserve"> contumaz</w:t>
      </w:r>
      <w:r>
        <w:t xml:space="preserve">, mas um cidadão de bem, empresário, com dezenas de colaboradores em suas empresas, que se envolveu em uma infeliz fatalidade. </w:t>
      </w:r>
    </w:p>
    <w:p w14:paraId="227C879E" w14:textId="77777777" w:rsidR="00422D19" w:rsidRDefault="00422D19" w:rsidP="00422D19">
      <w:pPr>
        <w:pStyle w:val="SemEspaamento"/>
      </w:pPr>
      <w:r>
        <w:t xml:space="preserve">As testemunhas confirmaram que Lincoln </w:t>
      </w:r>
      <w:r>
        <w:rPr>
          <w:b/>
          <w:bCs/>
        </w:rPr>
        <w:t xml:space="preserve">não conhecia nem possuía divergências </w:t>
      </w:r>
      <w:r w:rsidRPr="008A6E6D">
        <w:rPr>
          <w:b/>
          <w:bCs/>
        </w:rPr>
        <w:t xml:space="preserve">com </w:t>
      </w:r>
      <w:proofErr w:type="spellStart"/>
      <w:r w:rsidRPr="008A6E6D">
        <w:rPr>
          <w:b/>
          <w:bCs/>
        </w:rPr>
        <w:t>Utan</w:t>
      </w:r>
      <w:proofErr w:type="spellEnd"/>
      <w:r>
        <w:t xml:space="preserve"> e que o paciente só atirou quando o ofendido insistia em ir em sua direção e estava </w:t>
      </w:r>
      <w:r>
        <w:rPr>
          <w:b/>
          <w:bCs/>
        </w:rPr>
        <w:t>muito próximo</w:t>
      </w:r>
      <w:r>
        <w:t xml:space="preserve"> dele </w:t>
      </w:r>
      <w:r w:rsidRPr="00524BB5">
        <w:rPr>
          <w:sz w:val="20"/>
          <w:szCs w:val="18"/>
        </w:rPr>
        <w:t>(</w:t>
      </w:r>
      <w:r w:rsidRPr="00524BB5">
        <w:rPr>
          <w:i/>
          <w:iCs/>
          <w:sz w:val="20"/>
          <w:szCs w:val="18"/>
        </w:rPr>
        <w:t>vide</w:t>
      </w:r>
      <w:r>
        <w:rPr>
          <w:sz w:val="20"/>
          <w:szCs w:val="18"/>
        </w:rPr>
        <w:t xml:space="preserve">, por exemplo, a oitiva </w:t>
      </w:r>
      <w:r w:rsidRPr="00524BB5">
        <w:rPr>
          <w:sz w:val="20"/>
          <w:szCs w:val="18"/>
        </w:rPr>
        <w:t>da viúva, evento 1</w:t>
      </w:r>
      <w:r>
        <w:rPr>
          <w:sz w:val="20"/>
          <w:szCs w:val="18"/>
        </w:rPr>
        <w:t xml:space="preserve">, </w:t>
      </w:r>
      <w:r w:rsidRPr="00524BB5">
        <w:rPr>
          <w:sz w:val="20"/>
          <w:szCs w:val="18"/>
        </w:rPr>
        <w:t>VIDEO</w:t>
      </w:r>
      <w:r>
        <w:rPr>
          <w:sz w:val="20"/>
          <w:szCs w:val="18"/>
        </w:rPr>
        <w:t>3</w:t>
      </w:r>
      <w:r w:rsidRPr="00524BB5">
        <w:rPr>
          <w:sz w:val="20"/>
          <w:szCs w:val="18"/>
        </w:rPr>
        <w:t>, 12m4s-12m18s)</w:t>
      </w:r>
      <w:r>
        <w:t xml:space="preserve">, o que reforça o fato de que Lincoln apenas agiu para se defender quando identificou que identificou a ameaça à sua integridade física. </w:t>
      </w:r>
    </w:p>
    <w:p w14:paraId="1E6B843A" w14:textId="77777777" w:rsidR="00422D19" w:rsidRDefault="00422D19" w:rsidP="00422D19">
      <w:pPr>
        <w:pStyle w:val="SemEspaamento"/>
      </w:pPr>
      <w:r>
        <w:t xml:space="preserve">Além disso, </w:t>
      </w:r>
      <w:r w:rsidRPr="0014254E">
        <w:t>o</w:t>
      </w:r>
      <w:r>
        <w:t xml:space="preserve"> recorrente possui endereço certo, moradia conhecida e família sólida que reside consigo, incluindo uma filha recém-nascida. </w:t>
      </w:r>
    </w:p>
    <w:p w14:paraId="1DBC7805" w14:textId="77777777" w:rsidR="00422D19" w:rsidRDefault="00422D19" w:rsidP="00422D19">
      <w:pPr>
        <w:pStyle w:val="SemEspaamento"/>
      </w:pPr>
      <w:r>
        <w:t xml:space="preserve">Excelência, o recorrente era </w:t>
      </w:r>
      <w:r w:rsidRPr="00BE35C2">
        <w:rPr>
          <w:u w:val="single"/>
        </w:rPr>
        <w:t>empresário</w:t>
      </w:r>
      <w:r>
        <w:t xml:space="preserve"> e, muitas vezes, tinha que tomar decisões difíceis em relação a seus colaboradores, como o </w:t>
      </w:r>
      <w:r w:rsidRPr="00EC35A3">
        <w:rPr>
          <w:u w:val="single"/>
        </w:rPr>
        <w:t>encerramento</w:t>
      </w:r>
      <w:r>
        <w:t xml:space="preserve"> da contratação ou parceria, o que </w:t>
      </w:r>
      <w:r w:rsidRPr="00D4562E">
        <w:rPr>
          <w:u w:val="single"/>
        </w:rPr>
        <w:t>ocasionava</w:t>
      </w:r>
      <w:r>
        <w:t xml:space="preserve"> </w:t>
      </w:r>
      <w:r w:rsidRPr="00D4562E">
        <w:rPr>
          <w:u w:val="single"/>
        </w:rPr>
        <w:t>represálias</w:t>
      </w:r>
      <w:r>
        <w:t xml:space="preserve"> por conta disso, inclusive por meio do registro de </w:t>
      </w:r>
      <w:proofErr w:type="spellStart"/>
      <w:r>
        <w:t>BOs</w:t>
      </w:r>
      <w:proofErr w:type="spellEnd"/>
      <w:r>
        <w:t xml:space="preserve"> falsos ou tendenciosos/distorcidos. </w:t>
      </w:r>
    </w:p>
    <w:p w14:paraId="62550E36" w14:textId="77777777" w:rsidR="00422D19" w:rsidRDefault="00422D19" w:rsidP="00422D19">
      <w:pPr>
        <w:pStyle w:val="SemEspaamento"/>
      </w:pPr>
      <w:r>
        <w:t xml:space="preserve">Ou seja, </w:t>
      </w:r>
      <w:r w:rsidRPr="00955675">
        <w:t xml:space="preserve">os boletins de ocorrência registrados contra o </w:t>
      </w:r>
      <w:r>
        <w:t>paciente</w:t>
      </w:r>
      <w:r w:rsidRPr="00955675">
        <w:t xml:space="preserve"> </w:t>
      </w:r>
      <w:r w:rsidRPr="00EC35A3">
        <w:rPr>
          <w:b/>
          <w:bCs/>
          <w:u w:val="single"/>
        </w:rPr>
        <w:t>não resultaram</w:t>
      </w:r>
      <w:r w:rsidRPr="0045339D">
        <w:rPr>
          <w:u w:val="single"/>
        </w:rPr>
        <w:t xml:space="preserve"> em investigação policial, ação penal ou sanção criminal</w:t>
      </w:r>
      <w:r>
        <w:t xml:space="preserve">, conduzindo à conclusão de que não podem ser utilizados para justificar risco </w:t>
      </w:r>
      <w:r w:rsidRPr="00BE0EA0">
        <w:rPr>
          <w:sz w:val="22"/>
          <w:szCs w:val="20"/>
        </w:rPr>
        <w:t>– inexistente –</w:t>
      </w:r>
      <w:r>
        <w:t xml:space="preserve"> de Lincoln para a sociedade. </w:t>
      </w:r>
    </w:p>
    <w:p w14:paraId="740F28DF" w14:textId="77777777" w:rsidR="00422D19" w:rsidRDefault="00422D19" w:rsidP="00422D19">
      <w:pPr>
        <w:pStyle w:val="SemEspaamento"/>
      </w:pPr>
      <w:r>
        <w:t xml:space="preserve">Aliás, a própria jurisprudência do STJ referida pelo acórdão recorrido e pela decisão que decretou a prisão cautelar é categórica em firmar que </w:t>
      </w:r>
      <w:r>
        <w:rPr>
          <w:b/>
          <w:bCs/>
        </w:rPr>
        <w:t xml:space="preserve">as </w:t>
      </w:r>
      <w:r w:rsidRPr="00414B83">
        <w:rPr>
          <w:b/>
          <w:bCs/>
          <w:u w:val="single"/>
        </w:rPr>
        <w:t>ações penais</w:t>
      </w:r>
      <w:r>
        <w:rPr>
          <w:b/>
          <w:bCs/>
        </w:rPr>
        <w:t xml:space="preserve"> em curso e </w:t>
      </w:r>
      <w:r w:rsidRPr="00414B83">
        <w:rPr>
          <w:b/>
          <w:bCs/>
          <w:u w:val="single"/>
        </w:rPr>
        <w:t>inquéritos policiais</w:t>
      </w:r>
      <w:r>
        <w:t xml:space="preserve"> podem ser utilizados para verificar a periculosidade do agente, </w:t>
      </w:r>
      <w:r w:rsidRPr="007B0417">
        <w:rPr>
          <w:u w:val="single"/>
        </w:rPr>
        <w:t>excluindo</w:t>
      </w:r>
      <w:r>
        <w:t xml:space="preserve"> os </w:t>
      </w:r>
      <w:r w:rsidRPr="005D6E10">
        <w:rPr>
          <w:u w:val="single"/>
        </w:rPr>
        <w:t>boletins de ocorrência</w:t>
      </w:r>
      <w:r>
        <w:t xml:space="preserve"> dessa análise, certamente por conta da precariedade sobre a veracidade da informação registrada, frequentemente, de forma unilateral em </w:t>
      </w:r>
      <w:r>
        <w:rPr>
          <w:i/>
          <w:iCs/>
        </w:rPr>
        <w:t xml:space="preserve">site </w:t>
      </w:r>
      <w:r>
        <w:t>da Polícia Civil.</w:t>
      </w:r>
    </w:p>
    <w:p w14:paraId="049FEB80" w14:textId="77777777" w:rsidR="00422D19" w:rsidRDefault="00422D19" w:rsidP="00422D19">
      <w:pPr>
        <w:pStyle w:val="SemEspaamento"/>
      </w:pPr>
      <w:r>
        <w:t xml:space="preserve">E, como visto, o recorrente nem sequer tinha conversado, discutido ou mesmo notado a presença do ofendido, quando foi alvo do iminente ataque de </w:t>
      </w:r>
      <w:proofErr w:type="spellStart"/>
      <w:r>
        <w:t>Utan</w:t>
      </w:r>
      <w:proofErr w:type="spellEnd"/>
      <w:r>
        <w:t xml:space="preserve">, ocasião que, mesmo </w:t>
      </w:r>
      <w:r w:rsidRPr="001C3E52">
        <w:rPr>
          <w:b/>
          <w:bCs/>
        </w:rPr>
        <w:t xml:space="preserve">o </w:t>
      </w:r>
      <w:r>
        <w:rPr>
          <w:b/>
          <w:bCs/>
        </w:rPr>
        <w:t>recorrente</w:t>
      </w:r>
      <w:r w:rsidRPr="001C3E52">
        <w:rPr>
          <w:b/>
          <w:bCs/>
        </w:rPr>
        <w:t xml:space="preserve"> recuando e pedindo para que se afastasse</w:t>
      </w:r>
      <w:r>
        <w:t xml:space="preserve">, </w:t>
      </w:r>
      <w:r w:rsidRPr="001C3E52">
        <w:rPr>
          <w:u w:val="single"/>
        </w:rPr>
        <w:t>apontando a arma para o chão</w:t>
      </w:r>
      <w:r w:rsidRPr="001C3E52">
        <w:t>, ainda assim, o ofendido insistiu continuar avançando, a evidenciar o iminente confronto que ocorreria</w:t>
      </w:r>
      <w:r>
        <w:t>.</w:t>
      </w:r>
    </w:p>
    <w:p w14:paraId="061A43FA" w14:textId="77777777" w:rsidR="00422D19" w:rsidRDefault="00422D19" w:rsidP="00422D19">
      <w:pPr>
        <w:pStyle w:val="SemEspaamento"/>
      </w:pPr>
      <w:r>
        <w:t xml:space="preserve">Desse modo, a soltura do paciente não representa nenhum risco à sociedade, sobretudo porque Lincoln não possui vinculação à facção criminosa nem apresenta histórico de prática de crimes, tendo decidido colaborar, desde o primeiro momento, com as investigações, o que reforça a ausência de </w:t>
      </w:r>
      <w:r w:rsidRPr="005C57F4">
        <w:rPr>
          <w:i/>
          <w:iCs/>
        </w:rPr>
        <w:t xml:space="preserve">periculum libertatis </w:t>
      </w:r>
      <w:r>
        <w:t xml:space="preserve">no caso concreto. </w:t>
      </w:r>
    </w:p>
    <w:p w14:paraId="38AE8352" w14:textId="77777777" w:rsidR="00422D19" w:rsidRPr="00B35C97" w:rsidRDefault="00422D19" w:rsidP="00422D19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7B942A08" w14:textId="50808E50" w:rsidR="008F24DF" w:rsidRDefault="00422D19" w:rsidP="008F24DF">
      <w:pPr>
        <w:pStyle w:val="SemEspaamento"/>
      </w:pPr>
      <w:r w:rsidRPr="005274E0">
        <w:rPr>
          <w:b/>
          <w:bCs/>
        </w:rPr>
        <w:t>AUSÊNCIA DE RISCO DE FUGA</w:t>
      </w:r>
      <w:r>
        <w:t xml:space="preserve">: Com o devido respeito, Excelência, logo após a ocorrência dos fatos o </w:t>
      </w:r>
      <w:r w:rsidR="003C269D">
        <w:t>recorrente</w:t>
      </w:r>
      <w:r>
        <w:t xml:space="preserve"> colaborou, a todo momento, com as investigações e </w:t>
      </w:r>
      <w:r w:rsidRPr="005274E0">
        <w:rPr>
          <w:u w:val="single"/>
        </w:rPr>
        <w:t>se entregou</w:t>
      </w:r>
      <w:r>
        <w:t xml:space="preserve">, </w:t>
      </w:r>
      <w:r w:rsidRPr="005274E0">
        <w:rPr>
          <w:u w:val="single"/>
        </w:rPr>
        <w:t>espontaneamente</w:t>
      </w:r>
      <w:r>
        <w:t>,</w:t>
      </w:r>
      <w:r w:rsidRPr="006B01AB">
        <w:t xml:space="preserve"> </w:t>
      </w:r>
      <w:r w:rsidR="005274E0">
        <w:t>assim</w:t>
      </w:r>
      <w:r>
        <w:t xml:space="preserve"> que soube da existência do decreto de </w:t>
      </w:r>
      <w:r w:rsidRPr="00CD6420">
        <w:rPr>
          <w:u w:val="single"/>
        </w:rPr>
        <w:t>prisão</w:t>
      </w:r>
      <w:r>
        <w:t xml:space="preserve"> </w:t>
      </w:r>
      <w:r w:rsidRPr="00CD6420">
        <w:rPr>
          <w:u w:val="single"/>
        </w:rPr>
        <w:t>preventiva</w:t>
      </w:r>
      <w:r>
        <w:t xml:space="preserve"> em seu desfavor, razão pela qual </w:t>
      </w:r>
      <w:r w:rsidRPr="005274E0">
        <w:rPr>
          <w:b/>
          <w:bCs/>
          <w:u w:val="single"/>
        </w:rPr>
        <w:t>inexiste</w:t>
      </w:r>
      <w:r w:rsidRPr="005274E0">
        <w:rPr>
          <w:u w:val="single"/>
        </w:rPr>
        <w:t xml:space="preserve"> risco de fuga</w:t>
      </w:r>
      <w:r>
        <w:t xml:space="preserve"> no caso vertente, o que derrui o argumento de que seria necessária a segregação cautelar para assegurar a aplicação da lei penal.</w:t>
      </w:r>
    </w:p>
    <w:p w14:paraId="416E5898" w14:textId="77777777" w:rsidR="00422D19" w:rsidRPr="00B35C97" w:rsidRDefault="00422D19" w:rsidP="00422D19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4149978F" w14:textId="4F443FF2" w:rsidR="00422D19" w:rsidRDefault="00422D19" w:rsidP="00422D19">
      <w:pPr>
        <w:pStyle w:val="SemEspaamento"/>
      </w:pPr>
      <w:r>
        <w:rPr>
          <w:b/>
          <w:bCs/>
        </w:rPr>
        <w:t>DESNECESSIDADE DE PRISÃO PELA CONVENIÊNCIA DA INSTRUÇÃO CRIMINAL</w:t>
      </w:r>
      <w:r>
        <w:t xml:space="preserve">: Por fim, o fato de que a impetração foi realizada </w:t>
      </w:r>
      <w:r>
        <w:rPr>
          <w:u w:val="single"/>
        </w:rPr>
        <w:t xml:space="preserve">somente </w:t>
      </w:r>
      <w:r w:rsidRPr="00A13340">
        <w:rPr>
          <w:b/>
          <w:bCs/>
          <w:u w:val="single"/>
        </w:rPr>
        <w:t>após</w:t>
      </w:r>
      <w:r>
        <w:rPr>
          <w:u w:val="single"/>
        </w:rPr>
        <w:t xml:space="preserve"> o </w:t>
      </w:r>
      <w:r w:rsidRPr="008A21E6">
        <w:rPr>
          <w:b/>
          <w:bCs/>
          <w:u w:val="single"/>
        </w:rPr>
        <w:t>encerramento</w:t>
      </w:r>
      <w:r>
        <w:rPr>
          <w:u w:val="single"/>
        </w:rPr>
        <w:t xml:space="preserve"> da instrução processual</w:t>
      </w:r>
      <w:r>
        <w:t xml:space="preserve">, quando o processo estava com prazo </w:t>
      </w:r>
      <w:r w:rsidR="00EC35A3">
        <w:t xml:space="preserve">aberto </w:t>
      </w:r>
      <w:r>
        <w:t xml:space="preserve">para apresentação de alegações finais, demonstra a insubsistência da necessidade de prisão para a conveniência da instrução criminal e evidencia a </w:t>
      </w:r>
      <w:r w:rsidR="00582829">
        <w:t>incongruência</w:t>
      </w:r>
      <w:r>
        <w:t xml:space="preserve"> dos argumentos que fundamentam o decreto de prisão preventiva de Lincoln.</w:t>
      </w:r>
    </w:p>
    <w:p w14:paraId="3F4828B5" w14:textId="6D15DD0F" w:rsidR="00422D19" w:rsidRPr="00136102" w:rsidRDefault="00422D19" w:rsidP="00422D19">
      <w:pPr>
        <w:pStyle w:val="SemEspaamento"/>
      </w:pPr>
      <w:r>
        <w:t xml:space="preserve">Feitas essas considerações, </w:t>
      </w:r>
      <w:r w:rsidR="006B0411">
        <w:t>que evidenciam a ilegalidade d</w:t>
      </w:r>
      <w:r w:rsidR="00162799">
        <w:t xml:space="preserve">a decisão que determinou a </w:t>
      </w:r>
      <w:r w:rsidR="009705F1">
        <w:t xml:space="preserve">sua </w:t>
      </w:r>
      <w:r w:rsidR="00162799">
        <w:t>segregação cautelar e caracteriza</w:t>
      </w:r>
      <w:r w:rsidR="000C7166">
        <w:t>m</w:t>
      </w:r>
      <w:r w:rsidR="00162799">
        <w:t xml:space="preserve"> o constrangimento ilegal a que está submetido, </w:t>
      </w:r>
      <w:r w:rsidR="009705F1">
        <w:t xml:space="preserve">o recorrente </w:t>
      </w:r>
      <w:r w:rsidR="006B0411">
        <w:t>reitera</w:t>
      </w:r>
      <w:r>
        <w:t xml:space="preserve"> </w:t>
      </w:r>
      <w:r w:rsidR="006B0411">
        <w:t>os pedidos deduzidos no recurso ordinário constitucional interposto para que</w:t>
      </w:r>
      <w:r>
        <w:t xml:space="preserve">, ao final, </w:t>
      </w:r>
      <w:r w:rsidR="006B0411">
        <w:t xml:space="preserve">seja concedida a </w:t>
      </w:r>
      <w:r>
        <w:t xml:space="preserve">ordem, inclusive </w:t>
      </w:r>
      <w:proofErr w:type="spellStart"/>
      <w:r>
        <w:rPr>
          <w:i/>
          <w:iCs/>
        </w:rPr>
        <w:t>ex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officio</w:t>
      </w:r>
      <w:proofErr w:type="spellEnd"/>
      <w:r>
        <w:t xml:space="preserve">, </w:t>
      </w:r>
      <w:r w:rsidR="006B0411">
        <w:t>para determinar a s</w:t>
      </w:r>
      <w:r w:rsidR="00F9219A">
        <w:t>ua s</w:t>
      </w:r>
      <w:r w:rsidR="006B0411">
        <w:t>oltura</w:t>
      </w:r>
      <w:r>
        <w:t>.</w:t>
      </w:r>
    </w:p>
    <w:p w14:paraId="3B19C18C" w14:textId="77777777" w:rsidR="00300B59" w:rsidRDefault="00300B59" w:rsidP="00F4561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A4845C4" w14:textId="7B65DF7F" w:rsidR="00300B59" w:rsidRDefault="00300B59" w:rsidP="00F4561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  <w:r>
        <w:rPr>
          <w:rFonts w:ascii="Arial" w:eastAsia="Calibri" w:hAnsi="Arial" w:cs="Times New Roman"/>
          <w:sz w:val="24"/>
          <w:szCs w:val="24"/>
        </w:rPr>
        <w:tab/>
      </w:r>
      <w:r>
        <w:rPr>
          <w:rFonts w:ascii="Arial" w:eastAsia="Calibri" w:hAnsi="Arial" w:cs="Times New Roman"/>
          <w:sz w:val="24"/>
          <w:szCs w:val="24"/>
        </w:rPr>
        <w:tab/>
        <w:t>Pede deferimento.</w:t>
      </w:r>
    </w:p>
    <w:p w14:paraId="4F70E2B7" w14:textId="43B40360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F24DF">
        <w:rPr>
          <w:rFonts w:ascii="Arial" w:eastAsia="Calibri" w:hAnsi="Arial" w:cs="Times New Roman"/>
          <w:noProof/>
          <w:sz w:val="24"/>
          <w:szCs w:val="24"/>
        </w:rPr>
        <w:t>1 de junho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8B65D5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72700A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E502BA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4A6A518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281848E3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6B0E4A9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7A7F72C" w14:textId="77777777" w:rsidR="00131BEB" w:rsidRPr="000169F1" w:rsidRDefault="00131BEB" w:rsidP="000169F1"/>
    <w:sectPr w:rsidR="00131BEB" w:rsidRPr="000169F1" w:rsidSect="00DB7D25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7EB85" w14:textId="77777777" w:rsidR="004C737B" w:rsidRDefault="004C737B" w:rsidP="00943258">
      <w:pPr>
        <w:spacing w:after="0" w:line="240" w:lineRule="auto"/>
      </w:pPr>
      <w:r>
        <w:separator/>
      </w:r>
    </w:p>
  </w:endnote>
  <w:endnote w:type="continuationSeparator" w:id="0">
    <w:p w14:paraId="29D09079" w14:textId="77777777" w:rsidR="004C737B" w:rsidRDefault="004C737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37F0B2C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6EC581E" wp14:editId="63FD5CF3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891320647" name="Imagem 89132064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8071D90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A8DE8" w14:textId="77777777" w:rsidR="004C737B" w:rsidRDefault="004C737B" w:rsidP="00943258">
      <w:pPr>
        <w:spacing w:after="0" w:line="240" w:lineRule="auto"/>
      </w:pPr>
      <w:r>
        <w:separator/>
      </w:r>
    </w:p>
  </w:footnote>
  <w:footnote w:type="continuationSeparator" w:id="0">
    <w:p w14:paraId="43575BE9" w14:textId="77777777" w:rsidR="004C737B" w:rsidRDefault="004C737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06A9B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591F12D" wp14:editId="3ADE22DD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498556679" name="Imagem 49855667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CC6A98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C63802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037602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A28CB2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969671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61F"/>
    <w:rsid w:val="00003F31"/>
    <w:rsid w:val="000169F1"/>
    <w:rsid w:val="0004298B"/>
    <w:rsid w:val="00097661"/>
    <w:rsid w:val="000C0053"/>
    <w:rsid w:val="000C7166"/>
    <w:rsid w:val="000D228C"/>
    <w:rsid w:val="000E1E91"/>
    <w:rsid w:val="00105FBD"/>
    <w:rsid w:val="00131BEB"/>
    <w:rsid w:val="00162799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00B59"/>
    <w:rsid w:val="00377A2E"/>
    <w:rsid w:val="003801CD"/>
    <w:rsid w:val="003968BE"/>
    <w:rsid w:val="003C269D"/>
    <w:rsid w:val="003E3BBE"/>
    <w:rsid w:val="003E46B9"/>
    <w:rsid w:val="003E7D12"/>
    <w:rsid w:val="00422D19"/>
    <w:rsid w:val="00431DE8"/>
    <w:rsid w:val="004949AD"/>
    <w:rsid w:val="004C737B"/>
    <w:rsid w:val="004F2B78"/>
    <w:rsid w:val="004F384D"/>
    <w:rsid w:val="00501A18"/>
    <w:rsid w:val="005274E0"/>
    <w:rsid w:val="005321DA"/>
    <w:rsid w:val="00582829"/>
    <w:rsid w:val="005A4EB2"/>
    <w:rsid w:val="005B67EA"/>
    <w:rsid w:val="005E58E2"/>
    <w:rsid w:val="00673228"/>
    <w:rsid w:val="0069250C"/>
    <w:rsid w:val="00693F8B"/>
    <w:rsid w:val="00696295"/>
    <w:rsid w:val="006B0411"/>
    <w:rsid w:val="006C0DFC"/>
    <w:rsid w:val="00722DF5"/>
    <w:rsid w:val="0076488F"/>
    <w:rsid w:val="00795616"/>
    <w:rsid w:val="00797900"/>
    <w:rsid w:val="007C36DB"/>
    <w:rsid w:val="007F0F80"/>
    <w:rsid w:val="00810D34"/>
    <w:rsid w:val="008455B5"/>
    <w:rsid w:val="00856154"/>
    <w:rsid w:val="008968DC"/>
    <w:rsid w:val="008A0012"/>
    <w:rsid w:val="008A21E6"/>
    <w:rsid w:val="008E31FF"/>
    <w:rsid w:val="008E377D"/>
    <w:rsid w:val="008F2218"/>
    <w:rsid w:val="008F24DF"/>
    <w:rsid w:val="008F53CE"/>
    <w:rsid w:val="008F7B29"/>
    <w:rsid w:val="0090226D"/>
    <w:rsid w:val="00902AE7"/>
    <w:rsid w:val="00924163"/>
    <w:rsid w:val="00943258"/>
    <w:rsid w:val="009705F1"/>
    <w:rsid w:val="00A022E5"/>
    <w:rsid w:val="00A049FC"/>
    <w:rsid w:val="00A30C0E"/>
    <w:rsid w:val="00A83EA5"/>
    <w:rsid w:val="00B14A81"/>
    <w:rsid w:val="00B6363E"/>
    <w:rsid w:val="00BA2544"/>
    <w:rsid w:val="00BC6B42"/>
    <w:rsid w:val="00BF6747"/>
    <w:rsid w:val="00C03B4C"/>
    <w:rsid w:val="00C0456B"/>
    <w:rsid w:val="00C2590C"/>
    <w:rsid w:val="00CB5FC5"/>
    <w:rsid w:val="00CD6420"/>
    <w:rsid w:val="00D240C5"/>
    <w:rsid w:val="00D32740"/>
    <w:rsid w:val="00D6202F"/>
    <w:rsid w:val="00DB7D25"/>
    <w:rsid w:val="00DE0162"/>
    <w:rsid w:val="00DE0552"/>
    <w:rsid w:val="00DF5478"/>
    <w:rsid w:val="00E05790"/>
    <w:rsid w:val="00E811EA"/>
    <w:rsid w:val="00E90F3C"/>
    <w:rsid w:val="00E968BB"/>
    <w:rsid w:val="00EB4346"/>
    <w:rsid w:val="00EC35A3"/>
    <w:rsid w:val="00EE3903"/>
    <w:rsid w:val="00F11B2C"/>
    <w:rsid w:val="00F22B73"/>
    <w:rsid w:val="00F4561F"/>
    <w:rsid w:val="00F9219A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32A631"/>
  <w15:chartTrackingRefBased/>
  <w15:docId w15:val="{B000E8D1-F811-4890-9152-210A99D80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5274E0"/>
    <w:pPr>
      <w:ind w:left="720"/>
      <w:contextualSpacing/>
    </w:pPr>
  </w:style>
  <w:style w:type="paragraph" w:styleId="Commarcadores">
    <w:name w:val="List Bullet"/>
    <w:basedOn w:val="Normal"/>
    <w:uiPriority w:val="99"/>
    <w:unhideWhenUsed/>
    <w:rsid w:val="003C269D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142</TotalTime>
  <Pages>5</Pages>
  <Words>1540</Words>
  <Characters>8322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DOCUMENTOS QUE INSTRUEM ESTA INICIAL </vt:lpstr>
    </vt:vector>
  </TitlesOfParts>
  <Company/>
  <LinksUpToDate>false</LinksUpToDate>
  <CharactersWithSpaces>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39</cp:revision>
  <cp:lastPrinted>2023-06-01T14:13:00Z</cp:lastPrinted>
  <dcterms:created xsi:type="dcterms:W3CDTF">2023-05-29T17:33:00Z</dcterms:created>
  <dcterms:modified xsi:type="dcterms:W3CDTF">2023-06-01T14:16:00Z</dcterms:modified>
</cp:coreProperties>
</file>