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48B4" w14:textId="5302FAF4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760BB">
        <w:rPr>
          <w:rFonts w:ascii="Arial" w:eastAsia="Calibri" w:hAnsi="Arial" w:cs="Times New Roman"/>
          <w:sz w:val="24"/>
          <w:szCs w:val="24"/>
        </w:rPr>
        <w:t xml:space="preserve"> SENHOR DESEMBARGADOR NORIVAL ACÁCIO ENGEL, DIGNÍSSIMO RELATOR DA APELAÇÃO CRIMINAL N. </w:t>
      </w:r>
      <w:r w:rsidR="00DC0C71" w:rsidRPr="00DC0C71">
        <w:rPr>
          <w:rFonts w:ascii="Arial" w:eastAsia="Calibri" w:hAnsi="Arial" w:cs="Times New Roman"/>
          <w:sz w:val="24"/>
          <w:szCs w:val="24"/>
        </w:rPr>
        <w:t>5024557-68.2021.8.24.0039</w:t>
      </w:r>
    </w:p>
    <w:p w14:paraId="6B69D23E" w14:textId="26DD8910" w:rsidR="000169F1" w:rsidRPr="00980061" w:rsidRDefault="000169F1" w:rsidP="007A37B3">
      <w:pPr>
        <w:tabs>
          <w:tab w:val="left" w:pos="2913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B37ED8" w14:textId="26AA1936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AB0A6E" w14:textId="77777777" w:rsidR="00023F8C" w:rsidRPr="00136102" w:rsidRDefault="00023F8C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2161B14" w14:textId="19347A10" w:rsidR="000169F1" w:rsidRPr="00DC0C71" w:rsidRDefault="00DC0C71" w:rsidP="00DC0C7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C0C71">
        <w:rPr>
          <w:rFonts w:ascii="Arial" w:eastAsia="Calibri" w:hAnsi="Arial" w:cs="Times New Roman"/>
        </w:rPr>
        <w:t>Autos n. 5024557-68.2021.8.24.0039</w:t>
      </w:r>
    </w:p>
    <w:p w14:paraId="41222A13" w14:textId="77777777" w:rsidR="00023F8C" w:rsidRDefault="00023F8C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19BCB7" w14:textId="75BBCFDC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83DC3E3" w14:textId="70107202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633B3F" w14:textId="0D437FE3" w:rsidR="00714303" w:rsidRPr="00416AA0" w:rsidRDefault="00FB14F5" w:rsidP="00714303">
      <w:pPr>
        <w:pStyle w:val="Qualificaodaspartes"/>
        <w:spacing w:line="360" w:lineRule="auto"/>
        <w:rPr>
          <w:b/>
          <w:bCs w:val="0"/>
          <w:i/>
          <w:iCs/>
        </w:rPr>
      </w:pPr>
      <w:r>
        <w:rPr>
          <w:b/>
        </w:rPr>
        <w:t>ARIEL RAMOS ROSA FARIAS</w:t>
      </w:r>
      <w:r w:rsidR="000169F1" w:rsidRPr="00A814BD">
        <w:t xml:space="preserve">, </w:t>
      </w:r>
      <w:r>
        <w:t>já qualificado nos autos d</w:t>
      </w:r>
      <w:r w:rsidR="004E46A7">
        <w:t>os embargos de declaração na</w:t>
      </w:r>
      <w:r>
        <w:t xml:space="preserve"> apelação criminal n. </w:t>
      </w:r>
      <w:r w:rsidRPr="00FB14F5">
        <w:t>5024557-68.2021.8.24.0039</w:t>
      </w:r>
      <w:r w:rsidR="000169F1">
        <w:t>,</w:t>
      </w:r>
      <w:r>
        <w:t xml:space="preserve"> em que </w:t>
      </w:r>
      <w:r w:rsidR="004E46A7">
        <w:t>são</w:t>
      </w:r>
      <w:r>
        <w:t xml:space="preserve"> </w:t>
      </w:r>
      <w:r w:rsidR="004E46A7">
        <w:t>embargados</w:t>
      </w:r>
      <w:r>
        <w:t xml:space="preserve"> o MINIST</w:t>
      </w:r>
      <w:r w:rsidR="00595838">
        <w:t>ÉRIO PÚBLICO DE SANTA CATARINA e OUTRA,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714303">
        <w:t xml:space="preserve">juntar aos autos </w:t>
      </w:r>
      <w:r w:rsidR="00714303">
        <w:rPr>
          <w:b/>
          <w:i/>
        </w:rPr>
        <w:t>MEMORIAIS</w:t>
      </w:r>
      <w:r w:rsidR="00714303">
        <w:t xml:space="preserve"> relativos ao recurso integrativo oposto, nos termos a seguir delineados.</w:t>
      </w:r>
    </w:p>
    <w:p w14:paraId="3CFB1899" w14:textId="53633E86" w:rsidR="000169F1" w:rsidRDefault="000169F1" w:rsidP="00EF2039">
      <w:pPr>
        <w:pStyle w:val="Qualificaodaspartes"/>
        <w:spacing w:line="360" w:lineRule="auto"/>
      </w:pPr>
    </w:p>
    <w:p w14:paraId="685EF99B" w14:textId="216284B5" w:rsidR="00255AB0" w:rsidRPr="00385759" w:rsidRDefault="00301007" w:rsidP="00255AB0">
      <w:pPr>
        <w:pStyle w:val="Qualificao"/>
        <w:ind w:left="0"/>
        <w:jc w:val="center"/>
        <w:rPr>
          <w:b/>
          <w:sz w:val="22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21073" wp14:editId="5B285852">
                <wp:simplePos x="0" y="0"/>
                <wp:positionH relativeFrom="column">
                  <wp:posOffset>885840</wp:posOffset>
                </wp:positionH>
                <wp:positionV relativeFrom="paragraph">
                  <wp:posOffset>15122</wp:posOffset>
                </wp:positionV>
                <wp:extent cx="3934046" cy="1148272"/>
                <wp:effectExtent l="0" t="0" r="28575" b="1397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4046" cy="1148272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6B166" id="Retângulo: Cantos Diagonais Arredondados 1" o:spid="_x0000_s1026" style="position:absolute;margin-left:69.75pt;margin-top:1.2pt;width:309.75pt;height:9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34046,1148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" path="m191382,l3934046,r,l3934046,956890v,105697,-85685,191382,-191382,191382l,1148272r,l,191382c,85685,85685,,191382,xe" filled="f" strokecolor="#5b9bd5 [3208]" strokeweight="1pt">
                <v:stroke joinstyle="miter"/>
                <v:path arrowok="t" o:connecttype="custom" o:connectlocs="191382,0;3934046,0;3934046,0;3934046,956890;3742664,1148272;0,1148272;0,1148272;0,191382;191382,0" o:connectangles="0,0,0,0,0,0,0,0,0"/>
              </v:shape>
            </w:pict>
          </mc:Fallback>
        </mc:AlternateContent>
      </w:r>
      <w:r w:rsidR="00255AB0" w:rsidRPr="00385759">
        <w:rPr>
          <w:b/>
          <w:sz w:val="22"/>
        </w:rPr>
        <w:t>MEMORIAIS PEL</w:t>
      </w:r>
      <w:r w:rsidR="00255AB0">
        <w:rPr>
          <w:b/>
          <w:sz w:val="22"/>
        </w:rPr>
        <w:t>O EMBARGANTE</w:t>
      </w:r>
    </w:p>
    <w:p w14:paraId="1E9AA4E0" w14:textId="77777777" w:rsidR="00255AB0" w:rsidRPr="00385759" w:rsidRDefault="00255AB0" w:rsidP="00255AB0">
      <w:pPr>
        <w:pStyle w:val="Qualificaodaspartes"/>
        <w:ind w:firstLine="0"/>
        <w:jc w:val="center"/>
      </w:pPr>
    </w:p>
    <w:p w14:paraId="2DB3D8A1" w14:textId="06A591AB" w:rsidR="00255AB0" w:rsidRPr="00385759" w:rsidRDefault="00255AB0" w:rsidP="00255AB0">
      <w:pPr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</w:t>
      </w:r>
      <w:r w:rsidR="00FA14A5">
        <w:rPr>
          <w:rFonts w:ascii="Arial" w:eastAsia="Calibri" w:hAnsi="Arial" w:cs="Arial"/>
          <w:b/>
        </w:rPr>
        <w:t>S</w:t>
      </w:r>
      <w:r w:rsidRPr="00385759">
        <w:rPr>
          <w:rFonts w:ascii="Arial" w:eastAsia="Calibri" w:hAnsi="Arial" w:cs="Arial"/>
          <w:b/>
        </w:rPr>
        <w:t xml:space="preserve"> DESEMBARGADOR</w:t>
      </w:r>
      <w:r w:rsidR="00FA14A5">
        <w:rPr>
          <w:rFonts w:ascii="Arial" w:eastAsia="Calibri" w:hAnsi="Arial" w:cs="Arial"/>
          <w:b/>
        </w:rPr>
        <w:t>ES</w:t>
      </w:r>
      <w:r w:rsidRPr="00385759">
        <w:rPr>
          <w:rFonts w:ascii="Arial" w:eastAsia="Calibri" w:hAnsi="Arial" w:cs="Arial"/>
          <w:b/>
        </w:rPr>
        <w:t xml:space="preserve"> </w:t>
      </w:r>
      <w:r w:rsidR="00FA14A5">
        <w:rPr>
          <w:rFonts w:ascii="Arial" w:eastAsia="Calibri" w:hAnsi="Arial" w:cs="Arial"/>
          <w:b/>
        </w:rPr>
        <w:t>INTEGRANTES DA</w:t>
      </w:r>
    </w:p>
    <w:p w14:paraId="678A5541" w14:textId="77777777" w:rsidR="00255AB0" w:rsidRPr="009D6648" w:rsidRDefault="00255AB0" w:rsidP="00255AB0">
      <w:pPr>
        <w:pStyle w:val="Qualificao"/>
        <w:spacing w:before="0"/>
        <w:ind w:left="0"/>
        <w:jc w:val="center"/>
        <w:rPr>
          <w:rFonts w:eastAsia="Calibri"/>
          <w:b/>
          <w:sz w:val="16"/>
          <w:szCs w:val="16"/>
        </w:rPr>
      </w:pPr>
    </w:p>
    <w:p w14:paraId="40F5845E" w14:textId="77777777" w:rsidR="00255AB0" w:rsidRPr="00E638E0" w:rsidRDefault="00255AB0" w:rsidP="00255AB0">
      <w:pPr>
        <w:pStyle w:val="Qualificao"/>
        <w:spacing w:before="0"/>
        <w:ind w:left="0"/>
        <w:jc w:val="center"/>
        <w:rPr>
          <w:b/>
          <w:sz w:val="22"/>
        </w:rPr>
      </w:pPr>
      <w:r w:rsidRPr="00BE1E16">
        <w:rPr>
          <w:b/>
          <w:sz w:val="22"/>
        </w:rPr>
        <w:t>COLENDA SEGUNDA CÂMARA CRIMINAL</w:t>
      </w:r>
    </w:p>
    <w:p w14:paraId="25E3D740" w14:textId="77777777" w:rsidR="00255AB0" w:rsidRDefault="00255AB0" w:rsidP="00255AB0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CC92AF" w14:textId="77777777" w:rsidR="00301007" w:rsidRDefault="00301007" w:rsidP="00255AB0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0C58892" w14:textId="77777777" w:rsidR="00255AB0" w:rsidRPr="00435FC7" w:rsidRDefault="00255AB0" w:rsidP="00255AB0">
      <w:pPr>
        <w:pStyle w:val="Ttulo"/>
      </w:pPr>
      <w:r w:rsidRPr="00136102">
        <w:t>I</w:t>
      </w:r>
      <w:r>
        <w:t xml:space="preserve"> </w:t>
      </w:r>
      <w:r w:rsidRPr="00136102">
        <w:t>–</w:t>
      </w:r>
      <w:r>
        <w:t xml:space="preserve"> Omissões sobre as versões apresentadas pela vítima, que evidenciam, no mínimo, dúvida razoável quanto à existência do fato</w:t>
      </w:r>
    </w:p>
    <w:p w14:paraId="2515061C" w14:textId="77777777" w:rsidR="00255AB0" w:rsidRDefault="00255AB0" w:rsidP="00255AB0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981513" w14:textId="77777777" w:rsidR="00255AB0" w:rsidRDefault="00255AB0" w:rsidP="00255AB0">
      <w:pPr>
        <w:pStyle w:val="SemEspaamento"/>
      </w:pPr>
      <w:r>
        <w:t xml:space="preserve">Após ser condenado pelo delito previsto no art. 213 do CP </w:t>
      </w:r>
      <w:r w:rsidRPr="00700DFB">
        <w:rPr>
          <w:sz w:val="20"/>
          <w:szCs w:val="18"/>
        </w:rPr>
        <w:t>(evento 17)</w:t>
      </w:r>
      <w:r>
        <w:t xml:space="preserve">, Excelência, o embargante identificou omissões no acórdão condenatório, o que motivou a oposição dos aclaratórios </w:t>
      </w:r>
      <w:r w:rsidRPr="00700DFB">
        <w:rPr>
          <w:sz w:val="20"/>
          <w:szCs w:val="18"/>
        </w:rPr>
        <w:t>(evento 25)</w:t>
      </w:r>
      <w:r>
        <w:t xml:space="preserve">, sobretudo porque o </w:t>
      </w:r>
      <w:r>
        <w:rPr>
          <w:i/>
          <w:iCs/>
        </w:rPr>
        <w:t xml:space="preserve">decisum </w:t>
      </w:r>
      <w:r>
        <w:t xml:space="preserve">não considerou </w:t>
      </w:r>
      <w:r w:rsidRPr="00B3314D">
        <w:rPr>
          <w:sz w:val="20"/>
          <w:szCs w:val="18"/>
        </w:rPr>
        <w:t>(</w:t>
      </w:r>
      <w:r w:rsidRPr="00A54176">
        <w:rPr>
          <w:b/>
          <w:bCs/>
          <w:sz w:val="20"/>
          <w:szCs w:val="18"/>
        </w:rPr>
        <w:t>omissão</w:t>
      </w:r>
      <w:r w:rsidRPr="00B3314D">
        <w:rPr>
          <w:sz w:val="20"/>
          <w:szCs w:val="18"/>
        </w:rPr>
        <w:t>)</w:t>
      </w:r>
      <w:r>
        <w:t xml:space="preserve"> o fato de que a suposta ofendida, Priscila, narrou versões divergentes no boletim de ocorrência e nos depoimentos subsequentes, demonstrando a ausência de certeza necessária sobre a existência do fato para fundamentar o édito condenatório. </w:t>
      </w:r>
    </w:p>
    <w:p w14:paraId="0F6D3686" w14:textId="77777777" w:rsidR="00255AB0" w:rsidRDefault="00255AB0" w:rsidP="00255AB0">
      <w:pPr>
        <w:pStyle w:val="SemEspaamento"/>
      </w:pPr>
      <w:r>
        <w:t xml:space="preserve">Isso porque, no boletim de ocorrência, Priscila disse que </w:t>
      </w:r>
      <w:r w:rsidRPr="00A45866">
        <w:rPr>
          <w:b/>
          <w:bCs/>
        </w:rPr>
        <w:t>Ariel teria se levantado</w:t>
      </w:r>
      <w:r>
        <w:t xml:space="preserve"> </w:t>
      </w:r>
      <w:r w:rsidRPr="00B05C3D">
        <w:rPr>
          <w:sz w:val="20"/>
          <w:szCs w:val="18"/>
        </w:rPr>
        <w:t xml:space="preserve">(na frente das demais pessoas que estavam no </w:t>
      </w:r>
      <w:r w:rsidRPr="00B05C3D">
        <w:rPr>
          <w:i/>
          <w:iCs/>
          <w:sz w:val="20"/>
          <w:szCs w:val="18"/>
        </w:rPr>
        <w:t>after</w:t>
      </w:r>
      <w:r w:rsidRPr="00B05C3D">
        <w:rPr>
          <w:sz w:val="20"/>
          <w:szCs w:val="18"/>
        </w:rPr>
        <w:t>)</w:t>
      </w:r>
      <w:r>
        <w:t xml:space="preserve"> e a levado pelo braço </w:t>
      </w:r>
      <w:r>
        <w:lastRenderedPageBreak/>
        <w:t xml:space="preserve">e cabelo ao banheiro, além de obrigá-la a sentar no vaso, e que o embargante teria forçado sexo oral, </w:t>
      </w:r>
      <w:r w:rsidRPr="00B05C3D">
        <w:rPr>
          <w:b/>
          <w:bCs/>
        </w:rPr>
        <w:t>com penetração</w:t>
      </w:r>
      <w:r>
        <w:t xml:space="preserve"> na boca da vítima, o que a motivou </w:t>
      </w:r>
      <w:r w:rsidRPr="00E638E0">
        <w:rPr>
          <w:b/>
          <w:bCs/>
        </w:rPr>
        <w:t>a pedir socorro e</w:t>
      </w:r>
      <w:r>
        <w:t xml:space="preserve"> </w:t>
      </w:r>
      <w:r>
        <w:rPr>
          <w:b/>
          <w:bCs/>
        </w:rPr>
        <w:t>bater na porta</w:t>
      </w:r>
      <w:r>
        <w:t xml:space="preserve"> </w:t>
      </w:r>
      <w:r w:rsidRPr="003F176F">
        <w:rPr>
          <w:b/>
          <w:bCs/>
        </w:rPr>
        <w:t>do banheiro</w:t>
      </w:r>
      <w:r>
        <w:t xml:space="preserve">, afirmando que </w:t>
      </w:r>
      <w:r w:rsidRPr="0052321B">
        <w:rPr>
          <w:b/>
          <w:bCs/>
        </w:rPr>
        <w:t>o embargant</w:t>
      </w:r>
      <w:r>
        <w:rPr>
          <w:b/>
          <w:bCs/>
        </w:rPr>
        <w:t>e</w:t>
      </w:r>
      <w:r>
        <w:t xml:space="preserve"> </w:t>
      </w:r>
      <w:r w:rsidRPr="00521B54">
        <w:rPr>
          <w:b/>
          <w:bCs/>
        </w:rPr>
        <w:t>teria ficado com medo e</w:t>
      </w:r>
      <w:r>
        <w:t xml:space="preserve"> </w:t>
      </w:r>
      <w:r w:rsidRPr="0052321B">
        <w:rPr>
          <w:b/>
          <w:bCs/>
        </w:rPr>
        <w:t>aberto a porta e permitido a sua saída</w:t>
      </w:r>
      <w:r>
        <w:t xml:space="preserve"> </w:t>
      </w:r>
      <w:r w:rsidRPr="00657FBE">
        <w:rPr>
          <w:sz w:val="20"/>
          <w:szCs w:val="18"/>
        </w:rPr>
        <w:t>(evento 1, INQ1, p. 3)</w:t>
      </w:r>
      <w:r>
        <w:t xml:space="preserve">. </w:t>
      </w:r>
    </w:p>
    <w:p w14:paraId="6BD16421" w14:textId="77777777" w:rsidR="00255AB0" w:rsidRDefault="00255AB0" w:rsidP="00255AB0">
      <w:pPr>
        <w:pStyle w:val="SemEspaamento"/>
      </w:pPr>
      <w:r>
        <w:t xml:space="preserve">Contudo, em seus depoimentos subsequentes, tanto no inquérito policial quanto na fase judicial </w:t>
      </w:r>
      <w:r w:rsidRPr="00B462AD">
        <w:rPr>
          <w:sz w:val="20"/>
          <w:szCs w:val="18"/>
        </w:rPr>
        <w:t>(evento 1, INQ1, p. 6, do IP e evento 55, VIDEO3, do 1º grau)</w:t>
      </w:r>
      <w:r>
        <w:t xml:space="preserve"> Priscila alterou significativamente o relato, sustentando que, quando estava subindo as escadas, foi surpreendida por Ariel, que a empurrou para dentro do banheiro, e que o recorrente </w:t>
      </w:r>
      <w:r w:rsidRPr="009E0C02">
        <w:rPr>
          <w:b/>
          <w:bCs/>
        </w:rPr>
        <w:t>teria tentado</w:t>
      </w:r>
      <w:r>
        <w:t xml:space="preserve"> </w:t>
      </w:r>
      <w:r w:rsidRPr="00182D40">
        <w:rPr>
          <w:b/>
          <w:bCs/>
        </w:rPr>
        <w:t>colocar</w:t>
      </w:r>
      <w:r>
        <w:t xml:space="preserve"> o pênis em sua boca, </w:t>
      </w:r>
      <w:r w:rsidRPr="0052321B">
        <w:rPr>
          <w:b/>
          <w:bCs/>
        </w:rPr>
        <w:t>mas não conseguiu porque ela acabou virando o rosto e conseguiu gritar</w:t>
      </w:r>
      <w:r>
        <w:t xml:space="preserve">, além de chutá-lo para se desvencilhar </w:t>
      </w:r>
      <w:r w:rsidRPr="00182D40">
        <w:rPr>
          <w:b/>
          <w:bCs/>
        </w:rPr>
        <w:t>e sair, por conta própria, do banheiro</w:t>
      </w:r>
      <w:r>
        <w:t xml:space="preserve">. </w:t>
      </w:r>
    </w:p>
    <w:p w14:paraId="5AFB41B2" w14:textId="77777777" w:rsidR="00255AB0" w:rsidRDefault="00255AB0" w:rsidP="00255AB0">
      <w:pPr>
        <w:pStyle w:val="SemEspaamento"/>
      </w:pPr>
      <w:r>
        <w:t>Como visto, essas incongruências encontradas nas narrativas de Priscila,</w:t>
      </w:r>
      <w:r w:rsidRPr="00F06C84">
        <w:t xml:space="preserve"> </w:t>
      </w:r>
      <w:r>
        <w:t xml:space="preserve">que não foram levadas em consideração </w:t>
      </w:r>
      <w:r w:rsidRPr="00BE4B9A">
        <w:rPr>
          <w:sz w:val="20"/>
          <w:szCs w:val="18"/>
        </w:rPr>
        <w:t>(</w:t>
      </w:r>
      <w:r w:rsidRPr="00F06C84">
        <w:rPr>
          <w:b/>
          <w:bCs/>
          <w:sz w:val="20"/>
          <w:szCs w:val="18"/>
        </w:rPr>
        <w:t>omissão</w:t>
      </w:r>
      <w:r w:rsidRPr="00BE4B9A">
        <w:rPr>
          <w:sz w:val="20"/>
          <w:szCs w:val="18"/>
        </w:rPr>
        <w:t>)</w:t>
      </w:r>
      <w:r>
        <w:t xml:space="preserve"> pelo </w:t>
      </w:r>
      <w:r>
        <w:rPr>
          <w:i/>
          <w:iCs/>
        </w:rPr>
        <w:t xml:space="preserve">decisum </w:t>
      </w:r>
      <w:r>
        <w:t>embargado,</w:t>
      </w:r>
      <w:r w:rsidRPr="00F06C84">
        <w:t xml:space="preserve"> </w:t>
      </w:r>
      <w:r>
        <w:t>são muito graves e já indicam a alta probabilidade de se estar diante de acusação inverídica feita contra o embargante.</w:t>
      </w:r>
    </w:p>
    <w:p w14:paraId="74141F4E" w14:textId="77777777" w:rsidR="00255AB0" w:rsidRDefault="00255AB0" w:rsidP="00255AB0">
      <w:pPr>
        <w:pStyle w:val="SemEspaamento"/>
      </w:pPr>
      <w:r>
        <w:t>Mas não é só.</w:t>
      </w:r>
    </w:p>
    <w:p w14:paraId="4301E4C7" w14:textId="77777777" w:rsidR="00255AB0" w:rsidRDefault="00255AB0" w:rsidP="00255AB0">
      <w:pPr>
        <w:pStyle w:val="SemEspaamento"/>
      </w:pPr>
      <w:r>
        <w:t xml:space="preserve">O aresto embargado também não considerou </w:t>
      </w:r>
      <w:r w:rsidRPr="00BE4B9A">
        <w:rPr>
          <w:sz w:val="20"/>
          <w:szCs w:val="18"/>
        </w:rPr>
        <w:t>(</w:t>
      </w:r>
      <w:r w:rsidRPr="00F06C84">
        <w:rPr>
          <w:b/>
          <w:bCs/>
          <w:sz w:val="20"/>
          <w:szCs w:val="18"/>
        </w:rPr>
        <w:t>omissão</w:t>
      </w:r>
      <w:r w:rsidRPr="00BE4B9A">
        <w:rPr>
          <w:sz w:val="20"/>
          <w:szCs w:val="18"/>
        </w:rPr>
        <w:t>)</w:t>
      </w:r>
      <w:r>
        <w:t xml:space="preserve"> o fato de que, em juízo </w:t>
      </w:r>
      <w:r w:rsidRPr="00B22B25">
        <w:rPr>
          <w:sz w:val="20"/>
          <w:szCs w:val="18"/>
        </w:rPr>
        <w:t>(evento 55, VIDEO2 – 1º grau)</w:t>
      </w:r>
      <w:r>
        <w:t xml:space="preserve">, a testemunha Plácida, que encontrou a suposta ofendida no sofá, explicou que </w:t>
      </w:r>
      <w:r w:rsidRPr="002179C7">
        <w:rPr>
          <w:b/>
          <w:bCs/>
        </w:rPr>
        <w:t>Priscila relatou, inicialmente, que</w:t>
      </w:r>
      <w:r>
        <w:t xml:space="preserve"> </w:t>
      </w:r>
      <w:r w:rsidRPr="00B605E0">
        <w:rPr>
          <w:b/>
          <w:bCs/>
        </w:rPr>
        <w:t>teria ocorrido</w:t>
      </w:r>
      <w:r>
        <w:t xml:space="preserve"> </w:t>
      </w:r>
      <w:r w:rsidRPr="00216FD9">
        <w:rPr>
          <w:b/>
          <w:bCs/>
        </w:rPr>
        <w:t>penetração</w:t>
      </w:r>
      <w:r>
        <w:t xml:space="preserve"> </w:t>
      </w:r>
      <w:r w:rsidRPr="002A1A0D">
        <w:rPr>
          <w:sz w:val="20"/>
          <w:szCs w:val="18"/>
        </w:rPr>
        <w:t>(</w:t>
      </w:r>
      <w:r w:rsidRPr="00B605E0">
        <w:rPr>
          <w:b/>
          <w:bCs/>
          <w:sz w:val="20"/>
          <w:szCs w:val="18"/>
        </w:rPr>
        <w:t>conjunção carnal</w:t>
      </w:r>
      <w:r w:rsidRPr="002A1A0D">
        <w:rPr>
          <w:sz w:val="20"/>
          <w:szCs w:val="18"/>
        </w:rPr>
        <w:t>)</w:t>
      </w:r>
      <w:r>
        <w:t>, mas acabou alterando essa versão quando foi registrar o boletim de ocorrência, o que acaba gerando dúvida quanto à própria existência de fato delituoso e reforça a insubsistência da acusação feita contra Ariel.</w:t>
      </w:r>
    </w:p>
    <w:p w14:paraId="3AB2806F" w14:textId="77777777" w:rsidR="00255AB0" w:rsidRDefault="00255AB0" w:rsidP="00255AB0">
      <w:pPr>
        <w:pStyle w:val="SemEspaamento"/>
      </w:pPr>
      <w:r>
        <w:t xml:space="preserve">E o acórdão também não levou em consideração </w:t>
      </w:r>
      <w:r w:rsidRPr="00BE4B9A">
        <w:rPr>
          <w:sz w:val="20"/>
          <w:szCs w:val="18"/>
        </w:rPr>
        <w:t>(</w:t>
      </w:r>
      <w:r w:rsidRPr="00F06C84">
        <w:rPr>
          <w:b/>
          <w:bCs/>
          <w:sz w:val="20"/>
          <w:szCs w:val="18"/>
        </w:rPr>
        <w:t>omissão</w:t>
      </w:r>
      <w:r w:rsidRPr="00BE4B9A">
        <w:rPr>
          <w:sz w:val="20"/>
          <w:szCs w:val="18"/>
        </w:rPr>
        <w:t>)</w:t>
      </w:r>
      <w:r>
        <w:t xml:space="preserve"> que as versões apresentadas por Priscila não encontram nenhum respaldo nas provas testemunhais, que se encontravam no ambiente logo ao lado do banheiro e </w:t>
      </w:r>
      <w:r w:rsidRPr="00AC5E6F">
        <w:rPr>
          <w:b/>
          <w:bCs/>
        </w:rPr>
        <w:t>não escutaram nenhum grito ou berro, nem barulho de batidas na porta do banheiro</w:t>
      </w:r>
      <w:r>
        <w:t xml:space="preserve">, circunstância que indica, mais uma vez, a alta probabilidade de se estar diante de </w:t>
      </w:r>
      <w:r w:rsidRPr="00C41271">
        <w:t xml:space="preserve">acusação contra o embargante </w:t>
      </w:r>
      <w:r>
        <w:t xml:space="preserve">sobre um delito </w:t>
      </w:r>
      <w:r w:rsidRPr="00C41271">
        <w:t>que, em verdade, nunca existiu</w:t>
      </w:r>
      <w:r>
        <w:t>.</w:t>
      </w:r>
    </w:p>
    <w:p w14:paraId="6CF5E981" w14:textId="77777777" w:rsidR="00255AB0" w:rsidRDefault="00255AB0" w:rsidP="00255AB0">
      <w:pPr>
        <w:pStyle w:val="SemEspaamento"/>
      </w:pPr>
      <w:r>
        <w:t xml:space="preserve">Vale registrar, por oportuno, que não está diante de crime sexual praticado na clandestinidade, mas, segundo a própria narrativa acusatória, de crime que teria sido cometido durante um </w:t>
      </w:r>
      <w:r>
        <w:rPr>
          <w:i/>
          <w:iCs/>
        </w:rPr>
        <w:t>after</w:t>
      </w:r>
      <w:r>
        <w:t xml:space="preserve">, em um banheiro contíguo a um ambiente com diversas pessoas, fato que é de extrema relevância para o deslinde da causa e deve ser considerado pelo aresto embargado. </w:t>
      </w:r>
    </w:p>
    <w:p w14:paraId="310BE922" w14:textId="77777777" w:rsidR="00255AB0" w:rsidRDefault="00255AB0" w:rsidP="00255AB0">
      <w:pPr>
        <w:pStyle w:val="SemEspaamento"/>
      </w:pPr>
      <w:r>
        <w:t xml:space="preserve">Ora, se fosse verdadeira a imputação criminosa feita contra o embargante, as testemunhas que estavam presentes no local certamente teriam ouvido grito, berro, batida na porta banheiro ou outras circunstâncias que poderiam indicar a existência de delito sexual, o que não ocorreu no caso </w:t>
      </w:r>
      <w:r w:rsidRPr="00A74AC3">
        <w:t>– isolando a palavra da vítima no contexto probatório</w:t>
      </w:r>
      <w:r>
        <w:t xml:space="preserve">. </w:t>
      </w:r>
    </w:p>
    <w:p w14:paraId="30FB8D27" w14:textId="77777777" w:rsidR="00255AB0" w:rsidRDefault="00255AB0" w:rsidP="00255AB0">
      <w:pPr>
        <w:pStyle w:val="SemEspaamento"/>
      </w:pPr>
      <w:r>
        <w:t>Sobre o assunto, aliás, o Superior Tribunal de Justiça,</w:t>
      </w:r>
      <w:r w:rsidRPr="003F14FE">
        <w:t xml:space="preserve"> </w:t>
      </w:r>
      <w:r>
        <w:t>em recentíssimo acórdão proferido em outubro deste ano, reafirmou o posicionamento de que “</w:t>
      </w:r>
      <w:r w:rsidRPr="003F14FE">
        <w:rPr>
          <w:i/>
          <w:iCs/>
        </w:rPr>
        <w:t xml:space="preserve">A palavra da vítima em crimes contra a dignidade sexual tem valor probante diferenciado, </w:t>
      </w:r>
      <w:r w:rsidRPr="003F14FE">
        <w:rPr>
          <w:b/>
          <w:bCs/>
          <w:i/>
          <w:iCs/>
        </w:rPr>
        <w:t>desde que corroborada por outros elementos probatórios</w:t>
      </w:r>
      <w:r>
        <w:t xml:space="preserve">” </w:t>
      </w:r>
      <w:r w:rsidRPr="003F14FE">
        <w:rPr>
          <w:sz w:val="20"/>
          <w:szCs w:val="18"/>
        </w:rPr>
        <w:t xml:space="preserve">(AgRg no AREsp n. 2.354.304/GO, rel. Min. </w:t>
      </w:r>
      <w:proofErr w:type="spellStart"/>
      <w:r w:rsidRPr="003F14FE">
        <w:rPr>
          <w:sz w:val="20"/>
          <w:szCs w:val="18"/>
        </w:rPr>
        <w:t>Messod</w:t>
      </w:r>
      <w:proofErr w:type="spellEnd"/>
      <w:r w:rsidRPr="003F14FE">
        <w:rPr>
          <w:sz w:val="20"/>
          <w:szCs w:val="18"/>
        </w:rPr>
        <w:t xml:space="preserve"> Azulay Neto, 5ªTurma, j. em 21.10.2025)</w:t>
      </w:r>
      <w:r w:rsidRPr="003F14FE">
        <w:t>.</w:t>
      </w:r>
      <w:r>
        <w:t xml:space="preserve"> </w:t>
      </w:r>
    </w:p>
    <w:p w14:paraId="3D62D5CE" w14:textId="77777777" w:rsidR="00255AB0" w:rsidRDefault="00255AB0" w:rsidP="00255AB0">
      <w:pPr>
        <w:pStyle w:val="SemEspaamento"/>
      </w:pPr>
      <w:r>
        <w:t xml:space="preserve">No mais, o </w:t>
      </w:r>
      <w:r>
        <w:rPr>
          <w:i/>
          <w:iCs/>
        </w:rPr>
        <w:t xml:space="preserve">decisum </w:t>
      </w:r>
      <w:r>
        <w:t xml:space="preserve">objeto de complementação também desconsiderou </w:t>
      </w:r>
      <w:r w:rsidRPr="008808B0">
        <w:rPr>
          <w:sz w:val="20"/>
          <w:szCs w:val="18"/>
        </w:rPr>
        <w:t>(</w:t>
      </w:r>
      <w:r w:rsidRPr="008808B0">
        <w:rPr>
          <w:b/>
          <w:bCs/>
          <w:sz w:val="20"/>
          <w:szCs w:val="18"/>
        </w:rPr>
        <w:t>omissão</w:t>
      </w:r>
      <w:r w:rsidRPr="008808B0">
        <w:rPr>
          <w:sz w:val="20"/>
          <w:szCs w:val="18"/>
        </w:rPr>
        <w:t>)</w:t>
      </w:r>
      <w:r>
        <w:t xml:space="preserve"> que a própria Priscila, por escolha exclusivamente sua, </w:t>
      </w:r>
      <w:r w:rsidRPr="009854B5">
        <w:rPr>
          <w:b/>
          <w:bCs/>
        </w:rPr>
        <w:t>optou por não fazer o exame de corpo de delito</w:t>
      </w:r>
      <w:r>
        <w:t xml:space="preserve"> </w:t>
      </w:r>
      <w:r w:rsidRPr="00A74AC3">
        <w:rPr>
          <w:b/>
          <w:bCs/>
        </w:rPr>
        <w:t>e não apresentou nenhum registro de existência</w:t>
      </w:r>
      <w:r>
        <w:rPr>
          <w:b/>
          <w:bCs/>
        </w:rPr>
        <w:t xml:space="preserve"> de</w:t>
      </w:r>
      <w:r w:rsidRPr="00A74AC3">
        <w:rPr>
          <w:b/>
          <w:bCs/>
        </w:rPr>
        <w:t xml:space="preserve"> lesão</w:t>
      </w:r>
      <w:r>
        <w:t xml:space="preserve">, mesmo relatando que teria havido violência e que poderia ter deixado lesões em seu corpo </w:t>
      </w:r>
      <w:r w:rsidRPr="005E4A65">
        <w:rPr>
          <w:sz w:val="20"/>
          <w:szCs w:val="18"/>
        </w:rPr>
        <w:t>(braço)</w:t>
      </w:r>
      <w:r>
        <w:t xml:space="preserve">, o que afasta a conclusão sobre a prática de crime mediante violência e enfraquece, novamente, a narrativa acusatória </w:t>
      </w:r>
      <w:r w:rsidRPr="003B77BD">
        <w:rPr>
          <w:sz w:val="22"/>
          <w:szCs w:val="20"/>
        </w:rPr>
        <w:t>– inverídica –</w:t>
      </w:r>
      <w:r>
        <w:t xml:space="preserve"> feita para prejudicar o embargante.</w:t>
      </w:r>
    </w:p>
    <w:p w14:paraId="13B10200" w14:textId="77777777" w:rsidR="00255AB0" w:rsidRDefault="00255AB0" w:rsidP="00255AB0">
      <w:pPr>
        <w:pStyle w:val="SemEspaamento"/>
      </w:pPr>
      <w:r>
        <w:t xml:space="preserve">Não fosse tudo isso o suficiente, Excelência, o aresto infelizmente não considerou </w:t>
      </w:r>
      <w:r w:rsidRPr="00067E07">
        <w:rPr>
          <w:sz w:val="20"/>
          <w:szCs w:val="18"/>
        </w:rPr>
        <w:t>(</w:t>
      </w:r>
      <w:r w:rsidRPr="00067E07">
        <w:rPr>
          <w:b/>
          <w:bCs/>
          <w:sz w:val="20"/>
          <w:szCs w:val="18"/>
        </w:rPr>
        <w:t>omissão</w:t>
      </w:r>
      <w:r w:rsidRPr="00067E07">
        <w:rPr>
          <w:sz w:val="20"/>
          <w:szCs w:val="18"/>
        </w:rPr>
        <w:t>)</w:t>
      </w:r>
      <w:r>
        <w:t xml:space="preserve"> que o comportamento de Priscila, após o alegado crime, de comparecer à festa do embargante, realizada na AABB, e ficar até o final da confraternização </w:t>
      </w:r>
      <w:r w:rsidRPr="00A569FE">
        <w:rPr>
          <w:sz w:val="20"/>
          <w:szCs w:val="18"/>
        </w:rPr>
        <w:t>(</w:t>
      </w:r>
      <w:r w:rsidRPr="00A569FE">
        <w:rPr>
          <w:b/>
          <w:bCs/>
          <w:sz w:val="20"/>
          <w:szCs w:val="18"/>
        </w:rPr>
        <w:t>1º</w:t>
      </w:r>
      <w:r>
        <w:rPr>
          <w:b/>
          <w:bCs/>
          <w:sz w:val="20"/>
          <w:szCs w:val="18"/>
        </w:rPr>
        <w:t xml:space="preserve"> fato</w:t>
      </w:r>
      <w:r w:rsidRPr="00A569FE">
        <w:rPr>
          <w:sz w:val="20"/>
          <w:szCs w:val="18"/>
        </w:rPr>
        <w:t>)</w:t>
      </w:r>
      <w:r>
        <w:t>, bem como de curtir e comentar postagem</w:t>
      </w:r>
      <w:r w:rsidRPr="007321B4">
        <w:t xml:space="preserve"> </w:t>
      </w:r>
      <w:r>
        <w:t xml:space="preserve">de Ariel no </w:t>
      </w:r>
      <w:r w:rsidRPr="00E625E6">
        <w:rPr>
          <w:i/>
          <w:iCs/>
        </w:rPr>
        <w:t>instagram</w:t>
      </w:r>
      <w:r>
        <w:t xml:space="preserve">, elogiando o seu trabalho profissional </w:t>
      </w:r>
      <w:r w:rsidRPr="00E625E6">
        <w:rPr>
          <w:sz w:val="20"/>
          <w:szCs w:val="18"/>
        </w:rPr>
        <w:t>(</w:t>
      </w:r>
      <w:r w:rsidRPr="00E625E6">
        <w:rPr>
          <w:i/>
          <w:iCs/>
          <w:sz w:val="20"/>
          <w:szCs w:val="18"/>
        </w:rPr>
        <w:t xml:space="preserve">vide </w:t>
      </w:r>
      <w:r w:rsidRPr="00E625E6">
        <w:rPr>
          <w:sz w:val="20"/>
          <w:szCs w:val="18"/>
        </w:rPr>
        <w:t>evento 38 – 2º grau</w:t>
      </w:r>
      <w:r>
        <w:rPr>
          <w:sz w:val="20"/>
          <w:szCs w:val="18"/>
        </w:rPr>
        <w:t xml:space="preserve"> – </w:t>
      </w:r>
      <w:r>
        <w:rPr>
          <w:b/>
          <w:bCs/>
          <w:sz w:val="20"/>
          <w:szCs w:val="18"/>
        </w:rPr>
        <w:t>2</w:t>
      </w:r>
      <w:r w:rsidRPr="00A569FE">
        <w:rPr>
          <w:b/>
          <w:bCs/>
          <w:sz w:val="20"/>
          <w:szCs w:val="18"/>
        </w:rPr>
        <w:t>º</w:t>
      </w:r>
      <w:r>
        <w:rPr>
          <w:b/>
          <w:bCs/>
          <w:sz w:val="20"/>
          <w:szCs w:val="18"/>
        </w:rPr>
        <w:t xml:space="preserve"> fato</w:t>
      </w:r>
      <w:r w:rsidRPr="00E625E6">
        <w:rPr>
          <w:sz w:val="20"/>
          <w:szCs w:val="18"/>
        </w:rPr>
        <w:t>)</w:t>
      </w:r>
      <w:r>
        <w:t>, também evidencia a alta probabilidade de que a acusação feita contra o réu é inverídica.</w:t>
      </w:r>
    </w:p>
    <w:p w14:paraId="08A67C64" w14:textId="77777777" w:rsidR="00255AB0" w:rsidRDefault="00255AB0" w:rsidP="00255AB0">
      <w:pPr>
        <w:pStyle w:val="SemEspaamento"/>
      </w:pPr>
      <w:r>
        <w:t xml:space="preserve">Assim, uma vez sanados esses vícios e consideradas as questões apontadas, de altíssima relevância para a solução da causa, não há como manter o decreto condenatório, o que conduz ao acolhimento dos aclaratórios, com efeitos infringentes, para restabelecer a absolvição em favor do embargante, em especial porque as testemunhas presentes no local não confirmam nenhuma das circunstâncias narradas por Priscila, ficando isolada a palavra da ofendida diante do contexto probatório, somando-se a isso o fato de que há graves inconsistências nas versões apresentadas por ela, o que inviabiliza a tese acusatória acolhida, até o momento, pelo acórdão embargado. </w:t>
      </w:r>
    </w:p>
    <w:p w14:paraId="75FEB941" w14:textId="77777777" w:rsidR="00255AB0" w:rsidRDefault="00255AB0" w:rsidP="00255AB0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41E08878" w14:textId="77777777" w:rsidR="00C422ED" w:rsidRPr="000B3680" w:rsidRDefault="00C422ED" w:rsidP="00255AB0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4815E3E8" w14:textId="77777777" w:rsidR="00255AB0" w:rsidRPr="00136102" w:rsidRDefault="00255AB0" w:rsidP="00255AB0">
      <w:pPr>
        <w:pStyle w:val="Ttulo"/>
      </w:pPr>
      <w:r>
        <w:t xml:space="preserve">II – Subsidiariamente: omissão em relação à adequação do tipo penal aplicável ao caso </w:t>
      </w:r>
    </w:p>
    <w:p w14:paraId="0AD50756" w14:textId="77777777" w:rsidR="00255AB0" w:rsidRPr="000B3680" w:rsidRDefault="00255AB0" w:rsidP="00255AB0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29872FBB" w14:textId="77777777" w:rsidR="00255AB0" w:rsidRDefault="00255AB0" w:rsidP="00255AB0">
      <w:pPr>
        <w:pStyle w:val="SemEspaamento"/>
      </w:pPr>
      <w:r>
        <w:t xml:space="preserve">Em um segundo momento, já se viu que o </w:t>
      </w:r>
      <w:r w:rsidRPr="00A068C9">
        <w:rPr>
          <w:i/>
          <w:iCs/>
        </w:rPr>
        <w:t xml:space="preserve">decisum </w:t>
      </w:r>
      <w:r>
        <w:t xml:space="preserve">embargado se mostra </w:t>
      </w:r>
      <w:r w:rsidRPr="00A068C9">
        <w:rPr>
          <w:b/>
          <w:bCs/>
        </w:rPr>
        <w:t xml:space="preserve">omisso </w:t>
      </w:r>
      <w:r>
        <w:t xml:space="preserve">em relação à falta </w:t>
      </w:r>
      <w:r w:rsidRPr="00A245EE">
        <w:t>de exame de corpo de delito</w:t>
      </w:r>
      <w:r>
        <w:t xml:space="preserve">, por opção única e exclusiva de Priscila, mesmo tendo sido orientada a fazê-lo na Delegacia </w:t>
      </w:r>
      <w:r w:rsidRPr="00A068C9">
        <w:rPr>
          <w:sz w:val="20"/>
          <w:szCs w:val="18"/>
        </w:rPr>
        <w:t>(o que é praxe)</w:t>
      </w:r>
      <w:r>
        <w:t>, ou de outro registro que comprove a existência de lesão.</w:t>
      </w:r>
    </w:p>
    <w:p w14:paraId="423EE955" w14:textId="77777777" w:rsidR="00255AB0" w:rsidRDefault="00255AB0" w:rsidP="00255AB0">
      <w:pPr>
        <w:pStyle w:val="SemEspaamento"/>
      </w:pPr>
      <w:r>
        <w:t xml:space="preserve">Como esse exame é requisito essencial exigido pelo art. 158 do CPP para comprovar a materialidade de crimes que deixam vestígios e, </w:t>
      </w:r>
      <w:r w:rsidRPr="00C91151">
        <w:rPr>
          <w:i/>
          <w:iCs/>
        </w:rPr>
        <w:t xml:space="preserve">in </w:t>
      </w:r>
      <w:proofErr w:type="spellStart"/>
      <w:r w:rsidRPr="00C91151">
        <w:rPr>
          <w:i/>
          <w:iCs/>
        </w:rPr>
        <w:t>casu</w:t>
      </w:r>
      <w:proofErr w:type="spellEnd"/>
      <w:r>
        <w:t xml:space="preserve">, é indispensável para constatar a existência de violência, o acórdão recorrido, em </w:t>
      </w:r>
      <w:r>
        <w:rPr>
          <w:b/>
          <w:bCs/>
        </w:rPr>
        <w:t>nova omissão</w:t>
      </w:r>
      <w:r>
        <w:t>, desconsiderou que o art. 213 do CP exige a comprovação cabal da violência para amoldar a conduta ao tipo penal, que não está presente no caso sob exame.</w:t>
      </w:r>
    </w:p>
    <w:p w14:paraId="028A37E7" w14:textId="77777777" w:rsidR="00255AB0" w:rsidRDefault="00255AB0" w:rsidP="00255AB0">
      <w:pPr>
        <w:pStyle w:val="SemEspaamento"/>
      </w:pPr>
      <w:r>
        <w:t xml:space="preserve">Assim, o aresto embargado acabou sendo </w:t>
      </w:r>
      <w:r>
        <w:rPr>
          <w:b/>
          <w:bCs/>
        </w:rPr>
        <w:t>omisso</w:t>
      </w:r>
      <w:r>
        <w:t xml:space="preserve"> a respeito do fato de que o art. 215-A do CP </w:t>
      </w:r>
      <w:r w:rsidRPr="00EC4B1A">
        <w:rPr>
          <w:sz w:val="20"/>
          <w:szCs w:val="18"/>
        </w:rPr>
        <w:t>(importunação sexual)</w:t>
      </w:r>
      <w:r>
        <w:t xml:space="preserve"> é o tipo penal que a conduta, sem prova de violência,</w:t>
      </w:r>
      <w:r w:rsidRPr="00E36819">
        <w:t xml:space="preserve"> </w:t>
      </w:r>
      <w:r>
        <w:t>imputada ao embargante se enquadraria, de modo que,</w:t>
      </w:r>
      <w:r w:rsidRPr="001661BA">
        <w:t xml:space="preserve"> </w:t>
      </w:r>
      <w:r>
        <w:t>na remota hipótese de manutenção da condenação, os aclaratórios devem ser acolhidos para esclarecer as omissões apontadas e readequar a condenação do embargante ao delito previsto no art. 215-A do CP, com o ajuste da reprimenda imposta.</w:t>
      </w:r>
    </w:p>
    <w:p w14:paraId="2DDA39AF" w14:textId="77777777" w:rsidR="002D7C49" w:rsidRDefault="002D7C49" w:rsidP="002D7C49">
      <w:pPr>
        <w:pStyle w:val="SemEspaamento"/>
        <w:numPr>
          <w:ilvl w:val="0"/>
          <w:numId w:val="0"/>
        </w:numPr>
        <w:ind w:left="1701"/>
      </w:pPr>
    </w:p>
    <w:p w14:paraId="0B8F3A1D" w14:textId="77777777" w:rsidR="00255AB0" w:rsidRDefault="00255AB0" w:rsidP="00255AB0">
      <w:pPr>
        <w:pStyle w:val="Ttulo"/>
      </w:pPr>
      <w:r>
        <w:t>III – Subsidiariamente: omissão quanto à inaplicabilidade da agravante genérica do art. 61, II, ‘f’, do CP a casos sem violência contra a mulher, na forma da lei específica</w:t>
      </w:r>
    </w:p>
    <w:p w14:paraId="10B52FED" w14:textId="77777777" w:rsidR="00255AB0" w:rsidRDefault="00255AB0" w:rsidP="00255AB0">
      <w:pPr>
        <w:pStyle w:val="SemEspaamento"/>
        <w:numPr>
          <w:ilvl w:val="0"/>
          <w:numId w:val="0"/>
        </w:numPr>
      </w:pPr>
    </w:p>
    <w:p w14:paraId="11FC42D9" w14:textId="77777777" w:rsidR="00255AB0" w:rsidRDefault="00255AB0" w:rsidP="00255AB0">
      <w:pPr>
        <w:pStyle w:val="SemEspaamento"/>
      </w:pPr>
      <w:r>
        <w:t xml:space="preserve">Por fim, Excelência, já se viu que o </w:t>
      </w:r>
      <w:r>
        <w:rPr>
          <w:i/>
          <w:iCs/>
        </w:rPr>
        <w:t xml:space="preserve">decisum </w:t>
      </w:r>
      <w:r>
        <w:t xml:space="preserve">objeto de complementação não levou em consideração </w:t>
      </w:r>
      <w:r w:rsidRPr="00517A58">
        <w:rPr>
          <w:sz w:val="20"/>
          <w:szCs w:val="18"/>
        </w:rPr>
        <w:t>(</w:t>
      </w:r>
      <w:r w:rsidRPr="00517A58">
        <w:rPr>
          <w:b/>
          <w:bCs/>
          <w:sz w:val="20"/>
          <w:szCs w:val="18"/>
        </w:rPr>
        <w:t>omissão</w:t>
      </w:r>
      <w:r w:rsidRPr="00517A58">
        <w:rPr>
          <w:sz w:val="20"/>
          <w:szCs w:val="18"/>
        </w:rPr>
        <w:t>)</w:t>
      </w:r>
      <w:r>
        <w:t xml:space="preserve"> que não há prova da prática de crime mediante violência, pois o acórdão embargado não considerou que Priscila não quis realizar o exame de corpo de delito, nem que ela não apresentou qualquer registro de marca de lesão. Essa constatação, por si só, já afasta a incidência a agravante prevista no art. 61, II, ‘f’, do CP, que, </w:t>
      </w:r>
      <w:r>
        <w:rPr>
          <w:i/>
          <w:iCs/>
        </w:rPr>
        <w:t xml:space="preserve">in </w:t>
      </w:r>
      <w:proofErr w:type="spellStart"/>
      <w:r>
        <w:rPr>
          <w:i/>
          <w:iCs/>
        </w:rPr>
        <w:t>casu</w:t>
      </w:r>
      <w:proofErr w:type="spellEnd"/>
      <w:r>
        <w:t>, requer a comprovação de violência para a sua aplicabilidade.</w:t>
      </w:r>
    </w:p>
    <w:p w14:paraId="159D4C6C" w14:textId="77777777" w:rsidR="00255AB0" w:rsidRDefault="00255AB0" w:rsidP="00255AB0">
      <w:pPr>
        <w:pStyle w:val="SemEspaamento"/>
      </w:pPr>
      <w:r>
        <w:t xml:space="preserve">E acórdão embargado também desconsiderou </w:t>
      </w:r>
      <w:r w:rsidRPr="00DC3A36">
        <w:rPr>
          <w:sz w:val="20"/>
          <w:szCs w:val="18"/>
        </w:rPr>
        <w:t>(</w:t>
      </w:r>
      <w:r w:rsidRPr="00DC3A36">
        <w:rPr>
          <w:b/>
          <w:bCs/>
          <w:sz w:val="20"/>
          <w:szCs w:val="18"/>
        </w:rPr>
        <w:t>omissão</w:t>
      </w:r>
      <w:r w:rsidRPr="00DC3A36">
        <w:rPr>
          <w:sz w:val="20"/>
          <w:szCs w:val="18"/>
        </w:rPr>
        <w:t>)</w:t>
      </w:r>
      <w:r>
        <w:t xml:space="preserve"> que a violência contra mulher que ocasiona o recrudescimento da pena é </w:t>
      </w:r>
      <w:r w:rsidRPr="00DC3A36">
        <w:rPr>
          <w:b/>
          <w:bCs/>
        </w:rPr>
        <w:t>exclusivamente aquela</w:t>
      </w:r>
      <w:r>
        <w:t xml:space="preserve"> </w:t>
      </w:r>
      <w:r w:rsidRPr="00DC3A36">
        <w:rPr>
          <w:b/>
          <w:bCs/>
        </w:rPr>
        <w:t>regida na forma da lei específica</w:t>
      </w:r>
      <w:r>
        <w:t xml:space="preserve">, ou seja, </w:t>
      </w:r>
      <w:r w:rsidRPr="00DC3A36">
        <w:rPr>
          <w:b/>
          <w:bCs/>
        </w:rPr>
        <w:t>em situação prevista pela Lei n. 11.340/2006</w:t>
      </w:r>
      <w:r>
        <w:t xml:space="preserve"> </w:t>
      </w:r>
      <w:r w:rsidRPr="00DC3A36">
        <w:rPr>
          <w:sz w:val="20"/>
          <w:szCs w:val="18"/>
        </w:rPr>
        <w:t>(Lei Maria da Penha)</w:t>
      </w:r>
      <w:r>
        <w:t>, não bastando a assertiva de que a violência ocorra contra a mulher, como concluiu o acórdão condenatório, mas sim que se enquadre nas hipóteses da lei Maria da Penha, o que indubitavelmente não ocorreu no caso vertente. Desse modo, esclarecidos esses pontos omissos, devem ser acolhidos os embargos de declaração, com a concessão de efeitos infringentes, para reconhecer a inexistência de situação que envolva violência contra a mulher no contexto da Lei n. 11.340/2006 e afastar incidência da agravante genérica no caso.</w:t>
      </w:r>
    </w:p>
    <w:p w14:paraId="4E89954D" w14:textId="51D94F7A" w:rsidR="00255AB0" w:rsidRDefault="00255AB0" w:rsidP="00873D94">
      <w:pPr>
        <w:pStyle w:val="Ttulo"/>
      </w:pPr>
    </w:p>
    <w:p w14:paraId="0F3186CD" w14:textId="446F6336" w:rsidR="00255AB0" w:rsidRPr="0062644D" w:rsidRDefault="00255AB0" w:rsidP="00255AB0">
      <w:pPr>
        <w:pStyle w:val="SemEspaamento"/>
      </w:pPr>
      <w:r>
        <w:t>Assim, Excelência, feita essa síntese dos pontos mais relevantes das teses recursais, o que se constata é que o decreto absolutório deve ser restabelecido, razão pela qual o embargante reitera e confia no acolhimento dos embargos de declaração opostos, nos termos requeridos nas razões recursais.</w:t>
      </w:r>
    </w:p>
    <w:p w14:paraId="6DB9A1D9" w14:textId="77777777" w:rsidR="00714303" w:rsidRPr="00EF2039" w:rsidRDefault="00714303" w:rsidP="002D7C49">
      <w:pPr>
        <w:pStyle w:val="Qualificaodaspartes"/>
        <w:spacing w:line="360" w:lineRule="auto"/>
        <w:ind w:firstLine="0"/>
      </w:pPr>
    </w:p>
    <w:p w14:paraId="7A52B411" w14:textId="54CB10C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34D4A">
        <w:rPr>
          <w:rFonts w:ascii="Arial" w:eastAsia="Calibri" w:hAnsi="Arial" w:cs="Times New Roman"/>
          <w:noProof/>
          <w:sz w:val="24"/>
          <w:szCs w:val="24"/>
        </w:rPr>
        <w:t>10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1D2D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91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B7C80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BEA6B74" w14:textId="56E8817A" w:rsidR="00131BEB" w:rsidRPr="000169F1" w:rsidRDefault="000169F1" w:rsidP="00292B17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292B17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572B8" w14:textId="77777777" w:rsidR="00FC7B12" w:rsidRDefault="00FC7B12" w:rsidP="00943258">
      <w:pPr>
        <w:spacing w:after="0" w:line="240" w:lineRule="auto"/>
      </w:pPr>
      <w:r>
        <w:separator/>
      </w:r>
    </w:p>
  </w:endnote>
  <w:endnote w:type="continuationSeparator" w:id="0">
    <w:p w14:paraId="080D13CC" w14:textId="77777777" w:rsidR="00FC7B12" w:rsidRDefault="00FC7B1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092C8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F76A6B8" wp14:editId="45E6B37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61866934" name="Imagem 5618669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FCF02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80DF1" w14:textId="77777777" w:rsidR="00FC7B12" w:rsidRDefault="00FC7B12" w:rsidP="00943258">
      <w:pPr>
        <w:spacing w:after="0" w:line="240" w:lineRule="auto"/>
      </w:pPr>
      <w:r>
        <w:separator/>
      </w:r>
    </w:p>
  </w:footnote>
  <w:footnote w:type="continuationSeparator" w:id="0">
    <w:p w14:paraId="0252F7F1" w14:textId="77777777" w:rsidR="00FC7B12" w:rsidRDefault="00FC7B1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60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90702C1" wp14:editId="7D018C7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141551545" name="Imagem 11415515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808C5E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39D988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F1F3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4"/>
    <w:rsid w:val="00001B41"/>
    <w:rsid w:val="00003F31"/>
    <w:rsid w:val="00006BBA"/>
    <w:rsid w:val="00010CC4"/>
    <w:rsid w:val="000169F1"/>
    <w:rsid w:val="00023F8C"/>
    <w:rsid w:val="000274B2"/>
    <w:rsid w:val="000364B7"/>
    <w:rsid w:val="00037A2C"/>
    <w:rsid w:val="00040A6B"/>
    <w:rsid w:val="000411F2"/>
    <w:rsid w:val="0004298B"/>
    <w:rsid w:val="00043C1B"/>
    <w:rsid w:val="0004645E"/>
    <w:rsid w:val="00051788"/>
    <w:rsid w:val="00051A24"/>
    <w:rsid w:val="00055741"/>
    <w:rsid w:val="00056591"/>
    <w:rsid w:val="00071DBE"/>
    <w:rsid w:val="000760BB"/>
    <w:rsid w:val="0009179B"/>
    <w:rsid w:val="00091954"/>
    <w:rsid w:val="000931F5"/>
    <w:rsid w:val="0009380B"/>
    <w:rsid w:val="00097661"/>
    <w:rsid w:val="000A1CD8"/>
    <w:rsid w:val="000B0FF1"/>
    <w:rsid w:val="000B2A75"/>
    <w:rsid w:val="000B55A0"/>
    <w:rsid w:val="000D010D"/>
    <w:rsid w:val="000D228C"/>
    <w:rsid w:val="000E25A2"/>
    <w:rsid w:val="000E6DF2"/>
    <w:rsid w:val="000E779D"/>
    <w:rsid w:val="000F29DB"/>
    <w:rsid w:val="000F32F4"/>
    <w:rsid w:val="000F3B80"/>
    <w:rsid w:val="000F41EF"/>
    <w:rsid w:val="001055C0"/>
    <w:rsid w:val="00106F6F"/>
    <w:rsid w:val="001078AB"/>
    <w:rsid w:val="00111B75"/>
    <w:rsid w:val="001137C0"/>
    <w:rsid w:val="001138AD"/>
    <w:rsid w:val="00117E31"/>
    <w:rsid w:val="00130FF3"/>
    <w:rsid w:val="0013150F"/>
    <w:rsid w:val="00131BEB"/>
    <w:rsid w:val="001341C0"/>
    <w:rsid w:val="00136383"/>
    <w:rsid w:val="0014135A"/>
    <w:rsid w:val="001434AA"/>
    <w:rsid w:val="00146E30"/>
    <w:rsid w:val="0015659C"/>
    <w:rsid w:val="001661BA"/>
    <w:rsid w:val="001667B0"/>
    <w:rsid w:val="001761C0"/>
    <w:rsid w:val="00183926"/>
    <w:rsid w:val="00183BE2"/>
    <w:rsid w:val="001844CE"/>
    <w:rsid w:val="0018456A"/>
    <w:rsid w:val="00194902"/>
    <w:rsid w:val="001A0FD9"/>
    <w:rsid w:val="001A3204"/>
    <w:rsid w:val="001B2B98"/>
    <w:rsid w:val="001B2E75"/>
    <w:rsid w:val="001B4AE9"/>
    <w:rsid w:val="001B6BBE"/>
    <w:rsid w:val="001C2712"/>
    <w:rsid w:val="001C4401"/>
    <w:rsid w:val="001C443A"/>
    <w:rsid w:val="001C5A45"/>
    <w:rsid w:val="001D3925"/>
    <w:rsid w:val="001E0EBD"/>
    <w:rsid w:val="001F1D2F"/>
    <w:rsid w:val="001F4559"/>
    <w:rsid w:val="001F5208"/>
    <w:rsid w:val="001F53C1"/>
    <w:rsid w:val="001F7311"/>
    <w:rsid w:val="001F7ABB"/>
    <w:rsid w:val="00201F45"/>
    <w:rsid w:val="0020558D"/>
    <w:rsid w:val="00207BE4"/>
    <w:rsid w:val="002143A7"/>
    <w:rsid w:val="00214E09"/>
    <w:rsid w:val="00215110"/>
    <w:rsid w:val="00222871"/>
    <w:rsid w:val="00223B81"/>
    <w:rsid w:val="00223DE5"/>
    <w:rsid w:val="00233A95"/>
    <w:rsid w:val="00234D4A"/>
    <w:rsid w:val="002515E3"/>
    <w:rsid w:val="00251B19"/>
    <w:rsid w:val="00255AB0"/>
    <w:rsid w:val="00256943"/>
    <w:rsid w:val="0026306D"/>
    <w:rsid w:val="00271096"/>
    <w:rsid w:val="002717F7"/>
    <w:rsid w:val="0027245D"/>
    <w:rsid w:val="00272BFB"/>
    <w:rsid w:val="00276921"/>
    <w:rsid w:val="00277899"/>
    <w:rsid w:val="00287690"/>
    <w:rsid w:val="00291F6C"/>
    <w:rsid w:val="00292B17"/>
    <w:rsid w:val="002A0473"/>
    <w:rsid w:val="002A11E1"/>
    <w:rsid w:val="002A3BEB"/>
    <w:rsid w:val="002D0237"/>
    <w:rsid w:val="002D5D2C"/>
    <w:rsid w:val="002D67BE"/>
    <w:rsid w:val="002D7C49"/>
    <w:rsid w:val="002D7CDA"/>
    <w:rsid w:val="002D7F9F"/>
    <w:rsid w:val="002F1590"/>
    <w:rsid w:val="002F6FB7"/>
    <w:rsid w:val="00301007"/>
    <w:rsid w:val="00305B0B"/>
    <w:rsid w:val="00307B02"/>
    <w:rsid w:val="003139F7"/>
    <w:rsid w:val="0032308C"/>
    <w:rsid w:val="00325558"/>
    <w:rsid w:val="00326E64"/>
    <w:rsid w:val="00327C7A"/>
    <w:rsid w:val="0033332D"/>
    <w:rsid w:val="0033610C"/>
    <w:rsid w:val="0033672A"/>
    <w:rsid w:val="00341BB8"/>
    <w:rsid w:val="00350AD0"/>
    <w:rsid w:val="003534AF"/>
    <w:rsid w:val="00357319"/>
    <w:rsid w:val="0037757A"/>
    <w:rsid w:val="00377A2E"/>
    <w:rsid w:val="003801CD"/>
    <w:rsid w:val="00384E79"/>
    <w:rsid w:val="003935D5"/>
    <w:rsid w:val="00393F4F"/>
    <w:rsid w:val="003B741C"/>
    <w:rsid w:val="003C7958"/>
    <w:rsid w:val="003D747B"/>
    <w:rsid w:val="003E07AC"/>
    <w:rsid w:val="003E46B9"/>
    <w:rsid w:val="00411745"/>
    <w:rsid w:val="004154E7"/>
    <w:rsid w:val="00452A5E"/>
    <w:rsid w:val="004949AD"/>
    <w:rsid w:val="00496AF8"/>
    <w:rsid w:val="004A3567"/>
    <w:rsid w:val="004A3C27"/>
    <w:rsid w:val="004A422F"/>
    <w:rsid w:val="004B30FC"/>
    <w:rsid w:val="004B41B2"/>
    <w:rsid w:val="004C1262"/>
    <w:rsid w:val="004C1A17"/>
    <w:rsid w:val="004C479F"/>
    <w:rsid w:val="004C5DD2"/>
    <w:rsid w:val="004C6C50"/>
    <w:rsid w:val="004D686F"/>
    <w:rsid w:val="004E0065"/>
    <w:rsid w:val="004E46A7"/>
    <w:rsid w:val="004E59BE"/>
    <w:rsid w:val="004F2B78"/>
    <w:rsid w:val="004F384D"/>
    <w:rsid w:val="004F3CB5"/>
    <w:rsid w:val="004F4D3E"/>
    <w:rsid w:val="00501A18"/>
    <w:rsid w:val="005040EF"/>
    <w:rsid w:val="0050417C"/>
    <w:rsid w:val="00504BEC"/>
    <w:rsid w:val="00512D0F"/>
    <w:rsid w:val="00513148"/>
    <w:rsid w:val="0051579B"/>
    <w:rsid w:val="00530EE3"/>
    <w:rsid w:val="0053109F"/>
    <w:rsid w:val="005321DA"/>
    <w:rsid w:val="005325AA"/>
    <w:rsid w:val="0053422D"/>
    <w:rsid w:val="00540542"/>
    <w:rsid w:val="00541780"/>
    <w:rsid w:val="00543105"/>
    <w:rsid w:val="00553231"/>
    <w:rsid w:val="0057003D"/>
    <w:rsid w:val="005829FA"/>
    <w:rsid w:val="00583F5D"/>
    <w:rsid w:val="0058590D"/>
    <w:rsid w:val="005925F3"/>
    <w:rsid w:val="00592D2D"/>
    <w:rsid w:val="00595838"/>
    <w:rsid w:val="00597D7D"/>
    <w:rsid w:val="005A2A8C"/>
    <w:rsid w:val="005B1B03"/>
    <w:rsid w:val="005B3B52"/>
    <w:rsid w:val="005B412A"/>
    <w:rsid w:val="005B67EA"/>
    <w:rsid w:val="005C0EDC"/>
    <w:rsid w:val="005C5B4B"/>
    <w:rsid w:val="005D1619"/>
    <w:rsid w:val="005D1A8E"/>
    <w:rsid w:val="005D30CC"/>
    <w:rsid w:val="005D423C"/>
    <w:rsid w:val="005E36E3"/>
    <w:rsid w:val="005E4A65"/>
    <w:rsid w:val="005E58E2"/>
    <w:rsid w:val="005E7D37"/>
    <w:rsid w:val="005F2C02"/>
    <w:rsid w:val="005F4756"/>
    <w:rsid w:val="00603920"/>
    <w:rsid w:val="006114EF"/>
    <w:rsid w:val="006168AC"/>
    <w:rsid w:val="00640027"/>
    <w:rsid w:val="00647207"/>
    <w:rsid w:val="00663512"/>
    <w:rsid w:val="00665E61"/>
    <w:rsid w:val="00666F98"/>
    <w:rsid w:val="006700D5"/>
    <w:rsid w:val="006708C8"/>
    <w:rsid w:val="00673228"/>
    <w:rsid w:val="0067444A"/>
    <w:rsid w:val="00675FF7"/>
    <w:rsid w:val="0068057B"/>
    <w:rsid w:val="006815DC"/>
    <w:rsid w:val="00693F8B"/>
    <w:rsid w:val="00696295"/>
    <w:rsid w:val="00697BC0"/>
    <w:rsid w:val="006A094C"/>
    <w:rsid w:val="006A23D5"/>
    <w:rsid w:val="006C0DFC"/>
    <w:rsid w:val="006C4B88"/>
    <w:rsid w:val="006C5477"/>
    <w:rsid w:val="006C6DBF"/>
    <w:rsid w:val="006E0C82"/>
    <w:rsid w:val="006E2190"/>
    <w:rsid w:val="006F3B85"/>
    <w:rsid w:val="006F5C69"/>
    <w:rsid w:val="007071D8"/>
    <w:rsid w:val="00714303"/>
    <w:rsid w:val="00716F1D"/>
    <w:rsid w:val="00720D5F"/>
    <w:rsid w:val="00722DF5"/>
    <w:rsid w:val="00730053"/>
    <w:rsid w:val="00731AD7"/>
    <w:rsid w:val="007379F9"/>
    <w:rsid w:val="007433A0"/>
    <w:rsid w:val="00747417"/>
    <w:rsid w:val="00752E3C"/>
    <w:rsid w:val="0075542D"/>
    <w:rsid w:val="00755FAF"/>
    <w:rsid w:val="007609E8"/>
    <w:rsid w:val="00761A73"/>
    <w:rsid w:val="007620B8"/>
    <w:rsid w:val="00762DBA"/>
    <w:rsid w:val="00762EE2"/>
    <w:rsid w:val="00763D73"/>
    <w:rsid w:val="00770E52"/>
    <w:rsid w:val="007753C4"/>
    <w:rsid w:val="00775B7F"/>
    <w:rsid w:val="007778D4"/>
    <w:rsid w:val="007805A6"/>
    <w:rsid w:val="00781500"/>
    <w:rsid w:val="00786016"/>
    <w:rsid w:val="0079088E"/>
    <w:rsid w:val="00791368"/>
    <w:rsid w:val="00791649"/>
    <w:rsid w:val="007940C2"/>
    <w:rsid w:val="00795616"/>
    <w:rsid w:val="0079732B"/>
    <w:rsid w:val="00797900"/>
    <w:rsid w:val="007A2044"/>
    <w:rsid w:val="007A37B3"/>
    <w:rsid w:val="007B07DA"/>
    <w:rsid w:val="007C0834"/>
    <w:rsid w:val="007C36DB"/>
    <w:rsid w:val="007C7B61"/>
    <w:rsid w:val="007D173A"/>
    <w:rsid w:val="007D70C4"/>
    <w:rsid w:val="007E7D87"/>
    <w:rsid w:val="00802901"/>
    <w:rsid w:val="0080509B"/>
    <w:rsid w:val="008050EC"/>
    <w:rsid w:val="00810D34"/>
    <w:rsid w:val="0081556F"/>
    <w:rsid w:val="00821397"/>
    <w:rsid w:val="00821B7A"/>
    <w:rsid w:val="008433C6"/>
    <w:rsid w:val="0084461B"/>
    <w:rsid w:val="00847200"/>
    <w:rsid w:val="008731B3"/>
    <w:rsid w:val="00873D94"/>
    <w:rsid w:val="00875C23"/>
    <w:rsid w:val="008808B0"/>
    <w:rsid w:val="00884C21"/>
    <w:rsid w:val="0088657E"/>
    <w:rsid w:val="008A0012"/>
    <w:rsid w:val="008A2371"/>
    <w:rsid w:val="008A3B97"/>
    <w:rsid w:val="008A44C0"/>
    <w:rsid w:val="008C31D6"/>
    <w:rsid w:val="008C43C8"/>
    <w:rsid w:val="008C657D"/>
    <w:rsid w:val="008D3551"/>
    <w:rsid w:val="008D74DD"/>
    <w:rsid w:val="008E16A8"/>
    <w:rsid w:val="008E31FF"/>
    <w:rsid w:val="008E377D"/>
    <w:rsid w:val="008F2218"/>
    <w:rsid w:val="008F53CE"/>
    <w:rsid w:val="008F730E"/>
    <w:rsid w:val="008F7B29"/>
    <w:rsid w:val="009014C8"/>
    <w:rsid w:val="0090226D"/>
    <w:rsid w:val="009025DD"/>
    <w:rsid w:val="00903B34"/>
    <w:rsid w:val="00903E82"/>
    <w:rsid w:val="00904271"/>
    <w:rsid w:val="00907973"/>
    <w:rsid w:val="00914A88"/>
    <w:rsid w:val="00917441"/>
    <w:rsid w:val="00924163"/>
    <w:rsid w:val="00924ED4"/>
    <w:rsid w:val="0093013A"/>
    <w:rsid w:val="00937AC4"/>
    <w:rsid w:val="00940301"/>
    <w:rsid w:val="009412F1"/>
    <w:rsid w:val="00943258"/>
    <w:rsid w:val="00945A60"/>
    <w:rsid w:val="00945C1B"/>
    <w:rsid w:val="00946205"/>
    <w:rsid w:val="009505D7"/>
    <w:rsid w:val="009548FE"/>
    <w:rsid w:val="00955BC1"/>
    <w:rsid w:val="00966D06"/>
    <w:rsid w:val="00973587"/>
    <w:rsid w:val="009854B5"/>
    <w:rsid w:val="00986B7D"/>
    <w:rsid w:val="00987C51"/>
    <w:rsid w:val="00997127"/>
    <w:rsid w:val="00997913"/>
    <w:rsid w:val="009A1E8A"/>
    <w:rsid w:val="009A36D3"/>
    <w:rsid w:val="009B19A2"/>
    <w:rsid w:val="009C0DBE"/>
    <w:rsid w:val="009C4BBD"/>
    <w:rsid w:val="009D2C8E"/>
    <w:rsid w:val="009D370A"/>
    <w:rsid w:val="009D6731"/>
    <w:rsid w:val="009D7CB2"/>
    <w:rsid w:val="00A03110"/>
    <w:rsid w:val="00A049FC"/>
    <w:rsid w:val="00A11DB4"/>
    <w:rsid w:val="00A16584"/>
    <w:rsid w:val="00A203E5"/>
    <w:rsid w:val="00A21C1B"/>
    <w:rsid w:val="00A24D9C"/>
    <w:rsid w:val="00A26CBC"/>
    <w:rsid w:val="00A40FC0"/>
    <w:rsid w:val="00A47BA2"/>
    <w:rsid w:val="00A53520"/>
    <w:rsid w:val="00A63CFD"/>
    <w:rsid w:val="00A6554E"/>
    <w:rsid w:val="00A71AC9"/>
    <w:rsid w:val="00AA0B04"/>
    <w:rsid w:val="00AA192C"/>
    <w:rsid w:val="00AA267C"/>
    <w:rsid w:val="00AA36F1"/>
    <w:rsid w:val="00AA466A"/>
    <w:rsid w:val="00AA4F31"/>
    <w:rsid w:val="00AB05C0"/>
    <w:rsid w:val="00AB2EEC"/>
    <w:rsid w:val="00AC14E3"/>
    <w:rsid w:val="00AD6E91"/>
    <w:rsid w:val="00AE6BC5"/>
    <w:rsid w:val="00AE6C8E"/>
    <w:rsid w:val="00AE713E"/>
    <w:rsid w:val="00AE7C1F"/>
    <w:rsid w:val="00AF17DF"/>
    <w:rsid w:val="00AF329F"/>
    <w:rsid w:val="00AF6824"/>
    <w:rsid w:val="00B0137F"/>
    <w:rsid w:val="00B026BD"/>
    <w:rsid w:val="00B03C73"/>
    <w:rsid w:val="00B04572"/>
    <w:rsid w:val="00B0684D"/>
    <w:rsid w:val="00B10301"/>
    <w:rsid w:val="00B137F4"/>
    <w:rsid w:val="00B14A81"/>
    <w:rsid w:val="00B17D49"/>
    <w:rsid w:val="00B25D83"/>
    <w:rsid w:val="00B26373"/>
    <w:rsid w:val="00B37623"/>
    <w:rsid w:val="00B37DB7"/>
    <w:rsid w:val="00B4544D"/>
    <w:rsid w:val="00B47E4A"/>
    <w:rsid w:val="00B568D8"/>
    <w:rsid w:val="00B573AD"/>
    <w:rsid w:val="00B6363E"/>
    <w:rsid w:val="00B6749E"/>
    <w:rsid w:val="00B754C7"/>
    <w:rsid w:val="00B85DC9"/>
    <w:rsid w:val="00B87C36"/>
    <w:rsid w:val="00B91941"/>
    <w:rsid w:val="00B96BE2"/>
    <w:rsid w:val="00B9761E"/>
    <w:rsid w:val="00BA2544"/>
    <w:rsid w:val="00BA54E9"/>
    <w:rsid w:val="00BB2589"/>
    <w:rsid w:val="00BB4B75"/>
    <w:rsid w:val="00BB5BDE"/>
    <w:rsid w:val="00BC22EE"/>
    <w:rsid w:val="00BC4157"/>
    <w:rsid w:val="00BC74D5"/>
    <w:rsid w:val="00BD2D81"/>
    <w:rsid w:val="00BE157D"/>
    <w:rsid w:val="00BF2428"/>
    <w:rsid w:val="00BF4698"/>
    <w:rsid w:val="00BF5821"/>
    <w:rsid w:val="00BF5D97"/>
    <w:rsid w:val="00BF6C2E"/>
    <w:rsid w:val="00C01A90"/>
    <w:rsid w:val="00C03B4C"/>
    <w:rsid w:val="00C0456B"/>
    <w:rsid w:val="00C06DF9"/>
    <w:rsid w:val="00C14F48"/>
    <w:rsid w:val="00C160DF"/>
    <w:rsid w:val="00C16F9D"/>
    <w:rsid w:val="00C23923"/>
    <w:rsid w:val="00C31536"/>
    <w:rsid w:val="00C4034C"/>
    <w:rsid w:val="00C422ED"/>
    <w:rsid w:val="00C71FBD"/>
    <w:rsid w:val="00C73F7F"/>
    <w:rsid w:val="00C74F83"/>
    <w:rsid w:val="00C91151"/>
    <w:rsid w:val="00CA2BAA"/>
    <w:rsid w:val="00CA2E46"/>
    <w:rsid w:val="00CA5595"/>
    <w:rsid w:val="00CA642C"/>
    <w:rsid w:val="00CB5FC5"/>
    <w:rsid w:val="00CC3D59"/>
    <w:rsid w:val="00CC4849"/>
    <w:rsid w:val="00CD0BF9"/>
    <w:rsid w:val="00CD230F"/>
    <w:rsid w:val="00CE71A5"/>
    <w:rsid w:val="00CF0871"/>
    <w:rsid w:val="00D01E35"/>
    <w:rsid w:val="00D04E56"/>
    <w:rsid w:val="00D1052D"/>
    <w:rsid w:val="00D1184A"/>
    <w:rsid w:val="00D171E2"/>
    <w:rsid w:val="00D25180"/>
    <w:rsid w:val="00D25AEB"/>
    <w:rsid w:val="00D31C76"/>
    <w:rsid w:val="00D32740"/>
    <w:rsid w:val="00D36E4A"/>
    <w:rsid w:val="00D3763C"/>
    <w:rsid w:val="00D37FCD"/>
    <w:rsid w:val="00D4082A"/>
    <w:rsid w:val="00D410EE"/>
    <w:rsid w:val="00D47E9E"/>
    <w:rsid w:val="00D55671"/>
    <w:rsid w:val="00D77223"/>
    <w:rsid w:val="00D80AF9"/>
    <w:rsid w:val="00D80C6E"/>
    <w:rsid w:val="00D87269"/>
    <w:rsid w:val="00D91873"/>
    <w:rsid w:val="00DA4B56"/>
    <w:rsid w:val="00DA61CE"/>
    <w:rsid w:val="00DB3125"/>
    <w:rsid w:val="00DB3577"/>
    <w:rsid w:val="00DB40D5"/>
    <w:rsid w:val="00DB4B0F"/>
    <w:rsid w:val="00DC0C71"/>
    <w:rsid w:val="00DC5485"/>
    <w:rsid w:val="00DC6ACD"/>
    <w:rsid w:val="00DD126B"/>
    <w:rsid w:val="00DE0162"/>
    <w:rsid w:val="00DE0552"/>
    <w:rsid w:val="00DF5478"/>
    <w:rsid w:val="00E01C98"/>
    <w:rsid w:val="00E054B1"/>
    <w:rsid w:val="00E05790"/>
    <w:rsid w:val="00E325C9"/>
    <w:rsid w:val="00E36819"/>
    <w:rsid w:val="00E40A09"/>
    <w:rsid w:val="00E47B8B"/>
    <w:rsid w:val="00E47FC2"/>
    <w:rsid w:val="00E52FD5"/>
    <w:rsid w:val="00E530F5"/>
    <w:rsid w:val="00E631A9"/>
    <w:rsid w:val="00E70F10"/>
    <w:rsid w:val="00E82EAF"/>
    <w:rsid w:val="00E90F3C"/>
    <w:rsid w:val="00E90F6F"/>
    <w:rsid w:val="00E94ED1"/>
    <w:rsid w:val="00E9637C"/>
    <w:rsid w:val="00E968BB"/>
    <w:rsid w:val="00E975A9"/>
    <w:rsid w:val="00EA012F"/>
    <w:rsid w:val="00EA1D10"/>
    <w:rsid w:val="00EA356A"/>
    <w:rsid w:val="00EA3C22"/>
    <w:rsid w:val="00EA69C0"/>
    <w:rsid w:val="00EB4309"/>
    <w:rsid w:val="00EB4346"/>
    <w:rsid w:val="00EB484A"/>
    <w:rsid w:val="00EC130F"/>
    <w:rsid w:val="00EC4B1A"/>
    <w:rsid w:val="00ED6643"/>
    <w:rsid w:val="00EE2912"/>
    <w:rsid w:val="00EE3903"/>
    <w:rsid w:val="00EF2039"/>
    <w:rsid w:val="00F0329A"/>
    <w:rsid w:val="00F034FA"/>
    <w:rsid w:val="00F07EC9"/>
    <w:rsid w:val="00F102AF"/>
    <w:rsid w:val="00F11B2C"/>
    <w:rsid w:val="00F17EFD"/>
    <w:rsid w:val="00F22B73"/>
    <w:rsid w:val="00F26367"/>
    <w:rsid w:val="00F33EE5"/>
    <w:rsid w:val="00F350E7"/>
    <w:rsid w:val="00F45914"/>
    <w:rsid w:val="00F4677F"/>
    <w:rsid w:val="00F509C3"/>
    <w:rsid w:val="00F573BC"/>
    <w:rsid w:val="00F64806"/>
    <w:rsid w:val="00F72912"/>
    <w:rsid w:val="00F73C81"/>
    <w:rsid w:val="00F73D27"/>
    <w:rsid w:val="00F80EA0"/>
    <w:rsid w:val="00F849E9"/>
    <w:rsid w:val="00F86DB5"/>
    <w:rsid w:val="00F97324"/>
    <w:rsid w:val="00FA14A5"/>
    <w:rsid w:val="00FA4A2E"/>
    <w:rsid w:val="00FB14F5"/>
    <w:rsid w:val="00FB3A3F"/>
    <w:rsid w:val="00FB4789"/>
    <w:rsid w:val="00FB5EFC"/>
    <w:rsid w:val="00FB7F4D"/>
    <w:rsid w:val="00FC4E5E"/>
    <w:rsid w:val="00FC63CA"/>
    <w:rsid w:val="00FC7B12"/>
    <w:rsid w:val="00FD0779"/>
    <w:rsid w:val="00FD0CE4"/>
    <w:rsid w:val="00FD0DB4"/>
    <w:rsid w:val="00FE0535"/>
    <w:rsid w:val="00FE3995"/>
    <w:rsid w:val="00FE4320"/>
    <w:rsid w:val="00FE4BB8"/>
    <w:rsid w:val="00FF377A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E5D26"/>
  <w15:chartTrackingRefBased/>
  <w15:docId w15:val="{17FDBDCF-9815-4AA4-B6D4-B7EF341D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358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358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255AB0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8</TotalTime>
  <Pages>5</Pages>
  <Words>1474</Words>
  <Characters>7835</Characters>
  <Application>Microsoft Office Word</Application>
  <DocSecurity>0</DocSecurity>
  <Lines>151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2022-07-18T22:35:00Z</cp:lastPrinted>
  <dcterms:created xsi:type="dcterms:W3CDTF">2025-12-15T14:10:00Z</dcterms:created>
  <dcterms:modified xsi:type="dcterms:W3CDTF">2026-02-10T12:55:00Z</dcterms:modified>
</cp:coreProperties>
</file>