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957AE" w14:textId="77777777" w:rsidR="00B8768E" w:rsidRDefault="00B8768E" w:rsidP="00AD33D8">
      <w:pPr>
        <w:pStyle w:val="Ttulo2"/>
      </w:pPr>
    </w:p>
    <w:p w14:paraId="42E58D98" w14:textId="2C6FB5A0" w:rsidR="00B8768E" w:rsidRDefault="00B8768E" w:rsidP="00B8768E">
      <w:pPr>
        <w:pStyle w:val="Ttulo"/>
        <w:jc w:val="center"/>
      </w:pPr>
      <w:r>
        <w:t xml:space="preserve">Carlos Munaretto – </w:t>
      </w:r>
      <w:r w:rsidR="00AE2A33">
        <w:t>Estudos sobre a p</w:t>
      </w:r>
      <w:r w:rsidRPr="0050002D">
        <w:t xml:space="preserve">rescrição </w:t>
      </w:r>
      <w:r>
        <w:t>da pretensão punitiva</w:t>
      </w:r>
    </w:p>
    <w:p w14:paraId="67D76888" w14:textId="77777777" w:rsidR="00B8768E" w:rsidRPr="00B8768E" w:rsidRDefault="00B8768E" w:rsidP="00B8768E"/>
    <w:p w14:paraId="7B75E2D2" w14:textId="301DF230" w:rsidR="00B8768E" w:rsidRDefault="00B8768E" w:rsidP="00B8768E">
      <w:pPr>
        <w:pStyle w:val="Ttulo"/>
      </w:pPr>
      <w:r>
        <w:t xml:space="preserve">I – Tempo de prescrição de cada crime </w:t>
      </w:r>
      <w:r w:rsidR="00F243D2">
        <w:t xml:space="preserve">em que </w:t>
      </w:r>
      <w:r>
        <w:t>Carlos foi condenado:</w:t>
      </w:r>
    </w:p>
    <w:p w14:paraId="59A4D3B1" w14:textId="77777777" w:rsidR="00F243D2" w:rsidRPr="00F243D2" w:rsidRDefault="00F243D2" w:rsidP="00AD33D8">
      <w:pPr>
        <w:pStyle w:val="Ttulo2"/>
      </w:pPr>
    </w:p>
    <w:p w14:paraId="748B93FD" w14:textId="77777777" w:rsidR="00B8768E" w:rsidRDefault="00B8768E" w:rsidP="00B8768E">
      <w:pPr>
        <w:pStyle w:val="SemEspaamento"/>
      </w:pPr>
      <w:r>
        <w:t>Receptação qualificada = prescreve em 8 anos (4 anos de pena – art. 109, IV, do CP)</w:t>
      </w:r>
    </w:p>
    <w:p w14:paraId="29B93AEF" w14:textId="65DD40B2" w:rsidR="00B8768E" w:rsidRDefault="00B8768E" w:rsidP="00B8768E">
      <w:pPr>
        <w:pStyle w:val="SemEspaamento"/>
      </w:pPr>
      <w:r>
        <w:t>Adulteração de sinais veículo = prescreve em 12 anos (5 anos e 10 meses de pena – art. 109, III, do CP)</w:t>
      </w:r>
      <w:r w:rsidR="00151668">
        <w:t>.</w:t>
      </w:r>
    </w:p>
    <w:p w14:paraId="4216BD90" w14:textId="77777777" w:rsidR="00B8768E" w:rsidRDefault="00B8768E" w:rsidP="00E01A35">
      <w:pPr>
        <w:pStyle w:val="SemEspaamento"/>
        <w:numPr>
          <w:ilvl w:val="0"/>
          <w:numId w:val="0"/>
        </w:numPr>
        <w:ind w:left="1701"/>
      </w:pPr>
    </w:p>
    <w:p w14:paraId="7D7315E0" w14:textId="37C87C2B" w:rsidR="00B8768E" w:rsidRDefault="00B8768E" w:rsidP="00B8768E">
      <w:pPr>
        <w:pStyle w:val="Ttulo"/>
      </w:pPr>
      <w:r>
        <w:t xml:space="preserve">II – Marcos interruptivos da prescrição </w:t>
      </w:r>
      <w:r w:rsidRPr="00B8768E">
        <w:rPr>
          <w:b w:val="0"/>
          <w:bCs/>
          <w:sz w:val="20"/>
          <w:szCs w:val="22"/>
        </w:rPr>
        <w:t>(art. 117 do CP)</w:t>
      </w:r>
      <w:r w:rsidRPr="00145217">
        <w:rPr>
          <w:b w:val="0"/>
          <w:bCs/>
        </w:rPr>
        <w:t>:</w:t>
      </w:r>
    </w:p>
    <w:p w14:paraId="5EF588FA" w14:textId="77777777" w:rsidR="00B8768E" w:rsidRPr="00B8768E" w:rsidRDefault="00B8768E" w:rsidP="00AD33D8">
      <w:pPr>
        <w:pStyle w:val="Ttulo2"/>
      </w:pPr>
    </w:p>
    <w:p w14:paraId="431B270A" w14:textId="27D90420" w:rsidR="00B8768E" w:rsidRDefault="00B8768E" w:rsidP="00B8768E">
      <w:pPr>
        <w:pStyle w:val="SemEspaamento"/>
      </w:pPr>
      <w:r>
        <w:t xml:space="preserve">Data </w:t>
      </w:r>
      <w:r w:rsidR="00DB0865">
        <w:t xml:space="preserve">estimada </w:t>
      </w:r>
      <w:r>
        <w:t>do</w:t>
      </w:r>
      <w:r w:rsidR="00DB0865">
        <w:t>s</w:t>
      </w:r>
      <w:r>
        <w:t xml:space="preserve"> fato</w:t>
      </w:r>
      <w:r w:rsidR="00DB0865">
        <w:t>s</w:t>
      </w:r>
      <w:r>
        <w:t>: junho/2009 a março/2011</w:t>
      </w:r>
    </w:p>
    <w:p w14:paraId="03B57D6F" w14:textId="77777777" w:rsidR="00B8768E" w:rsidRDefault="00B8768E" w:rsidP="00B8768E">
      <w:pPr>
        <w:pStyle w:val="SemEspaamento"/>
      </w:pPr>
      <w:r>
        <w:t>Recebimento denúncia: 18/04/2012</w:t>
      </w:r>
    </w:p>
    <w:p w14:paraId="6499B3C9" w14:textId="77777777" w:rsidR="00B8768E" w:rsidRDefault="00B8768E" w:rsidP="00B8768E">
      <w:pPr>
        <w:pStyle w:val="SemEspaamento"/>
      </w:pPr>
      <w:r>
        <w:t xml:space="preserve">Condenação 1º grau: 28/08/16 (tempo decorrido: </w:t>
      </w:r>
      <w:r w:rsidRPr="00F243D2">
        <w:rPr>
          <w:b/>
          <w:bCs/>
        </w:rPr>
        <w:t>4 anos</w:t>
      </w:r>
      <w:r>
        <w:t xml:space="preserve"> e 2 meses)</w:t>
      </w:r>
    </w:p>
    <w:p w14:paraId="77930327" w14:textId="77777777" w:rsidR="00B8768E" w:rsidRDefault="00B8768E" w:rsidP="00B8768E">
      <w:pPr>
        <w:pStyle w:val="SemEspaamento"/>
      </w:pPr>
      <w:r>
        <w:t xml:space="preserve">Acórdão desproveu apelação (data da publicação): 16/04/2019 (tempo decorrido: cerca de </w:t>
      </w:r>
      <w:r w:rsidRPr="00F243D2">
        <w:rPr>
          <w:b/>
          <w:bCs/>
        </w:rPr>
        <w:t>2 anos e</w:t>
      </w:r>
      <w:r>
        <w:t xml:space="preserve"> </w:t>
      </w:r>
      <w:r w:rsidRPr="00A20D62">
        <w:rPr>
          <w:b/>
          <w:bCs/>
        </w:rPr>
        <w:t>7 meses</w:t>
      </w:r>
      <w:r>
        <w:t>)</w:t>
      </w:r>
    </w:p>
    <w:p w14:paraId="5DECE6E7" w14:textId="5A58C172" w:rsidR="00B8768E" w:rsidRDefault="00B8768E" w:rsidP="00B8768E">
      <w:pPr>
        <w:pStyle w:val="SemEspaamento"/>
      </w:pPr>
      <w:r>
        <w:t xml:space="preserve">Acordão rejeitou os EDs após a anulação (data estimada da publicação – 1 dia após julgamento no eproc): 10/02/2023 (tempo decorrido: </w:t>
      </w:r>
      <w:r w:rsidRPr="00F243D2">
        <w:rPr>
          <w:b/>
          <w:bCs/>
        </w:rPr>
        <w:t>3 anos</w:t>
      </w:r>
      <w:r>
        <w:t xml:space="preserve"> e 10 meses)</w:t>
      </w:r>
      <w:r w:rsidR="00DB0865">
        <w:t>.</w:t>
      </w:r>
    </w:p>
    <w:p w14:paraId="748BC636" w14:textId="77777777" w:rsidR="00447FC6" w:rsidRDefault="00B16B5B" w:rsidP="0006216A">
      <w:pPr>
        <w:pStyle w:val="SemEspaamento"/>
      </w:pPr>
      <w:r w:rsidRPr="00D55697">
        <w:rPr>
          <w:b/>
          <w:bCs/>
        </w:rPr>
        <w:t>Fatos</w:t>
      </w:r>
      <w:r>
        <w:t xml:space="preserve"> </w:t>
      </w:r>
      <w:r w:rsidRPr="00B16B5B">
        <w:rPr>
          <w:b/>
          <w:bCs/>
        </w:rPr>
        <w:t>anteriores à</w:t>
      </w:r>
      <w:r>
        <w:t xml:space="preserve"> </w:t>
      </w:r>
      <w:r w:rsidR="00D55697" w:rsidRPr="00D55697">
        <w:rPr>
          <w:b/>
          <w:bCs/>
        </w:rPr>
        <w:t>vigência</w:t>
      </w:r>
      <w:r w:rsidR="00D55697">
        <w:t xml:space="preserve"> </w:t>
      </w:r>
      <w:r w:rsidRPr="00B16B5B">
        <w:rPr>
          <w:b/>
          <w:bCs/>
        </w:rPr>
        <w:t>Lei n. 11.596/2007</w:t>
      </w:r>
      <w:r>
        <w:t xml:space="preserve"> não são interrompidos </w:t>
      </w:r>
      <w:r w:rsidR="0006216A">
        <w:t>“</w:t>
      </w:r>
      <w:r w:rsidR="0006216A" w:rsidRPr="00510A7D">
        <w:rPr>
          <w:i/>
          <w:iCs/>
        </w:rPr>
        <w:t>pela publicação da sentença ou acórdão condenatórios recorríveis</w:t>
      </w:r>
      <w:r w:rsidR="0006216A">
        <w:t>”</w:t>
      </w:r>
      <w:r w:rsidR="00510A7D">
        <w:t xml:space="preserve"> (CP, art. 117, IV</w:t>
      </w:r>
      <w:r w:rsidR="00447FC6">
        <w:t xml:space="preserve"> – incluído pela Lei 11.596</w:t>
      </w:r>
      <w:r w:rsidR="00510A7D">
        <w:t xml:space="preserve">), </w:t>
      </w:r>
      <w:r w:rsidR="00447FC6">
        <w:t xml:space="preserve">porque é aplicável a Lei penal vigente à época, mais benéfica. </w:t>
      </w:r>
    </w:p>
    <w:p w14:paraId="30358CDA" w14:textId="285C35E1" w:rsidR="0006216A" w:rsidRDefault="00447FC6" w:rsidP="0006216A">
      <w:pPr>
        <w:pStyle w:val="SemEspaamento"/>
      </w:pPr>
      <w:r>
        <w:t>I</w:t>
      </w:r>
      <w:r w:rsidR="00510A7D">
        <w:t xml:space="preserve">nfelizmente, </w:t>
      </w:r>
      <w:r>
        <w:t xml:space="preserve">esse </w:t>
      </w:r>
      <w:r w:rsidR="00510A7D">
        <w:t xml:space="preserve">não é o caso </w:t>
      </w:r>
      <w:r w:rsidR="00510A7D" w:rsidRPr="00823D12">
        <w:rPr>
          <w:sz w:val="20"/>
          <w:szCs w:val="18"/>
        </w:rPr>
        <w:t>(</w:t>
      </w:r>
      <w:r w:rsidR="00510A7D" w:rsidRPr="00823D12">
        <w:rPr>
          <w:i/>
          <w:iCs/>
          <w:sz w:val="20"/>
          <w:szCs w:val="18"/>
        </w:rPr>
        <w:t xml:space="preserve">vide </w:t>
      </w:r>
      <w:r w:rsidR="00510A7D" w:rsidRPr="00823D12">
        <w:rPr>
          <w:sz w:val="20"/>
          <w:szCs w:val="18"/>
        </w:rPr>
        <w:t xml:space="preserve">STJ, </w:t>
      </w:r>
      <w:r w:rsidR="00823D12" w:rsidRPr="00823D12">
        <w:rPr>
          <w:sz w:val="20"/>
          <w:szCs w:val="18"/>
        </w:rPr>
        <w:t>EDs no AgRg no AREsp n. 2.079.747/MS)</w:t>
      </w:r>
      <w:r w:rsidR="00510A7D">
        <w:t>.</w:t>
      </w:r>
      <w:hyperlink r:id="rId8" w:anchor="art2" w:history="1"/>
      <w:r w:rsidR="0006216A" w:rsidRPr="0006216A">
        <w:t xml:space="preserve"> </w:t>
      </w:r>
    </w:p>
    <w:p w14:paraId="423603DC" w14:textId="77777777" w:rsidR="00AD33D8" w:rsidRDefault="00D442EC" w:rsidP="00D442EC">
      <w:pPr>
        <w:pStyle w:val="SemEspaamento"/>
      </w:pPr>
      <w:r>
        <w:t>Tema repetitivo n. 1.100/STJ: “</w:t>
      </w:r>
      <w:r w:rsidRPr="00D442EC">
        <w:rPr>
          <w:i/>
          <w:iCs/>
        </w:rPr>
        <w:t>O acórdão condenatório de que trata o inciso IV do art. 117 do Código Penal interrompe a prescrição, inclusive quando confirmatório de sentença condenatória, seja mantendo, reduzindo ou aumentando a pena anteriormente imposta</w:t>
      </w:r>
      <w:r>
        <w:t>”</w:t>
      </w:r>
      <w:r w:rsidRPr="00D442EC">
        <w:t>.</w:t>
      </w:r>
      <w:r w:rsidR="00AF1C52">
        <w:t xml:space="preserve"> </w:t>
      </w:r>
    </w:p>
    <w:p w14:paraId="5B271096" w14:textId="36DFCDC3" w:rsidR="00DB0865" w:rsidRDefault="00AF1C52" w:rsidP="00D442EC">
      <w:pPr>
        <w:pStyle w:val="SemEspaamento"/>
      </w:pPr>
      <w:r>
        <w:t xml:space="preserve">Portanto, todo acórdão que mantenha a condenação, inclusive </w:t>
      </w:r>
      <w:r w:rsidR="00AD33D8">
        <w:t>decorrente de julgamento no STJ/STF, reiniciam o prazo de contagem da prescrição.</w:t>
      </w:r>
    </w:p>
    <w:p w14:paraId="1A14318A" w14:textId="0B16511F" w:rsidR="00997FCB" w:rsidRDefault="00B8768E" w:rsidP="00B8768E">
      <w:pPr>
        <w:pStyle w:val="SemEspaamento"/>
      </w:pPr>
      <w:r>
        <w:rPr>
          <w:b/>
          <w:bCs/>
        </w:rPr>
        <w:t>Conclusão</w:t>
      </w:r>
      <w:r>
        <w:t xml:space="preserve">: </w:t>
      </w:r>
      <w:r w:rsidR="00F243D2">
        <w:t xml:space="preserve">até o momento </w:t>
      </w:r>
      <w:r w:rsidRPr="00AD33D8">
        <w:rPr>
          <w:b/>
          <w:bCs/>
        </w:rPr>
        <w:t>não foi consumada a prescrição</w:t>
      </w:r>
      <w:r>
        <w:t xml:space="preserve"> de nenhum dos crimes</w:t>
      </w:r>
      <w:r w:rsidR="00F243D2">
        <w:t xml:space="preserve"> pelos quais Carlos foi condenado</w:t>
      </w:r>
      <w:r>
        <w:t>.</w:t>
      </w:r>
      <w:r w:rsidR="00F970B8">
        <w:t xml:space="preserve"> </w:t>
      </w:r>
    </w:p>
    <w:p w14:paraId="5AA136F1" w14:textId="77777777" w:rsidR="00812429" w:rsidRDefault="00812429" w:rsidP="00851FE4">
      <w:pPr>
        <w:pStyle w:val="SemEspaamento"/>
        <w:numPr>
          <w:ilvl w:val="0"/>
          <w:numId w:val="0"/>
        </w:numPr>
        <w:ind w:left="1701"/>
        <w:rPr>
          <w:b/>
          <w:bCs/>
        </w:rPr>
      </w:pPr>
    </w:p>
    <w:p w14:paraId="38686A58" w14:textId="77777777" w:rsidR="00812429" w:rsidRDefault="00812429" w:rsidP="00851FE4">
      <w:pPr>
        <w:pStyle w:val="SemEspaamento"/>
        <w:numPr>
          <w:ilvl w:val="0"/>
          <w:numId w:val="0"/>
        </w:numPr>
        <w:ind w:left="1701"/>
        <w:rPr>
          <w:b/>
          <w:bCs/>
        </w:rPr>
      </w:pPr>
    </w:p>
    <w:p w14:paraId="569F168C" w14:textId="75C59816" w:rsidR="00851FE4" w:rsidRDefault="00851FE4" w:rsidP="00EC6955">
      <w:pPr>
        <w:pStyle w:val="SemEspaamento"/>
        <w:numPr>
          <w:ilvl w:val="0"/>
          <w:numId w:val="0"/>
        </w:numPr>
        <w:ind w:firstLine="1701"/>
      </w:pPr>
      <w:r>
        <w:rPr>
          <w:b/>
          <w:bCs/>
        </w:rPr>
        <w:t xml:space="preserve">Mercedes 710 </w:t>
      </w:r>
      <w:r>
        <w:t>– Está correto o número do laudo, os 4 números centrais não existem (são apenas 12 números de plaqueta).</w:t>
      </w:r>
    </w:p>
    <w:p w14:paraId="29C7A13E" w14:textId="3CEA3048" w:rsidR="00851FE4" w:rsidRDefault="00851FE4" w:rsidP="00EC6955">
      <w:pPr>
        <w:pStyle w:val="SemEspaamento"/>
        <w:numPr>
          <w:ilvl w:val="0"/>
          <w:numId w:val="0"/>
        </w:numPr>
        <w:ind w:firstLine="1701"/>
      </w:pPr>
      <w:r>
        <w:rPr>
          <w:b/>
          <w:bCs/>
        </w:rPr>
        <w:t xml:space="preserve">Câmbio da </w:t>
      </w:r>
      <w:proofErr w:type="spellStart"/>
      <w:r>
        <w:rPr>
          <w:b/>
          <w:bCs/>
        </w:rPr>
        <w:t>Mercedinha</w:t>
      </w:r>
      <w:proofErr w:type="spellEnd"/>
      <w:r>
        <w:t xml:space="preserve"> –</w:t>
      </w:r>
      <w:r w:rsidR="001A5FD8">
        <w:t xml:space="preserve"> No laudo, erraram o número da caixa de câmbio</w:t>
      </w:r>
      <w:r w:rsidR="00740803">
        <w:t xml:space="preserve"> – número segredo é original</w:t>
      </w:r>
      <w:r w:rsidR="001A5FD8">
        <w:t>.</w:t>
      </w:r>
      <w:r w:rsidR="00740803">
        <w:t xml:space="preserve"> Usaram o modelo da caixa como se fo</w:t>
      </w:r>
      <w:r w:rsidR="00533D8F">
        <w:t>sse o do número da caixa de câmbio.</w:t>
      </w:r>
      <w:r>
        <w:t xml:space="preserve"> </w:t>
      </w:r>
    </w:p>
    <w:p w14:paraId="3FBFE215" w14:textId="430A0C13" w:rsidR="0085002E" w:rsidRPr="00F7439A" w:rsidRDefault="00F7439A" w:rsidP="00EC6955">
      <w:pPr>
        <w:pStyle w:val="SemEspaamento"/>
        <w:numPr>
          <w:ilvl w:val="0"/>
          <w:numId w:val="0"/>
        </w:numPr>
        <w:ind w:firstLine="1701"/>
      </w:pPr>
      <w:r>
        <w:rPr>
          <w:b/>
          <w:bCs/>
        </w:rPr>
        <w:t xml:space="preserve">Mercedes 1313 </w:t>
      </w:r>
      <w:r>
        <w:t xml:space="preserve">– </w:t>
      </w:r>
      <w:r w:rsidR="0085002E">
        <w:t>Carroceria de ônibus transformada em caminhão</w:t>
      </w:r>
      <w:r w:rsidR="008A682B">
        <w:t xml:space="preserve"> (número 11 – significa ônibus e, portanto, não era</w:t>
      </w:r>
      <w:r w:rsidR="0029709C">
        <w:t xml:space="preserve"> cabine de caminhão</w:t>
      </w:r>
      <w:r w:rsidR="000B0D12">
        <w:t>)</w:t>
      </w:r>
      <w:r w:rsidR="0085002E">
        <w:t>.</w:t>
      </w:r>
    </w:p>
    <w:sectPr w:rsidR="0085002E" w:rsidRPr="00F7439A" w:rsidSect="00AD33D8">
      <w:headerReference w:type="default" r:id="rId9"/>
      <w:footerReference w:type="default" r:id="rId10"/>
      <w:pgSz w:w="11906" w:h="16838"/>
      <w:pgMar w:top="1843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74D29" w14:textId="77777777" w:rsidR="00D44A8A" w:rsidRDefault="00D44A8A" w:rsidP="00943258">
      <w:pPr>
        <w:spacing w:after="0" w:line="240" w:lineRule="auto"/>
      </w:pPr>
      <w:r>
        <w:separator/>
      </w:r>
    </w:p>
  </w:endnote>
  <w:endnote w:type="continuationSeparator" w:id="0">
    <w:p w14:paraId="5FDE2F54" w14:textId="77777777" w:rsidR="00D44A8A" w:rsidRDefault="00D44A8A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61DFEA0E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01856412" wp14:editId="755CABA0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657834345" name="Imagem 165783434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6622F393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5ED27" w14:textId="77777777" w:rsidR="00D44A8A" w:rsidRDefault="00D44A8A" w:rsidP="00943258">
      <w:pPr>
        <w:spacing w:after="0" w:line="240" w:lineRule="auto"/>
      </w:pPr>
      <w:r>
        <w:separator/>
      </w:r>
    </w:p>
  </w:footnote>
  <w:footnote w:type="continuationSeparator" w:id="0">
    <w:p w14:paraId="3B5640E4" w14:textId="77777777" w:rsidR="00D44A8A" w:rsidRDefault="00D44A8A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E71EF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188D7013" wp14:editId="05113E08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929123548" name="Imagem 929123548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40459ABE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494E3859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58D4998E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82D246E0"/>
    <w:lvl w:ilvl="0" w:tplc="65BC3710">
      <w:start w:val="1"/>
      <w:numFmt w:val="decimal"/>
      <w:pStyle w:val="SemEspaamento"/>
      <w:lvlText w:val="%1."/>
      <w:lvlJc w:val="left"/>
      <w:pPr>
        <w:ind w:left="1778" w:hanging="360"/>
      </w:pPr>
      <w:rPr>
        <w:b w:val="0"/>
        <w:bCs w:val="0"/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476994095">
    <w:abstractNumId w:val="0"/>
    <w:lvlOverride w:ilvl="0">
      <w:startOverride w:val="1"/>
    </w:lvlOverride>
  </w:num>
  <w:num w:numId="5" w16cid:durableId="1746802409">
    <w:abstractNumId w:val="0"/>
    <w:lvlOverride w:ilvl="0">
      <w:startOverride w:val="1"/>
    </w:lvlOverride>
  </w:num>
  <w:num w:numId="6" w16cid:durableId="2675489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68E"/>
    <w:rsid w:val="00003F31"/>
    <w:rsid w:val="000169F1"/>
    <w:rsid w:val="0004298B"/>
    <w:rsid w:val="0005209A"/>
    <w:rsid w:val="00053981"/>
    <w:rsid w:val="0006216A"/>
    <w:rsid w:val="00075A53"/>
    <w:rsid w:val="0008451B"/>
    <w:rsid w:val="00097661"/>
    <w:rsid w:val="000A0771"/>
    <w:rsid w:val="000A3069"/>
    <w:rsid w:val="000A400D"/>
    <w:rsid w:val="000A489A"/>
    <w:rsid w:val="000A72BA"/>
    <w:rsid w:val="000B0D12"/>
    <w:rsid w:val="000B7F6D"/>
    <w:rsid w:val="000C719F"/>
    <w:rsid w:val="000D228C"/>
    <w:rsid w:val="000E1ABC"/>
    <w:rsid w:val="000E4918"/>
    <w:rsid w:val="000F4B7A"/>
    <w:rsid w:val="00120F71"/>
    <w:rsid w:val="00127F20"/>
    <w:rsid w:val="00131BEB"/>
    <w:rsid w:val="00140E2A"/>
    <w:rsid w:val="0014112C"/>
    <w:rsid w:val="00145217"/>
    <w:rsid w:val="00151668"/>
    <w:rsid w:val="001538B0"/>
    <w:rsid w:val="00161108"/>
    <w:rsid w:val="001667B0"/>
    <w:rsid w:val="00172C32"/>
    <w:rsid w:val="001761C0"/>
    <w:rsid w:val="00181F01"/>
    <w:rsid w:val="00183BE2"/>
    <w:rsid w:val="00184D06"/>
    <w:rsid w:val="001A5FD8"/>
    <w:rsid w:val="001B2B98"/>
    <w:rsid w:val="001B2E75"/>
    <w:rsid w:val="001C5FD0"/>
    <w:rsid w:val="001C6428"/>
    <w:rsid w:val="001D2195"/>
    <w:rsid w:val="001D4BE3"/>
    <w:rsid w:val="001D61A9"/>
    <w:rsid w:val="001D62C6"/>
    <w:rsid w:val="001D7276"/>
    <w:rsid w:val="001F01A3"/>
    <w:rsid w:val="001F192F"/>
    <w:rsid w:val="00201F45"/>
    <w:rsid w:val="00204FA5"/>
    <w:rsid w:val="00207BE4"/>
    <w:rsid w:val="00214E09"/>
    <w:rsid w:val="0022125A"/>
    <w:rsid w:val="00221FA6"/>
    <w:rsid w:val="002308F8"/>
    <w:rsid w:val="0023784D"/>
    <w:rsid w:val="0025281C"/>
    <w:rsid w:val="002545ED"/>
    <w:rsid w:val="00257F46"/>
    <w:rsid w:val="00272BFB"/>
    <w:rsid w:val="00291F6C"/>
    <w:rsid w:val="00293370"/>
    <w:rsid w:val="0029709C"/>
    <w:rsid w:val="002C30D0"/>
    <w:rsid w:val="002D47C8"/>
    <w:rsid w:val="002F01B3"/>
    <w:rsid w:val="002F2733"/>
    <w:rsid w:val="00301E6F"/>
    <w:rsid w:val="0032429B"/>
    <w:rsid w:val="00342C2F"/>
    <w:rsid w:val="00343837"/>
    <w:rsid w:val="003512A8"/>
    <w:rsid w:val="003525C9"/>
    <w:rsid w:val="00377A2E"/>
    <w:rsid w:val="003801CD"/>
    <w:rsid w:val="00383AFE"/>
    <w:rsid w:val="00384496"/>
    <w:rsid w:val="00386050"/>
    <w:rsid w:val="00386A4E"/>
    <w:rsid w:val="003B3584"/>
    <w:rsid w:val="003B5AF7"/>
    <w:rsid w:val="003C183F"/>
    <w:rsid w:val="003C1D75"/>
    <w:rsid w:val="003E1DA3"/>
    <w:rsid w:val="003E46B9"/>
    <w:rsid w:val="003E4CFD"/>
    <w:rsid w:val="003F2568"/>
    <w:rsid w:val="00403C20"/>
    <w:rsid w:val="0043334C"/>
    <w:rsid w:val="00447FC6"/>
    <w:rsid w:val="00452677"/>
    <w:rsid w:val="0045370A"/>
    <w:rsid w:val="004569FD"/>
    <w:rsid w:val="00456FFF"/>
    <w:rsid w:val="00486EA1"/>
    <w:rsid w:val="004949AD"/>
    <w:rsid w:val="004A5755"/>
    <w:rsid w:val="004B2646"/>
    <w:rsid w:val="004B6D3D"/>
    <w:rsid w:val="004B702B"/>
    <w:rsid w:val="004D3DF7"/>
    <w:rsid w:val="004F0449"/>
    <w:rsid w:val="004F1F34"/>
    <w:rsid w:val="004F2B78"/>
    <w:rsid w:val="004F384D"/>
    <w:rsid w:val="004F4230"/>
    <w:rsid w:val="00501A18"/>
    <w:rsid w:val="00510A7D"/>
    <w:rsid w:val="00520AC9"/>
    <w:rsid w:val="005321DA"/>
    <w:rsid w:val="00533D8F"/>
    <w:rsid w:val="00534DCD"/>
    <w:rsid w:val="0054446A"/>
    <w:rsid w:val="005460AC"/>
    <w:rsid w:val="00550DF3"/>
    <w:rsid w:val="005765B3"/>
    <w:rsid w:val="00577472"/>
    <w:rsid w:val="005A3D65"/>
    <w:rsid w:val="005B2F8A"/>
    <w:rsid w:val="005B67EA"/>
    <w:rsid w:val="005D32AF"/>
    <w:rsid w:val="005E2C18"/>
    <w:rsid w:val="005E58E2"/>
    <w:rsid w:val="005E6497"/>
    <w:rsid w:val="005F0400"/>
    <w:rsid w:val="005F52AE"/>
    <w:rsid w:val="005F73E3"/>
    <w:rsid w:val="00603D8B"/>
    <w:rsid w:val="00642323"/>
    <w:rsid w:val="00655838"/>
    <w:rsid w:val="00656A90"/>
    <w:rsid w:val="00656BC6"/>
    <w:rsid w:val="00673228"/>
    <w:rsid w:val="00674EFC"/>
    <w:rsid w:val="006758B9"/>
    <w:rsid w:val="00693F8B"/>
    <w:rsid w:val="00696295"/>
    <w:rsid w:val="006A3847"/>
    <w:rsid w:val="006A5A57"/>
    <w:rsid w:val="006A7CA2"/>
    <w:rsid w:val="006B7BCB"/>
    <w:rsid w:val="006C086D"/>
    <w:rsid w:val="006C0DFC"/>
    <w:rsid w:val="006C4273"/>
    <w:rsid w:val="006C5E4D"/>
    <w:rsid w:val="006D6D05"/>
    <w:rsid w:val="006E6366"/>
    <w:rsid w:val="006F21B0"/>
    <w:rsid w:val="006F496C"/>
    <w:rsid w:val="006F5A23"/>
    <w:rsid w:val="0070282A"/>
    <w:rsid w:val="00704CC5"/>
    <w:rsid w:val="0071143B"/>
    <w:rsid w:val="00720E7B"/>
    <w:rsid w:val="00722DF5"/>
    <w:rsid w:val="00727004"/>
    <w:rsid w:val="00733341"/>
    <w:rsid w:val="0073387E"/>
    <w:rsid w:val="00740803"/>
    <w:rsid w:val="0075030E"/>
    <w:rsid w:val="0076238B"/>
    <w:rsid w:val="00767F64"/>
    <w:rsid w:val="00767F7B"/>
    <w:rsid w:val="00781B08"/>
    <w:rsid w:val="00786578"/>
    <w:rsid w:val="00792D04"/>
    <w:rsid w:val="00795616"/>
    <w:rsid w:val="0079596D"/>
    <w:rsid w:val="00797900"/>
    <w:rsid w:val="007A0E48"/>
    <w:rsid w:val="007A2BBC"/>
    <w:rsid w:val="007A2BC9"/>
    <w:rsid w:val="007A72F4"/>
    <w:rsid w:val="007C1CB7"/>
    <w:rsid w:val="007C36DB"/>
    <w:rsid w:val="007C5EB0"/>
    <w:rsid w:val="007D426C"/>
    <w:rsid w:val="007D4344"/>
    <w:rsid w:val="007E78B6"/>
    <w:rsid w:val="00810D34"/>
    <w:rsid w:val="00812429"/>
    <w:rsid w:val="008145B5"/>
    <w:rsid w:val="00823D12"/>
    <w:rsid w:val="00832A81"/>
    <w:rsid w:val="008353D7"/>
    <w:rsid w:val="00836B9C"/>
    <w:rsid w:val="00843ECA"/>
    <w:rsid w:val="0085002E"/>
    <w:rsid w:val="00851FE4"/>
    <w:rsid w:val="00877C1E"/>
    <w:rsid w:val="008A0012"/>
    <w:rsid w:val="008A675D"/>
    <w:rsid w:val="008A682B"/>
    <w:rsid w:val="008B4D1C"/>
    <w:rsid w:val="008E31FF"/>
    <w:rsid w:val="008E377D"/>
    <w:rsid w:val="008E7C69"/>
    <w:rsid w:val="008F1DFF"/>
    <w:rsid w:val="008F2218"/>
    <w:rsid w:val="008F41E4"/>
    <w:rsid w:val="008F53CE"/>
    <w:rsid w:val="008F7B29"/>
    <w:rsid w:val="008F7E52"/>
    <w:rsid w:val="0090226D"/>
    <w:rsid w:val="00907B13"/>
    <w:rsid w:val="00907DD6"/>
    <w:rsid w:val="00910A4B"/>
    <w:rsid w:val="00924163"/>
    <w:rsid w:val="009269C7"/>
    <w:rsid w:val="0093705A"/>
    <w:rsid w:val="009414E2"/>
    <w:rsid w:val="00943258"/>
    <w:rsid w:val="00961940"/>
    <w:rsid w:val="009658C4"/>
    <w:rsid w:val="00973A4A"/>
    <w:rsid w:val="00986A82"/>
    <w:rsid w:val="0099480F"/>
    <w:rsid w:val="00995C22"/>
    <w:rsid w:val="0099667E"/>
    <w:rsid w:val="00997FCB"/>
    <w:rsid w:val="009B3920"/>
    <w:rsid w:val="009B6E41"/>
    <w:rsid w:val="009F129F"/>
    <w:rsid w:val="009F5901"/>
    <w:rsid w:val="00A0026A"/>
    <w:rsid w:val="00A02201"/>
    <w:rsid w:val="00A049FC"/>
    <w:rsid w:val="00A20D62"/>
    <w:rsid w:val="00A3094E"/>
    <w:rsid w:val="00A33295"/>
    <w:rsid w:val="00A548EF"/>
    <w:rsid w:val="00A558B5"/>
    <w:rsid w:val="00A55F99"/>
    <w:rsid w:val="00A63517"/>
    <w:rsid w:val="00A640EE"/>
    <w:rsid w:val="00A9165A"/>
    <w:rsid w:val="00AC57AC"/>
    <w:rsid w:val="00AD2B41"/>
    <w:rsid w:val="00AD33D8"/>
    <w:rsid w:val="00AD73AA"/>
    <w:rsid w:val="00AE2A33"/>
    <w:rsid w:val="00AE3714"/>
    <w:rsid w:val="00AE705E"/>
    <w:rsid w:val="00AF1C52"/>
    <w:rsid w:val="00B013FE"/>
    <w:rsid w:val="00B028B0"/>
    <w:rsid w:val="00B061A2"/>
    <w:rsid w:val="00B06B77"/>
    <w:rsid w:val="00B13CB9"/>
    <w:rsid w:val="00B14A81"/>
    <w:rsid w:val="00B16109"/>
    <w:rsid w:val="00B16B5B"/>
    <w:rsid w:val="00B26D2A"/>
    <w:rsid w:val="00B329DE"/>
    <w:rsid w:val="00B45A6A"/>
    <w:rsid w:val="00B6363E"/>
    <w:rsid w:val="00B8768E"/>
    <w:rsid w:val="00BA2544"/>
    <w:rsid w:val="00BB0030"/>
    <w:rsid w:val="00BB11BC"/>
    <w:rsid w:val="00BE26DB"/>
    <w:rsid w:val="00BE32C5"/>
    <w:rsid w:val="00BF70DB"/>
    <w:rsid w:val="00BF7D83"/>
    <w:rsid w:val="00C01D5C"/>
    <w:rsid w:val="00C03B4C"/>
    <w:rsid w:val="00C0456B"/>
    <w:rsid w:val="00C16D9E"/>
    <w:rsid w:val="00C371F3"/>
    <w:rsid w:val="00C43DE2"/>
    <w:rsid w:val="00C609A0"/>
    <w:rsid w:val="00C621BF"/>
    <w:rsid w:val="00C72866"/>
    <w:rsid w:val="00C762B8"/>
    <w:rsid w:val="00C84E38"/>
    <w:rsid w:val="00C91A82"/>
    <w:rsid w:val="00CB2951"/>
    <w:rsid w:val="00CB5FC5"/>
    <w:rsid w:val="00CC340C"/>
    <w:rsid w:val="00D0628A"/>
    <w:rsid w:val="00D13AD0"/>
    <w:rsid w:val="00D2238C"/>
    <w:rsid w:val="00D243C6"/>
    <w:rsid w:val="00D31886"/>
    <w:rsid w:val="00D32740"/>
    <w:rsid w:val="00D40A8B"/>
    <w:rsid w:val="00D442EC"/>
    <w:rsid w:val="00D44A8A"/>
    <w:rsid w:val="00D479AC"/>
    <w:rsid w:val="00D539F5"/>
    <w:rsid w:val="00D54230"/>
    <w:rsid w:val="00D55697"/>
    <w:rsid w:val="00D6121D"/>
    <w:rsid w:val="00D6192F"/>
    <w:rsid w:val="00D66857"/>
    <w:rsid w:val="00D75D18"/>
    <w:rsid w:val="00D870AC"/>
    <w:rsid w:val="00D930FC"/>
    <w:rsid w:val="00D962BE"/>
    <w:rsid w:val="00D96AC6"/>
    <w:rsid w:val="00DA3C9D"/>
    <w:rsid w:val="00DB0865"/>
    <w:rsid w:val="00DB3B8D"/>
    <w:rsid w:val="00DD2C65"/>
    <w:rsid w:val="00DE0162"/>
    <w:rsid w:val="00DE0552"/>
    <w:rsid w:val="00DE6474"/>
    <w:rsid w:val="00DF5478"/>
    <w:rsid w:val="00E01A35"/>
    <w:rsid w:val="00E021C2"/>
    <w:rsid w:val="00E039A5"/>
    <w:rsid w:val="00E03B94"/>
    <w:rsid w:val="00E05790"/>
    <w:rsid w:val="00E14A03"/>
    <w:rsid w:val="00E21FEC"/>
    <w:rsid w:val="00E25050"/>
    <w:rsid w:val="00E35454"/>
    <w:rsid w:val="00E35A0A"/>
    <w:rsid w:val="00E40030"/>
    <w:rsid w:val="00E45C48"/>
    <w:rsid w:val="00E63D51"/>
    <w:rsid w:val="00E708B2"/>
    <w:rsid w:val="00E72A7F"/>
    <w:rsid w:val="00E90F3C"/>
    <w:rsid w:val="00E968BB"/>
    <w:rsid w:val="00EB4346"/>
    <w:rsid w:val="00EC1319"/>
    <w:rsid w:val="00EC6465"/>
    <w:rsid w:val="00EC6955"/>
    <w:rsid w:val="00ED60F0"/>
    <w:rsid w:val="00EE3903"/>
    <w:rsid w:val="00F11B2C"/>
    <w:rsid w:val="00F22B73"/>
    <w:rsid w:val="00F243D2"/>
    <w:rsid w:val="00F27684"/>
    <w:rsid w:val="00F34749"/>
    <w:rsid w:val="00F35B89"/>
    <w:rsid w:val="00F506DE"/>
    <w:rsid w:val="00F64582"/>
    <w:rsid w:val="00F71103"/>
    <w:rsid w:val="00F7439A"/>
    <w:rsid w:val="00F74E8F"/>
    <w:rsid w:val="00F927E4"/>
    <w:rsid w:val="00F970B8"/>
    <w:rsid w:val="00F97F21"/>
    <w:rsid w:val="00FA1154"/>
    <w:rsid w:val="00FA2E2A"/>
    <w:rsid w:val="00FA79EC"/>
    <w:rsid w:val="00FB3A3F"/>
    <w:rsid w:val="00FC63CA"/>
    <w:rsid w:val="00FD36D2"/>
    <w:rsid w:val="00FD50EF"/>
    <w:rsid w:val="00FE325C"/>
    <w:rsid w:val="00FF1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3A7AB1"/>
  <w15:chartTrackingRefBased/>
  <w15:docId w15:val="{3A4F66E4-E21A-41B0-B63A-DFADD7282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68E"/>
    <w:rPr>
      <w:kern w:val="2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rsid w:val="005D32A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  <w:kern w:val="0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  <w:rPr>
      <w:kern w:val="0"/>
      <w14:ligatures w14:val="none"/>
    </w:r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  <w:rPr>
      <w:kern w:val="0"/>
      <w14:ligatures w14:val="none"/>
    </w:r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kern w:val="0"/>
      <w:sz w:val="24"/>
      <w14:ligatures w14:val="none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kern w:val="0"/>
      <w:szCs w:val="24"/>
      <w14:ligatures w14:val="none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kern w:val="0"/>
      <w:sz w:val="24"/>
      <w14:ligatures w14:val="none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NormalWeb">
    <w:name w:val="Normal (Web)"/>
    <w:basedOn w:val="Normal"/>
    <w:uiPriority w:val="99"/>
    <w:semiHidden/>
    <w:unhideWhenUsed/>
    <w:rsid w:val="005F73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A5A5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A5A57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5D32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nalto.gov.br/ccivil_03/_Ato2007-2010/2007/Lei/L11596.ht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Atendiment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Atendimento</Template>
  <TotalTime>44</TotalTime>
  <Pages>2</Pages>
  <Words>351</Words>
  <Characters>1806</Characters>
  <Application>Microsoft Office Word</Application>
  <DocSecurity>0</DocSecurity>
  <Lines>47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40</cp:revision>
  <cp:lastPrinted>2022-07-18T22:35:00Z</cp:lastPrinted>
  <dcterms:created xsi:type="dcterms:W3CDTF">2026-02-05T20:16:00Z</dcterms:created>
  <dcterms:modified xsi:type="dcterms:W3CDTF">2026-02-18T19:06:00Z</dcterms:modified>
</cp:coreProperties>
</file>