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41F0" w14:textId="5A9BD250" w:rsidR="005F4FB9" w:rsidRDefault="00C46AA7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EXCELENTÍSSIMO SENHOR MINISTRO SEBASTIÃO REIS JÚNIOR, DIGNÍSSIMO RELATOR DO ARESP N. 2.502.254/SC</w:t>
      </w:r>
    </w:p>
    <w:p w14:paraId="2FA26B8E" w14:textId="77777777" w:rsidR="005F4FB9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04F87D" w14:textId="77777777" w:rsidR="005F4FB9" w:rsidRPr="00980061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BD74FB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D9303C" w14:textId="6F25FB9A" w:rsidR="005F4FB9" w:rsidRDefault="00C46AA7" w:rsidP="00C46AA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</w:rPr>
        <w:t xml:space="preserve">AREsp </w:t>
      </w:r>
      <w:r w:rsidR="005F4FB9" w:rsidRPr="00600E3A">
        <w:rPr>
          <w:rFonts w:ascii="Arial" w:eastAsia="Calibri" w:hAnsi="Arial" w:cs="Times New Roman"/>
        </w:rPr>
        <w:t xml:space="preserve">n. </w:t>
      </w:r>
      <w:r w:rsidRPr="00C46AA7">
        <w:rPr>
          <w:rFonts w:ascii="Arial" w:eastAsia="Calibri" w:hAnsi="Arial" w:cs="Times New Roman"/>
        </w:rPr>
        <w:t>2.502.254/</w:t>
      </w:r>
      <w:r>
        <w:rPr>
          <w:rFonts w:ascii="Arial" w:eastAsia="Calibri" w:hAnsi="Arial" w:cs="Times New Roman"/>
        </w:rPr>
        <w:t>SC</w:t>
      </w:r>
    </w:p>
    <w:p w14:paraId="7A1C5592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0BB1E9" w14:textId="77777777" w:rsidR="005F4FB9" w:rsidRPr="00136102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B4F276" w14:textId="565D52DF" w:rsidR="005F4FB9" w:rsidRDefault="005F4FB9" w:rsidP="005F4FB9">
      <w:pPr>
        <w:pStyle w:val="Qualificaodaspartes"/>
      </w:pPr>
      <w:r>
        <w:rPr>
          <w:b/>
        </w:rPr>
        <w:t>CARLOS ANTÔNIO MUNARETTO</w:t>
      </w:r>
      <w:r w:rsidRPr="00A814BD">
        <w:t xml:space="preserve">, </w:t>
      </w:r>
      <w:r w:rsidR="00C46AA7">
        <w:t>já</w:t>
      </w:r>
      <w:r>
        <w:t xml:space="preserve"> qualificado nos autos </w:t>
      </w:r>
      <w:r w:rsidR="00C46AA7">
        <w:t xml:space="preserve">do agravo em recurso especial </w:t>
      </w:r>
      <w:r>
        <w:t xml:space="preserve">n. </w:t>
      </w:r>
      <w:r w:rsidR="00C46AA7">
        <w:rPr>
          <w:rFonts w:eastAsia="Calibri" w:cs="Times New Roman"/>
          <w:szCs w:val="24"/>
        </w:rPr>
        <w:t>2.502.254/SC</w:t>
      </w:r>
      <w:r>
        <w:t xml:space="preserve">, em que é </w:t>
      </w:r>
      <w:r w:rsidR="00C46AA7">
        <w:t xml:space="preserve">agravado </w:t>
      </w:r>
      <w:r>
        <w:t xml:space="preserve">o </w:t>
      </w:r>
      <w:r w:rsidRPr="009F6119">
        <w:t>MINISTÉRIO PÚBLICO D</w:t>
      </w:r>
      <w:r w:rsidR="00836496" w:rsidRPr="009F6119">
        <w:t>O ESTADO D</w:t>
      </w:r>
      <w:r w:rsidRPr="009F6119">
        <w:t>E SANTA CATARINA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signatários</w:t>
      </w:r>
      <w:r>
        <w:rPr>
          <w:szCs w:val="24"/>
        </w:rPr>
        <w:t>,</w:t>
      </w:r>
      <w:r w:rsidRPr="00655D3A">
        <w:rPr>
          <w:szCs w:val="24"/>
        </w:rPr>
        <w:t xml:space="preserve"> com fundamento</w:t>
      </w:r>
      <w:r>
        <w:rPr>
          <w:szCs w:val="24"/>
        </w:rPr>
        <w:t xml:space="preserve"> </w:t>
      </w:r>
      <w:r w:rsidRPr="00B53C0B">
        <w:rPr>
          <w:szCs w:val="24"/>
        </w:rPr>
        <w:t xml:space="preserve">nos arts. </w:t>
      </w:r>
      <w:r w:rsidR="006C656B">
        <w:rPr>
          <w:szCs w:val="24"/>
        </w:rPr>
        <w:t xml:space="preserve">619 e seguintes do CPP, opor, </w:t>
      </w:r>
      <w:r w:rsidRPr="006C656B">
        <w:rPr>
          <w:szCs w:val="24"/>
        </w:rPr>
        <w:t>a tempo e modo</w:t>
      </w:r>
      <w:r>
        <w:rPr>
          <w:szCs w:val="24"/>
        </w:rPr>
        <w:t xml:space="preserve">, </w:t>
      </w:r>
      <w:r w:rsidR="006C656B">
        <w:rPr>
          <w:b/>
          <w:i/>
          <w:iCs/>
          <w:szCs w:val="24"/>
        </w:rPr>
        <w:t xml:space="preserve">EMBARGOS DE DECLARAÇÃO, com pedido de concessão de efeitos infringentes, </w:t>
      </w:r>
      <w:r w:rsidR="006C656B">
        <w:rPr>
          <w:bCs w:val="0"/>
          <w:szCs w:val="24"/>
        </w:rPr>
        <w:t>em face d</w:t>
      </w:r>
      <w:r>
        <w:rPr>
          <w:szCs w:val="24"/>
        </w:rPr>
        <w:t xml:space="preserve">a decisão </w:t>
      </w:r>
      <w:r w:rsidR="006C656B">
        <w:rPr>
          <w:szCs w:val="24"/>
        </w:rPr>
        <w:t xml:space="preserve">de fls. </w:t>
      </w:r>
      <w:r w:rsidR="00806B87">
        <w:rPr>
          <w:szCs w:val="24"/>
        </w:rPr>
        <w:t>2.841/2.843</w:t>
      </w:r>
      <w:r>
        <w:rPr>
          <w:szCs w:val="24"/>
        </w:rPr>
        <w:t xml:space="preserve">, que </w:t>
      </w:r>
      <w:r w:rsidR="00806B87">
        <w:rPr>
          <w:szCs w:val="24"/>
        </w:rPr>
        <w:t>não conheceu d</w:t>
      </w:r>
      <w:r>
        <w:rPr>
          <w:szCs w:val="24"/>
        </w:rPr>
        <w:t xml:space="preserve">o </w:t>
      </w:r>
      <w:r w:rsidR="00806B87">
        <w:rPr>
          <w:szCs w:val="24"/>
        </w:rPr>
        <w:t xml:space="preserve">agravo em </w:t>
      </w:r>
      <w:r>
        <w:rPr>
          <w:szCs w:val="24"/>
        </w:rPr>
        <w:t>recurso especial interposto, pelas razões de fato e de direito a seguir aduzidas</w:t>
      </w:r>
      <w:r>
        <w:t>.</w:t>
      </w:r>
    </w:p>
    <w:p w14:paraId="570AF12D" w14:textId="77777777" w:rsidR="005F4FB9" w:rsidRPr="00D71FAB" w:rsidRDefault="005F4FB9" w:rsidP="002C5AB4">
      <w:pPr>
        <w:pStyle w:val="Ttulo"/>
      </w:pPr>
    </w:p>
    <w:p w14:paraId="16883A1E" w14:textId="77777777" w:rsidR="005F4FB9" w:rsidRPr="00D71FAB" w:rsidRDefault="005F4FB9" w:rsidP="002C5AB4">
      <w:pPr>
        <w:pStyle w:val="Ttulo"/>
      </w:pPr>
    </w:p>
    <w:p w14:paraId="3D66AB6C" w14:textId="41F12C17" w:rsidR="000169F1" w:rsidRPr="005C4689" w:rsidRDefault="000169F1" w:rsidP="002C5AB4">
      <w:pPr>
        <w:pStyle w:val="Ttulo"/>
      </w:pPr>
      <w:r w:rsidRPr="005C4689">
        <w:t>I –</w:t>
      </w:r>
      <w:r>
        <w:t xml:space="preserve"> </w:t>
      </w:r>
      <w:r w:rsidR="00806B87">
        <w:t>OMISS</w:t>
      </w:r>
      <w:r w:rsidR="002C5AB4">
        <w:t>ÕES</w:t>
      </w:r>
      <w:r w:rsidR="00806B87">
        <w:t xml:space="preserve"> </w:t>
      </w:r>
      <w:r w:rsidR="002C5AB4">
        <w:t xml:space="preserve">DA DECISÃO EMBARGADA </w:t>
      </w:r>
      <w:r w:rsidR="00806B87">
        <w:t xml:space="preserve">QUANTO </w:t>
      </w:r>
      <w:r w:rsidR="002C5AB4">
        <w:t xml:space="preserve">À </w:t>
      </w:r>
      <w:r w:rsidR="00806B87">
        <w:t>IMPUGNAÇÃO ESPECÍFICA</w:t>
      </w:r>
      <w:r w:rsidR="005163D3">
        <w:t>, EM TÓPICOS SEPARADOS,</w:t>
      </w:r>
      <w:r w:rsidR="00806B87">
        <w:t xml:space="preserve"> </w:t>
      </w:r>
      <w:r w:rsidR="005163D3">
        <w:t xml:space="preserve">SOBRE A INAPLICABILIDADE DA </w:t>
      </w:r>
      <w:r w:rsidR="00C054DC">
        <w:t xml:space="preserve">SÚMULA </w:t>
      </w:r>
      <w:r w:rsidR="005163D3">
        <w:t xml:space="preserve">N. </w:t>
      </w:r>
      <w:r w:rsidR="00C054DC">
        <w:t>83/STJ</w:t>
      </w:r>
      <w:r w:rsidR="005163D3">
        <w:t xml:space="preserve"> AO CASO VERTENTE</w:t>
      </w:r>
    </w:p>
    <w:p w14:paraId="26CB1C89" w14:textId="77777777" w:rsidR="000169F1" w:rsidRPr="004A3F4E" w:rsidRDefault="000169F1" w:rsidP="000169F1"/>
    <w:p w14:paraId="372A6F43" w14:textId="768D4BA3" w:rsidR="00D35273" w:rsidRDefault="005163D3" w:rsidP="00A06E4C">
      <w:pPr>
        <w:pStyle w:val="SemEspaamento"/>
      </w:pPr>
      <w:r>
        <w:t>Em síntese, Excelência,</w:t>
      </w:r>
      <w:r w:rsidR="00D71FAB">
        <w:t xml:space="preserve"> ao não conhecer do agravo em recurso especial interposto,</w:t>
      </w:r>
      <w:r>
        <w:t xml:space="preserve"> a </w:t>
      </w:r>
      <w:r w:rsidR="00D35273">
        <w:t>decisão embargada argumento</w:t>
      </w:r>
      <w:r w:rsidR="00D71FAB">
        <w:t>u</w:t>
      </w:r>
      <w:r w:rsidR="00D35273">
        <w:t xml:space="preserve"> de que “</w:t>
      </w:r>
      <w:r w:rsidR="00A06E4C" w:rsidRPr="002157D1">
        <w:rPr>
          <w:i/>
          <w:iCs/>
        </w:rPr>
        <w:t>a parte agravante não impugnou, de forma suficiente e pormenorizada, o segundo fundamento</w:t>
      </w:r>
      <w:r w:rsidR="00A06E4C">
        <w:t xml:space="preserve">”, que diz respeito à inadmissão do recurso, pelo Tribunal local, </w:t>
      </w:r>
      <w:r w:rsidR="006E1912">
        <w:t>em relação à infringência ao</w:t>
      </w:r>
      <w:r w:rsidR="002164CB">
        <w:t>s</w:t>
      </w:r>
      <w:r w:rsidR="00BA02F8">
        <w:t xml:space="preserve"> art</w:t>
      </w:r>
      <w:r w:rsidR="002164CB">
        <w:t>s</w:t>
      </w:r>
      <w:r w:rsidR="00BA02F8">
        <w:t xml:space="preserve">. </w:t>
      </w:r>
      <w:r w:rsidR="002164CB">
        <w:t xml:space="preserve"> 157 e </w:t>
      </w:r>
      <w:r w:rsidR="002164CB" w:rsidRPr="002164CB">
        <w:t>619 do CPP e ao art. 489, §1º, III e IV, do CPC</w:t>
      </w:r>
      <w:r w:rsidR="002164CB">
        <w:t>,</w:t>
      </w:r>
      <w:r w:rsidR="006E1912">
        <w:t xml:space="preserve"> </w:t>
      </w:r>
      <w:r w:rsidR="00A06E4C">
        <w:t>por conta da</w:t>
      </w:r>
      <w:r w:rsidR="002164CB">
        <w:t xml:space="preserve"> alegada incidência da</w:t>
      </w:r>
      <w:r w:rsidR="00A06E4C">
        <w:t xml:space="preserve"> Súmula n. 83/STJ</w:t>
      </w:r>
      <w:r w:rsidR="00E06FD6">
        <w:t xml:space="preserve"> </w:t>
      </w:r>
      <w:r w:rsidR="00E06FD6" w:rsidRPr="00E06FD6">
        <w:rPr>
          <w:sz w:val="20"/>
          <w:szCs w:val="18"/>
        </w:rPr>
        <w:t>(</w:t>
      </w:r>
      <w:r w:rsidR="009B1086">
        <w:rPr>
          <w:i/>
          <w:iCs/>
          <w:sz w:val="20"/>
          <w:szCs w:val="18"/>
        </w:rPr>
        <w:t xml:space="preserve">vide </w:t>
      </w:r>
      <w:r w:rsidR="00E06FD6" w:rsidRPr="00E06FD6">
        <w:rPr>
          <w:sz w:val="20"/>
          <w:szCs w:val="18"/>
        </w:rPr>
        <w:t>inadmissão do REsp – fls. 2.648/2.653)</w:t>
      </w:r>
      <w:r w:rsidR="00A06E4C">
        <w:t>.</w:t>
      </w:r>
    </w:p>
    <w:p w14:paraId="06D3AC53" w14:textId="735E4F4C" w:rsidR="00A06E4C" w:rsidRDefault="00A06E4C" w:rsidP="0041688A">
      <w:pPr>
        <w:pStyle w:val="SemEspaamento"/>
      </w:pPr>
      <w:r>
        <w:t xml:space="preserve">Registrou o </w:t>
      </w:r>
      <w:r>
        <w:rPr>
          <w:i/>
          <w:iCs/>
        </w:rPr>
        <w:t>decisum</w:t>
      </w:r>
      <w:r>
        <w:t xml:space="preserve">, ainda, que o embargante não teria </w:t>
      </w:r>
      <w:r w:rsidR="0041688A">
        <w:t>apresentado “</w:t>
      </w:r>
      <w:r w:rsidR="0041688A" w:rsidRPr="0041688A">
        <w:rPr>
          <w:i/>
          <w:iCs/>
        </w:rPr>
        <w:t>julgado contemporâneo ao provimento judicial agravado e prolatado em moldura fática análoga, de forma a atestar que o acórdão recorrido não estaria em harmonia com a atual jurisprudência do Superior Tribunal de Justiça</w:t>
      </w:r>
      <w:r w:rsidR="0041688A">
        <w:t>”, nem teria comprovado que “</w:t>
      </w:r>
      <w:r w:rsidR="0041688A" w:rsidRPr="002157D1">
        <w:rPr>
          <w:i/>
          <w:iCs/>
        </w:rPr>
        <w:t>os precedentes apontados na decisão agravada seriam inaplicáveis</w:t>
      </w:r>
      <w:r w:rsidR="002157D1" w:rsidRPr="002157D1">
        <w:rPr>
          <w:i/>
          <w:iCs/>
        </w:rPr>
        <w:t xml:space="preserve"> à hipótese dos autos</w:t>
      </w:r>
      <w:r w:rsidR="002157D1">
        <w:t>”</w:t>
      </w:r>
      <w:r w:rsidR="0041688A">
        <w:t>.</w:t>
      </w:r>
    </w:p>
    <w:p w14:paraId="33C92CF9" w14:textId="71065704" w:rsidR="002157D1" w:rsidRDefault="002157D1" w:rsidP="0041688A">
      <w:pPr>
        <w:pStyle w:val="SemEspaamento"/>
      </w:pPr>
      <w:r>
        <w:t xml:space="preserve">Por fim, a decisão ora recorrida </w:t>
      </w:r>
      <w:r w:rsidR="00E4757A">
        <w:t xml:space="preserve">sustenta que o recorrente não teria se desobrigado </w:t>
      </w:r>
      <w:r w:rsidR="005D2346">
        <w:t>“</w:t>
      </w:r>
      <w:r w:rsidR="00E4757A" w:rsidRPr="005D2346">
        <w:rPr>
          <w:i/>
          <w:iCs/>
        </w:rPr>
        <w:t>do ônus de comprovar a incorreção do decisum que não admitiu o apelo nobre</w:t>
      </w:r>
      <w:r w:rsidR="005D2346">
        <w:t>”, concluindo pela ausência de dialeticidade recursal</w:t>
      </w:r>
      <w:r w:rsidR="00E61B92">
        <w:t xml:space="preserve"> e pelo não </w:t>
      </w:r>
      <w:r w:rsidR="00E61B92">
        <w:lastRenderedPageBreak/>
        <w:t>conhecimento do agravo</w:t>
      </w:r>
      <w:r w:rsidR="00710653">
        <w:t>, em razão da falta de “</w:t>
      </w:r>
      <w:r w:rsidR="00710653" w:rsidRPr="00E61B92">
        <w:rPr>
          <w:i/>
          <w:iCs/>
        </w:rPr>
        <w:t>impugnação adequada e concreta</w:t>
      </w:r>
      <w:r w:rsidR="005D2346" w:rsidRPr="00E61B92">
        <w:rPr>
          <w:i/>
          <w:iCs/>
        </w:rPr>
        <w:t xml:space="preserve"> </w:t>
      </w:r>
      <w:r w:rsidR="00710653" w:rsidRPr="00E61B92">
        <w:rPr>
          <w:i/>
          <w:iCs/>
        </w:rPr>
        <w:t>de todos os fundamentos empregados pela Corte a quo para não admitir o recurso especial</w:t>
      </w:r>
      <w:r w:rsidR="00E61B92" w:rsidRPr="00E61B92">
        <w:rPr>
          <w:i/>
          <w:iCs/>
        </w:rPr>
        <w:t>, a atrair a incidência da Súmula n. 182/STJ</w:t>
      </w:r>
      <w:r w:rsidR="00E61B92">
        <w:t>”.</w:t>
      </w:r>
    </w:p>
    <w:p w14:paraId="4655C18F" w14:textId="60B98DC3" w:rsidR="00E61B92" w:rsidRDefault="00E61B92" w:rsidP="0041688A">
      <w:pPr>
        <w:pStyle w:val="SemEspaamento"/>
      </w:pPr>
      <w:r>
        <w:t>Ocorre, no entanto, que</w:t>
      </w:r>
      <w:r w:rsidR="002E6B85">
        <w:t>, como se verá a seguir,</w:t>
      </w:r>
      <w:r>
        <w:t xml:space="preserve"> essa decisão </w:t>
      </w:r>
      <w:r w:rsidR="002E6B85" w:rsidRPr="002E6B85">
        <w:rPr>
          <w:b/>
          <w:bCs/>
        </w:rPr>
        <w:t>omitiu-se</w:t>
      </w:r>
      <w:r w:rsidR="002E6B85">
        <w:t xml:space="preserve"> </w:t>
      </w:r>
      <w:r>
        <w:t>quanto ao fato de que</w:t>
      </w:r>
      <w:r w:rsidR="008A53C5">
        <w:t xml:space="preserve">, nas razões do agravo, </w:t>
      </w:r>
      <w:r w:rsidR="00B64FD7">
        <w:t>o embargante impugnou</w:t>
      </w:r>
      <w:r w:rsidR="009B3C31">
        <w:t xml:space="preserve"> e explicou, detalhadamente, a inaplicabilidade da Súmula n. 83/STJ ao presente caso</w:t>
      </w:r>
      <w:r w:rsidR="00B64FD7">
        <w:t xml:space="preserve">, </w:t>
      </w:r>
      <w:r w:rsidR="002E6B85">
        <w:t xml:space="preserve">fazendo-o </w:t>
      </w:r>
      <w:r w:rsidR="00B64FD7">
        <w:t>inclusive em tópicos específicos</w:t>
      </w:r>
      <w:r w:rsidR="002E6B85">
        <w:t xml:space="preserve"> relacionados a cada</w:t>
      </w:r>
      <w:r w:rsidR="0070459A">
        <w:t xml:space="preserve"> </w:t>
      </w:r>
      <w:r w:rsidR="002E5417">
        <w:t>uma das afronta</w:t>
      </w:r>
      <w:r w:rsidR="000102A8">
        <w:t>s</w:t>
      </w:r>
      <w:r w:rsidR="002E5417">
        <w:t xml:space="preserve"> direta</w:t>
      </w:r>
      <w:r w:rsidR="000102A8">
        <w:t>s</w:t>
      </w:r>
      <w:r w:rsidR="002E5417">
        <w:t xml:space="preserve"> aos dispositivos legais indicados</w:t>
      </w:r>
      <w:r w:rsidR="00D50232">
        <w:t>, o que conduz ao acolhimento destes aclaratórios para conhecer do recurso interposto</w:t>
      </w:r>
      <w:r w:rsidR="00F178F0">
        <w:t>,</w:t>
      </w:r>
      <w:r w:rsidR="00D50232">
        <w:t xml:space="preserve"> examinar o </w:t>
      </w:r>
      <w:r w:rsidR="00F178F0">
        <w:t xml:space="preserve">seu </w:t>
      </w:r>
      <w:r w:rsidR="00D50232">
        <w:t>mérito recursal e a necessidade de provê-lo, para admitir o regular processamento do recurso especial</w:t>
      </w:r>
      <w:r w:rsidR="002E5417">
        <w:t>.</w:t>
      </w:r>
    </w:p>
    <w:p w14:paraId="6CF18677" w14:textId="77777777" w:rsidR="00716AEB" w:rsidRDefault="00716AEB" w:rsidP="00716AEB">
      <w:pPr>
        <w:pStyle w:val="SemEspaamento"/>
        <w:numPr>
          <w:ilvl w:val="0"/>
          <w:numId w:val="0"/>
        </w:numPr>
      </w:pPr>
    </w:p>
    <w:p w14:paraId="5CEF261A" w14:textId="33D796A1" w:rsidR="00716AEB" w:rsidRDefault="00716AEB" w:rsidP="002C5AB4">
      <w:pPr>
        <w:pStyle w:val="Ttulo"/>
      </w:pPr>
      <w:r>
        <w:t xml:space="preserve">I.1 – </w:t>
      </w:r>
      <w:r w:rsidR="005334F7">
        <w:t>Agravo que</w:t>
      </w:r>
      <w:r w:rsidR="00330AC6">
        <w:t xml:space="preserve"> impugnou</w:t>
      </w:r>
      <w:r w:rsidR="00344EC8">
        <w:t xml:space="preserve"> </w:t>
      </w:r>
      <w:r w:rsidR="00453DB1">
        <w:t xml:space="preserve">a </w:t>
      </w:r>
      <w:r w:rsidR="00330AC6">
        <w:t xml:space="preserve">incidência </w:t>
      </w:r>
      <w:r w:rsidR="00344EC8">
        <w:t xml:space="preserve">da Súmula n. 83/STJ em relação </w:t>
      </w:r>
      <w:r w:rsidR="00AC2F21">
        <w:t>à afronta a</w:t>
      </w:r>
      <w:r w:rsidR="00AC2F21" w:rsidRPr="00AC2F21">
        <w:t>o art. 619 do CPP e ao art. 489, §1º, III e IV, do CPC</w:t>
      </w:r>
      <w:r w:rsidR="00F47532">
        <w:t xml:space="preserve"> (tópico III.1 das razões do agravo)</w:t>
      </w:r>
    </w:p>
    <w:p w14:paraId="3A59E9CF" w14:textId="77777777" w:rsidR="00716AEB" w:rsidRPr="00716AEB" w:rsidRDefault="00716AEB" w:rsidP="00716AEB"/>
    <w:p w14:paraId="625F448B" w14:textId="45876947" w:rsidR="00C17FA8" w:rsidRDefault="00716AEB" w:rsidP="002E5417">
      <w:pPr>
        <w:pStyle w:val="SemEspaamento"/>
      </w:pPr>
      <w:r>
        <w:t xml:space="preserve">Com a devida vênia, </w:t>
      </w:r>
      <w:r w:rsidR="009C416E">
        <w:t xml:space="preserve">Excelência, </w:t>
      </w:r>
      <w:r>
        <w:t>a</w:t>
      </w:r>
      <w:r w:rsidR="002E5417">
        <w:t xml:space="preserve"> decisão embargada </w:t>
      </w:r>
      <w:r w:rsidR="002E5417">
        <w:rPr>
          <w:b/>
          <w:bCs/>
        </w:rPr>
        <w:t xml:space="preserve">não considerou </w:t>
      </w:r>
      <w:r w:rsidR="002E5417" w:rsidRPr="00BF3D38">
        <w:rPr>
          <w:b/>
          <w:bCs/>
          <w:sz w:val="20"/>
          <w:szCs w:val="18"/>
        </w:rPr>
        <w:t>(omissão)</w:t>
      </w:r>
      <w:r w:rsidR="002E5417" w:rsidRPr="00BF3D38">
        <w:rPr>
          <w:b/>
          <w:bCs/>
        </w:rPr>
        <w:t xml:space="preserve"> as razões delineadas no tópico</w:t>
      </w:r>
      <w:r w:rsidR="002E5417" w:rsidRPr="00344EC8">
        <w:rPr>
          <w:b/>
          <w:bCs/>
        </w:rPr>
        <w:t xml:space="preserve"> III.1</w:t>
      </w:r>
      <w:r w:rsidR="002E5417">
        <w:t xml:space="preserve"> do agravo interposto</w:t>
      </w:r>
      <w:r w:rsidR="00014A78">
        <w:t xml:space="preserve"> </w:t>
      </w:r>
      <w:r w:rsidR="00014A78" w:rsidRPr="00014A78">
        <w:rPr>
          <w:sz w:val="20"/>
          <w:szCs w:val="18"/>
        </w:rPr>
        <w:t>(fls. 2.676/2.678)</w:t>
      </w:r>
      <w:r w:rsidR="002E5417">
        <w:t>, que diz respeito à “</w:t>
      </w:r>
      <w:r w:rsidR="00E84702" w:rsidRPr="002E5417">
        <w:rPr>
          <w:i/>
          <w:iCs/>
        </w:rPr>
        <w:t xml:space="preserve">Inaplicabilidade da Súmula n. </w:t>
      </w:r>
      <w:r w:rsidR="00B2236C" w:rsidRPr="002E5417">
        <w:rPr>
          <w:i/>
          <w:iCs/>
        </w:rPr>
        <w:t>83</w:t>
      </w:r>
      <w:r w:rsidR="00E84702" w:rsidRPr="002E5417">
        <w:rPr>
          <w:i/>
          <w:iCs/>
        </w:rPr>
        <w:t>/STJ</w:t>
      </w:r>
      <w:r w:rsidR="00B2236C" w:rsidRPr="002E5417">
        <w:rPr>
          <w:i/>
          <w:iCs/>
        </w:rPr>
        <w:t xml:space="preserve">, em relação </w:t>
      </w:r>
      <w:r w:rsidR="000A54FB" w:rsidRPr="002E5417">
        <w:rPr>
          <w:i/>
          <w:iCs/>
        </w:rPr>
        <w:t>à infringência ao art. 619 do CPP e ao art. 489, §1º, III e IV, do CPC.</w:t>
      </w:r>
      <w:r w:rsidR="00E877FD" w:rsidRPr="002E5417">
        <w:rPr>
          <w:i/>
          <w:iCs/>
        </w:rPr>
        <w:t xml:space="preserve"> </w:t>
      </w:r>
      <w:r w:rsidR="003C0835" w:rsidRPr="00F61EE3">
        <w:rPr>
          <w:b/>
          <w:bCs/>
          <w:i/>
          <w:iCs/>
        </w:rPr>
        <w:t xml:space="preserve">Argumentos genéricos </w:t>
      </w:r>
      <w:r w:rsidR="0017368E" w:rsidRPr="00F61EE3">
        <w:rPr>
          <w:b/>
          <w:bCs/>
          <w:i/>
          <w:iCs/>
        </w:rPr>
        <w:t xml:space="preserve">dos arestos recorridos </w:t>
      </w:r>
      <w:r w:rsidR="003C0835" w:rsidRPr="00F61EE3">
        <w:rPr>
          <w:b/>
          <w:bCs/>
          <w:i/>
          <w:iCs/>
        </w:rPr>
        <w:t xml:space="preserve">que </w:t>
      </w:r>
      <w:r w:rsidR="003C0835" w:rsidRPr="00F61EE3">
        <w:rPr>
          <w:b/>
          <w:bCs/>
          <w:i/>
          <w:iCs/>
          <w:u w:val="single"/>
        </w:rPr>
        <w:t>não</w:t>
      </w:r>
      <w:r w:rsidR="003C0835" w:rsidRPr="00F61EE3">
        <w:rPr>
          <w:b/>
          <w:bCs/>
          <w:i/>
          <w:iCs/>
        </w:rPr>
        <w:t xml:space="preserve"> </w:t>
      </w:r>
      <w:r w:rsidR="0018327A" w:rsidRPr="00F61EE3">
        <w:rPr>
          <w:b/>
          <w:bCs/>
          <w:i/>
          <w:iCs/>
          <w:u w:val="single"/>
        </w:rPr>
        <w:t>abordaram</w:t>
      </w:r>
      <w:r w:rsidR="003C0835" w:rsidRPr="00F61EE3">
        <w:rPr>
          <w:b/>
          <w:bCs/>
          <w:i/>
          <w:iCs/>
        </w:rPr>
        <w:t xml:space="preserve"> o </w:t>
      </w:r>
      <w:r w:rsidR="003C0835" w:rsidRPr="00F61EE3">
        <w:rPr>
          <w:b/>
          <w:bCs/>
          <w:i/>
          <w:iCs/>
          <w:u w:val="single"/>
        </w:rPr>
        <w:t>vício</w:t>
      </w:r>
      <w:r w:rsidR="003C0835" w:rsidRPr="00F61EE3">
        <w:rPr>
          <w:b/>
          <w:bCs/>
          <w:i/>
          <w:iCs/>
        </w:rPr>
        <w:t xml:space="preserve"> apontado</w:t>
      </w:r>
      <w:r w:rsidR="0018327A" w:rsidRPr="002E5417">
        <w:rPr>
          <w:i/>
          <w:iCs/>
        </w:rPr>
        <w:t xml:space="preserve">, </w:t>
      </w:r>
      <w:r w:rsidR="0018327A" w:rsidRPr="00F61EE3">
        <w:rPr>
          <w:b/>
          <w:bCs/>
          <w:i/>
          <w:iCs/>
        </w:rPr>
        <w:t xml:space="preserve">conforme determina </w:t>
      </w:r>
      <w:r w:rsidR="001B4208" w:rsidRPr="00F61EE3">
        <w:rPr>
          <w:b/>
          <w:bCs/>
          <w:i/>
          <w:iCs/>
        </w:rPr>
        <w:t xml:space="preserve">a jurisprudência </w:t>
      </w:r>
      <w:r w:rsidR="00F52B50" w:rsidRPr="00F61EE3">
        <w:rPr>
          <w:b/>
          <w:bCs/>
          <w:i/>
          <w:iCs/>
        </w:rPr>
        <w:t>da Co</w:t>
      </w:r>
      <w:r w:rsidR="0018327A" w:rsidRPr="00F61EE3">
        <w:rPr>
          <w:b/>
          <w:bCs/>
          <w:i/>
          <w:iCs/>
        </w:rPr>
        <w:t>lenda Co</w:t>
      </w:r>
      <w:r w:rsidR="00F52B50" w:rsidRPr="00F61EE3">
        <w:rPr>
          <w:b/>
          <w:bCs/>
          <w:i/>
          <w:iCs/>
        </w:rPr>
        <w:t xml:space="preserve">rte </w:t>
      </w:r>
      <w:r w:rsidR="0018327A" w:rsidRPr="00F61EE3">
        <w:rPr>
          <w:b/>
          <w:bCs/>
          <w:i/>
          <w:iCs/>
        </w:rPr>
        <w:t>da Cidadania</w:t>
      </w:r>
      <w:r w:rsidR="002E5417">
        <w:t>”</w:t>
      </w:r>
      <w:r w:rsidR="00F52B50">
        <w:t>.</w:t>
      </w:r>
    </w:p>
    <w:p w14:paraId="0C666A37" w14:textId="5D20F2D6" w:rsidR="00922933" w:rsidRDefault="002E5417" w:rsidP="002E5417">
      <w:pPr>
        <w:pStyle w:val="SemEspaamento"/>
      </w:pPr>
      <w:r>
        <w:t xml:space="preserve">Neste tópico, </w:t>
      </w:r>
      <w:r w:rsidR="009438F0">
        <w:t>o recorrente expôs que os arestos recorridos</w:t>
      </w:r>
      <w:r w:rsidR="008A59D7">
        <w:t>, em clara omissão,</w:t>
      </w:r>
      <w:r w:rsidR="009438F0">
        <w:t xml:space="preserve"> não enfrentaram</w:t>
      </w:r>
      <w:r w:rsidR="008A59D7">
        <w:t xml:space="preserve"> a tese recursal </w:t>
      </w:r>
      <w:r w:rsidR="009438F0">
        <w:t>relacionad</w:t>
      </w:r>
      <w:r w:rsidR="008A59D7">
        <w:t>a</w:t>
      </w:r>
      <w:r w:rsidR="009438F0">
        <w:t xml:space="preserve"> </w:t>
      </w:r>
      <w:r w:rsidR="00BA2E4E">
        <w:t xml:space="preserve">às circunstâncias do art. 59 do CP nos delitos de receptação e adulteração de sinal de </w:t>
      </w:r>
      <w:r w:rsidR="00360B66">
        <w:t xml:space="preserve">veículo </w:t>
      </w:r>
      <w:r w:rsidR="00BA2E4E">
        <w:t>automotor</w:t>
      </w:r>
      <w:r w:rsidR="009479F6">
        <w:t xml:space="preserve">, que possuem o condão de reduzir a pena </w:t>
      </w:r>
      <w:r w:rsidR="00455E25">
        <w:t xml:space="preserve">que lhe foi imposta e, portanto, </w:t>
      </w:r>
      <w:r w:rsidR="009479F6">
        <w:t>são imprescindíveis para o correto deslinde da demanda</w:t>
      </w:r>
      <w:r w:rsidR="00922933">
        <w:t xml:space="preserve">. </w:t>
      </w:r>
      <w:r w:rsidR="0084415F">
        <w:t xml:space="preserve"> </w:t>
      </w:r>
    </w:p>
    <w:p w14:paraId="5653E924" w14:textId="6AF03794" w:rsidR="002E5417" w:rsidRDefault="00360B66" w:rsidP="002E5417">
      <w:pPr>
        <w:pStyle w:val="SemEspaamento"/>
      </w:pPr>
      <w:r>
        <w:t>Registrou, ainda, que</w:t>
      </w:r>
      <w:r w:rsidR="005E2CB0">
        <w:t xml:space="preserve">, mesmo instado a </w:t>
      </w:r>
      <w:r w:rsidR="00922933">
        <w:t>sanar os vícios apontados, o aresto que julgou os aclaratórios utilizou-se de</w:t>
      </w:r>
      <w:r>
        <w:t xml:space="preserve"> </w:t>
      </w:r>
      <w:r w:rsidR="00BD4024">
        <w:t xml:space="preserve">2 </w:t>
      </w:r>
      <w:r w:rsidR="00BD4024" w:rsidRPr="00191BF6">
        <w:rPr>
          <w:sz w:val="20"/>
          <w:szCs w:val="18"/>
        </w:rPr>
        <w:t>(dois)</w:t>
      </w:r>
      <w:r w:rsidR="00BD4024">
        <w:t xml:space="preserve"> </w:t>
      </w:r>
      <w:r w:rsidR="00BD4024" w:rsidRPr="00455E25">
        <w:t>parágrafos genéricos</w:t>
      </w:r>
      <w:r w:rsidR="00BD4024">
        <w:t xml:space="preserve"> que se prestariam “</w:t>
      </w:r>
      <w:r w:rsidR="00BD4024" w:rsidRPr="00A33719">
        <w:rPr>
          <w:i/>
          <w:iCs/>
        </w:rPr>
        <w:t>a justificar qualquer outra decisão ou vício, em evidente violação ao art. 489, §1º, III e IV, do CPC, aplicado subsidiariamente ao processo penal</w:t>
      </w:r>
      <w:r w:rsidR="00BD4024">
        <w:t>”</w:t>
      </w:r>
      <w:r w:rsidR="00455E25">
        <w:t xml:space="preserve"> </w:t>
      </w:r>
      <w:r w:rsidR="00455E25" w:rsidRPr="00BD649B">
        <w:rPr>
          <w:sz w:val="20"/>
          <w:szCs w:val="18"/>
        </w:rPr>
        <w:t xml:space="preserve">(fls. </w:t>
      </w:r>
      <w:r w:rsidR="00BD649B" w:rsidRPr="00BD649B">
        <w:rPr>
          <w:sz w:val="20"/>
          <w:szCs w:val="18"/>
        </w:rPr>
        <w:t>2.677)</w:t>
      </w:r>
      <w:r w:rsidR="005B324D">
        <w:t>.</w:t>
      </w:r>
    </w:p>
    <w:p w14:paraId="2C6D2719" w14:textId="59C03E13" w:rsidR="005B324D" w:rsidRDefault="001F3754" w:rsidP="002E5417">
      <w:pPr>
        <w:pStyle w:val="SemEspaamento"/>
      </w:pPr>
      <w:r>
        <w:t xml:space="preserve">Além de colacionar </w:t>
      </w:r>
      <w:r w:rsidR="005B324D">
        <w:t>essa fundamentação genérica e deficiente,</w:t>
      </w:r>
      <w:r>
        <w:t xml:space="preserve"> o embargante </w:t>
      </w:r>
      <w:r w:rsidR="00280983">
        <w:t>afirmou</w:t>
      </w:r>
      <w:r>
        <w:t xml:space="preserve"> que</w:t>
      </w:r>
      <w:r w:rsidR="003E648B">
        <w:t xml:space="preserve">, </w:t>
      </w:r>
      <w:r w:rsidR="00280983">
        <w:t>“</w:t>
      </w:r>
      <w:r w:rsidR="003E648B" w:rsidRPr="003E648B">
        <w:rPr>
          <w:i/>
          <w:iCs/>
        </w:rPr>
        <w:t>ao contrário o que sustenta a decisão agravada, não se está diante de ‘mera rediscussão de matéria já debatida’</w:t>
      </w:r>
      <w:r w:rsidR="003E648B">
        <w:t>”</w:t>
      </w:r>
      <w:r w:rsidR="00BD649B">
        <w:t xml:space="preserve"> </w:t>
      </w:r>
      <w:r w:rsidR="00BD649B" w:rsidRPr="00BD649B">
        <w:rPr>
          <w:sz w:val="20"/>
          <w:szCs w:val="18"/>
        </w:rPr>
        <w:t>(fls. 2.67</w:t>
      </w:r>
      <w:r w:rsidR="00BD649B">
        <w:rPr>
          <w:sz w:val="20"/>
          <w:szCs w:val="18"/>
        </w:rPr>
        <w:t>8</w:t>
      </w:r>
      <w:r w:rsidR="00BD649B" w:rsidRPr="00BD649B">
        <w:rPr>
          <w:sz w:val="20"/>
          <w:szCs w:val="18"/>
        </w:rPr>
        <w:t>)</w:t>
      </w:r>
      <w:r w:rsidR="003E648B">
        <w:t>.</w:t>
      </w:r>
    </w:p>
    <w:p w14:paraId="27480881" w14:textId="7AD3ABA4" w:rsidR="00BF3D38" w:rsidRDefault="00BF3D38" w:rsidP="002E5417">
      <w:pPr>
        <w:pStyle w:val="SemEspaamento"/>
      </w:pPr>
      <w:r>
        <w:t>Mas não é só.</w:t>
      </w:r>
    </w:p>
    <w:p w14:paraId="327FC54A" w14:textId="77777777" w:rsidR="009C416E" w:rsidRDefault="00BF3D38" w:rsidP="002E5417">
      <w:pPr>
        <w:pStyle w:val="SemEspaamento"/>
      </w:pPr>
      <w:r>
        <w:t>Na sequência, o embargante</w:t>
      </w:r>
      <w:r w:rsidR="00CB2A86">
        <w:t xml:space="preserve"> expôs que</w:t>
      </w:r>
      <w:r w:rsidR="00E6345B">
        <w:t xml:space="preserve">, nas razões do recurso especial, </w:t>
      </w:r>
      <w:r w:rsidR="00292E54">
        <w:t xml:space="preserve">foi devidamente </w:t>
      </w:r>
      <w:r w:rsidR="00292E54" w:rsidRPr="00292E54">
        <w:t>apontado</w:t>
      </w:r>
      <w:r w:rsidR="00292E54">
        <w:t xml:space="preserve"> o </w:t>
      </w:r>
      <w:r w:rsidR="00292E54" w:rsidRPr="00292E54">
        <w:t>vício</w:t>
      </w:r>
      <w:r w:rsidR="00292E54">
        <w:t xml:space="preserve"> existente no aresto embargado, que trata sobre a </w:t>
      </w:r>
      <w:r w:rsidR="00292E54" w:rsidRPr="00292E54">
        <w:t>omissão</w:t>
      </w:r>
      <w:r w:rsidR="00292E54">
        <w:t xml:space="preserve"> na análise das circunstâncias favoráveis ao recorrente </w:t>
      </w:r>
      <w:r w:rsidR="00292E54" w:rsidRPr="00801375">
        <w:rPr>
          <w:sz w:val="20"/>
          <w:szCs w:val="18"/>
        </w:rPr>
        <w:t>(art. 59 do CP)</w:t>
      </w:r>
      <w:r w:rsidR="00292E54">
        <w:t xml:space="preserve"> e o consequente recrudescimento indevido da pena-base fixada. </w:t>
      </w:r>
    </w:p>
    <w:p w14:paraId="554FFD32" w14:textId="014E437D" w:rsidR="00BF3D38" w:rsidRDefault="00292E54" w:rsidP="002E5417">
      <w:pPr>
        <w:pStyle w:val="SemEspaamento"/>
      </w:pPr>
      <w:r>
        <w:t xml:space="preserve">Além disso, o embargante também expôs a deficiência de fundamentação, genérica, do acórdão que julgou os embargos de declaração, que não esclareceu o vício apontado e, por isso, infringiu frontalmente o art. 619 do CPP e o </w:t>
      </w:r>
      <w:r w:rsidRPr="00C865AE">
        <w:t>art. 489, §1º, III e IV, do CPC</w:t>
      </w:r>
      <w:r w:rsidR="00BD649B">
        <w:t xml:space="preserve"> </w:t>
      </w:r>
      <w:r w:rsidR="00BD649B" w:rsidRPr="00BD649B">
        <w:rPr>
          <w:sz w:val="20"/>
          <w:szCs w:val="18"/>
        </w:rPr>
        <w:t>(fls. 2.67</w:t>
      </w:r>
      <w:r w:rsidR="00BD649B">
        <w:rPr>
          <w:sz w:val="20"/>
          <w:szCs w:val="18"/>
        </w:rPr>
        <w:t>8</w:t>
      </w:r>
      <w:r w:rsidR="00BD649B" w:rsidRPr="00BD649B">
        <w:rPr>
          <w:sz w:val="20"/>
          <w:szCs w:val="18"/>
        </w:rPr>
        <w:t>)</w:t>
      </w:r>
      <w:r>
        <w:t>.</w:t>
      </w:r>
    </w:p>
    <w:p w14:paraId="108B7C7F" w14:textId="18297675" w:rsidR="009F2459" w:rsidRDefault="00292E54" w:rsidP="009F2459">
      <w:pPr>
        <w:pStyle w:val="SemEspaamento"/>
      </w:pPr>
      <w:r>
        <w:t>Ao final deste tópico, o embargante explicou que “</w:t>
      </w:r>
      <w:r w:rsidR="009F2459" w:rsidRPr="009F2459">
        <w:rPr>
          <w:b/>
          <w:bCs/>
          <w:i/>
          <w:iCs/>
        </w:rPr>
        <w:t xml:space="preserve">o aresto recorrido </w:t>
      </w:r>
      <w:r w:rsidR="009F2459" w:rsidRPr="009F2459">
        <w:rPr>
          <w:b/>
          <w:bCs/>
          <w:i/>
          <w:iCs/>
          <w:u w:val="single"/>
        </w:rPr>
        <w:t>DIVERGE</w:t>
      </w:r>
      <w:r w:rsidR="009F2459" w:rsidRPr="009F2459">
        <w:rPr>
          <w:b/>
          <w:bCs/>
          <w:i/>
          <w:iCs/>
        </w:rPr>
        <w:t xml:space="preserve"> </w:t>
      </w:r>
      <w:r w:rsidR="009C416E" w:rsidRPr="009F2459">
        <w:rPr>
          <w:b/>
          <w:bCs/>
          <w:i/>
          <w:iCs/>
        </w:rPr>
        <w:t>DO POSICIONAMENTO JURISPRUDENCIAL DESSE COLENDO SUPERIOR TRIBUNAL DE JUSTIÇA</w:t>
      </w:r>
      <w:r w:rsidR="009F2459" w:rsidRPr="009F2459">
        <w:rPr>
          <w:i/>
          <w:iCs/>
        </w:rPr>
        <w:t xml:space="preserve">, </w:t>
      </w:r>
      <w:r w:rsidR="009F2459" w:rsidRPr="009F2459">
        <w:rPr>
          <w:b/>
          <w:bCs/>
          <w:i/>
          <w:iCs/>
        </w:rPr>
        <w:t xml:space="preserve">que reconhece a </w:t>
      </w:r>
      <w:r w:rsidR="009F2459">
        <w:rPr>
          <w:b/>
          <w:bCs/>
          <w:i/>
          <w:iCs/>
        </w:rPr>
        <w:t>‘</w:t>
      </w:r>
      <w:r w:rsidR="009F2459" w:rsidRPr="009F2459">
        <w:rPr>
          <w:b/>
          <w:bCs/>
          <w:i/>
          <w:iCs/>
        </w:rPr>
        <w:t xml:space="preserve">afronta ao </w:t>
      </w:r>
      <w:r w:rsidR="009F2459" w:rsidRPr="009F2459">
        <w:rPr>
          <w:b/>
          <w:bCs/>
          <w:i/>
          <w:iCs/>
          <w:u w:val="single"/>
        </w:rPr>
        <w:t>art. 619 do CPP</w:t>
      </w:r>
      <w:r w:rsidR="009F2459" w:rsidRPr="009F2459">
        <w:rPr>
          <w:b/>
          <w:bCs/>
          <w:i/>
          <w:iCs/>
        </w:rPr>
        <w:t xml:space="preserve"> quando o acórdão hostilizado deixa de se manifestar, de </w:t>
      </w:r>
      <w:r w:rsidR="009F2459" w:rsidRPr="009F2459">
        <w:rPr>
          <w:b/>
          <w:bCs/>
          <w:i/>
          <w:iCs/>
          <w:u w:val="single"/>
        </w:rPr>
        <w:t>forma fundamentada</w:t>
      </w:r>
      <w:r w:rsidR="009F2459" w:rsidRPr="009F2459">
        <w:rPr>
          <w:b/>
          <w:bCs/>
          <w:i/>
          <w:iCs/>
        </w:rPr>
        <w:t xml:space="preserve">, sobre </w:t>
      </w:r>
      <w:r w:rsidR="009F2459" w:rsidRPr="009F2459">
        <w:rPr>
          <w:b/>
          <w:bCs/>
          <w:i/>
          <w:iCs/>
          <w:u w:val="single"/>
        </w:rPr>
        <w:t>questão</w:t>
      </w:r>
      <w:r w:rsidR="009F2459" w:rsidRPr="009F2459">
        <w:rPr>
          <w:b/>
          <w:bCs/>
          <w:i/>
          <w:iCs/>
        </w:rPr>
        <w:t xml:space="preserve"> </w:t>
      </w:r>
      <w:r w:rsidR="009F2459" w:rsidRPr="009F2459">
        <w:rPr>
          <w:b/>
          <w:bCs/>
          <w:i/>
          <w:iCs/>
          <w:u w:val="single"/>
        </w:rPr>
        <w:t>essencial</w:t>
      </w:r>
      <w:r w:rsidR="009F2459" w:rsidRPr="009F2459">
        <w:rPr>
          <w:b/>
          <w:bCs/>
          <w:i/>
          <w:iCs/>
        </w:rPr>
        <w:t xml:space="preserve"> ao deslinde da controvérsia</w:t>
      </w:r>
      <w:r w:rsidR="009F2459" w:rsidRPr="009F2459">
        <w:rPr>
          <w:i/>
          <w:iCs/>
        </w:rPr>
        <w:t xml:space="preserve">, o que se coaduna ao caso em exame. Embora não esteja o Julgador obrigado a enfrentar todos os pontos alegados pelas Partes, </w:t>
      </w:r>
      <w:r w:rsidR="009F2459" w:rsidRPr="009F2459">
        <w:rPr>
          <w:i/>
          <w:iCs/>
          <w:u w:val="single"/>
        </w:rPr>
        <w:t>havendo omissão</w:t>
      </w:r>
      <w:r w:rsidR="009F2459" w:rsidRPr="009F2459">
        <w:rPr>
          <w:i/>
          <w:iCs/>
        </w:rPr>
        <w:t xml:space="preserve"> e contradição </w:t>
      </w:r>
      <w:r w:rsidR="009F2459" w:rsidRPr="009F2459">
        <w:rPr>
          <w:i/>
          <w:iCs/>
          <w:u w:val="single"/>
        </w:rPr>
        <w:t>sobre questão relevante para o deslinde da controvérsia</w:t>
      </w:r>
      <w:r w:rsidR="009F2459" w:rsidRPr="009F2459">
        <w:rPr>
          <w:i/>
          <w:iCs/>
        </w:rPr>
        <w:t xml:space="preserve">, </w:t>
      </w:r>
      <w:r w:rsidR="009F2459" w:rsidRPr="009F2459">
        <w:rPr>
          <w:i/>
          <w:iCs/>
          <w:u w:val="single"/>
        </w:rPr>
        <w:t xml:space="preserve">devem estas serem </w:t>
      </w:r>
      <w:r w:rsidR="009F2459" w:rsidRPr="009F2459">
        <w:rPr>
          <w:b/>
          <w:bCs/>
          <w:i/>
          <w:iCs/>
          <w:u w:val="single"/>
        </w:rPr>
        <w:t>aclaradas</w:t>
      </w:r>
      <w:r w:rsidR="009F2459" w:rsidRPr="009F2459">
        <w:rPr>
          <w:i/>
          <w:iCs/>
        </w:rPr>
        <w:t xml:space="preserve"> em sede de embargos de declaração, sob </w:t>
      </w:r>
      <w:r w:rsidR="009F2459" w:rsidRPr="009F2459">
        <w:rPr>
          <w:i/>
          <w:iCs/>
          <w:u w:val="single"/>
        </w:rPr>
        <w:t>pena de nulidade do julgado</w:t>
      </w:r>
      <w:r w:rsidR="009F2459">
        <w:rPr>
          <w:i/>
          <w:iCs/>
        </w:rPr>
        <w:t>’</w:t>
      </w:r>
      <w:r w:rsidR="009F2459" w:rsidRPr="009F2459">
        <w:rPr>
          <w:i/>
          <w:iCs/>
        </w:rPr>
        <w:t xml:space="preserve"> </w:t>
      </w:r>
      <w:r w:rsidR="009F2459" w:rsidRPr="009F2459">
        <w:rPr>
          <w:i/>
          <w:iCs/>
          <w:sz w:val="20"/>
          <w:szCs w:val="18"/>
        </w:rPr>
        <w:t>(AgRg no AREsp n. 1.719.549, rel. Min. Laurita Vaz, j. em 15.2.2022 – grifos acrescentados)</w:t>
      </w:r>
      <w:r w:rsidR="009F2459">
        <w:t>”</w:t>
      </w:r>
      <w:r w:rsidR="00BD649B">
        <w:t xml:space="preserve"> </w:t>
      </w:r>
      <w:r w:rsidR="00BD649B" w:rsidRPr="00BD649B">
        <w:rPr>
          <w:sz w:val="20"/>
          <w:szCs w:val="18"/>
        </w:rPr>
        <w:t>(fls. 2.67</w:t>
      </w:r>
      <w:r w:rsidR="00BD649B">
        <w:rPr>
          <w:sz w:val="20"/>
          <w:szCs w:val="18"/>
        </w:rPr>
        <w:t>8</w:t>
      </w:r>
      <w:r w:rsidR="00BD649B" w:rsidRPr="00BD649B">
        <w:rPr>
          <w:sz w:val="20"/>
          <w:szCs w:val="18"/>
        </w:rPr>
        <w:t>)</w:t>
      </w:r>
      <w:r w:rsidR="009F2459">
        <w:t>.</w:t>
      </w:r>
    </w:p>
    <w:p w14:paraId="65201268" w14:textId="5DFBCEBD" w:rsidR="00175E1B" w:rsidRDefault="009F2459" w:rsidP="00A32D6D">
      <w:pPr>
        <w:pStyle w:val="SemEspaamento"/>
      </w:pPr>
      <w:r>
        <w:t>Como visto, Excelência, toda a argumentação exposta no tópico III.1</w:t>
      </w:r>
      <w:r w:rsidR="00EE2DE1">
        <w:t xml:space="preserve"> do agravo</w:t>
      </w:r>
      <w:r w:rsidR="00C17DAF">
        <w:t xml:space="preserve"> interposto</w:t>
      </w:r>
      <w:r>
        <w:t xml:space="preserve">, </w:t>
      </w:r>
      <w:r w:rsidR="00BF3D38">
        <w:t xml:space="preserve">que </w:t>
      </w:r>
      <w:r w:rsidR="00C17DAF">
        <w:t xml:space="preserve">infelizmente </w:t>
      </w:r>
      <w:r w:rsidR="00BF3D38">
        <w:t>não foi considerada</w:t>
      </w:r>
      <w:r>
        <w:t xml:space="preserve"> </w:t>
      </w:r>
      <w:r w:rsidRPr="009F2459">
        <w:rPr>
          <w:b/>
          <w:bCs/>
          <w:sz w:val="20"/>
          <w:szCs w:val="18"/>
        </w:rPr>
        <w:t>(omissão)</w:t>
      </w:r>
      <w:r w:rsidR="00BF3D38">
        <w:t xml:space="preserve"> pela decisão </w:t>
      </w:r>
      <w:r w:rsidR="00C17DAF">
        <w:t xml:space="preserve">ora </w:t>
      </w:r>
      <w:r w:rsidR="00BF3D38">
        <w:t xml:space="preserve">embargada, afasta a alegada </w:t>
      </w:r>
      <w:r w:rsidR="00AD3E34">
        <w:t>“</w:t>
      </w:r>
      <w:r w:rsidR="00BF3D38">
        <w:t>ausência de dialeticidade recursal</w:t>
      </w:r>
      <w:r w:rsidR="00AD3E34">
        <w:t>”</w:t>
      </w:r>
      <w:r w:rsidR="00A32D6D" w:rsidRPr="00A32D6D">
        <w:t xml:space="preserve"> </w:t>
      </w:r>
      <w:r w:rsidR="00A32D6D">
        <w:t xml:space="preserve">no que diz respeito ao art. 619 do CPP e o </w:t>
      </w:r>
      <w:r w:rsidR="00A32D6D" w:rsidRPr="00C865AE">
        <w:t>art. 489, §1º, III e IV, do CPC</w:t>
      </w:r>
      <w:r w:rsidR="00A32D6D">
        <w:t xml:space="preserve"> e </w:t>
      </w:r>
      <w:r w:rsidR="002C3684">
        <w:t xml:space="preserve">evidencia a contraposição </w:t>
      </w:r>
      <w:r w:rsidR="00BD649B">
        <w:t>à</w:t>
      </w:r>
      <w:r w:rsidR="00A32D6D">
        <w:t xml:space="preserve"> </w:t>
      </w:r>
      <w:r w:rsidR="002C3684">
        <w:t xml:space="preserve">incidência da </w:t>
      </w:r>
      <w:r w:rsidR="00A32D6D">
        <w:t>Súmula n. 83/STJ</w:t>
      </w:r>
      <w:r w:rsidR="006971CF">
        <w:t xml:space="preserve"> e a sua inaplicabilidade no caso concreto</w:t>
      </w:r>
      <w:r w:rsidR="00AD3E34">
        <w:t>,</w:t>
      </w:r>
      <w:r w:rsidR="00A32D6D">
        <w:t xml:space="preserve"> </w:t>
      </w:r>
      <w:r w:rsidR="009F4612">
        <w:t xml:space="preserve">sobretudo porque o embargante demonstrou a fundamentação genérica do aresto recorrido, refutou </w:t>
      </w:r>
      <w:r w:rsidR="00A61D44">
        <w:t xml:space="preserve">o argumento, genérico, da decisão agravada </w:t>
      </w:r>
      <w:r w:rsidR="00A32D6D">
        <w:t xml:space="preserve">de que seria mera </w:t>
      </w:r>
      <w:r w:rsidR="0044423E">
        <w:t>“</w:t>
      </w:r>
      <w:r w:rsidR="00A32D6D">
        <w:t>rediscussão de mérito</w:t>
      </w:r>
      <w:r w:rsidR="0044423E">
        <w:t>”</w:t>
      </w:r>
      <w:r w:rsidR="00D0130A">
        <w:t xml:space="preserve">, </w:t>
      </w:r>
      <w:r w:rsidR="00175E1B">
        <w:t xml:space="preserve">além de demonstrar </w:t>
      </w:r>
      <w:r w:rsidR="00D0130A">
        <w:t>que a tese recursal</w:t>
      </w:r>
      <w:r w:rsidR="00175E1B">
        <w:t xml:space="preserve">, não examinada, </w:t>
      </w:r>
      <w:r w:rsidR="00A61D44">
        <w:t>é essencial ao deslinde da causa</w:t>
      </w:r>
      <w:r w:rsidR="0044423E">
        <w:t xml:space="preserve">, pois </w:t>
      </w:r>
      <w:r w:rsidR="002C3684">
        <w:t xml:space="preserve">pode </w:t>
      </w:r>
      <w:r w:rsidR="0044423E">
        <w:t>influencia</w:t>
      </w:r>
      <w:r w:rsidR="002C3684">
        <w:t>r</w:t>
      </w:r>
      <w:r w:rsidR="0044423E">
        <w:t xml:space="preserve"> </w:t>
      </w:r>
      <w:r w:rsidR="002C3684">
        <w:t xml:space="preserve">e reduzir o </w:t>
      </w:r>
      <w:r w:rsidR="0044423E">
        <w:rPr>
          <w:i/>
          <w:iCs/>
        </w:rPr>
        <w:t xml:space="preserve">quantum </w:t>
      </w:r>
      <w:r w:rsidR="0044423E">
        <w:t>da pena fixada</w:t>
      </w:r>
      <w:r w:rsidR="00A61D44">
        <w:t xml:space="preserve">. </w:t>
      </w:r>
    </w:p>
    <w:p w14:paraId="3BA95E9B" w14:textId="279D12A0" w:rsidR="00535CE6" w:rsidRDefault="00A61D44" w:rsidP="00A32D6D">
      <w:pPr>
        <w:pStyle w:val="SemEspaamento"/>
      </w:pPr>
      <w:r>
        <w:t>Além disso</w:t>
      </w:r>
      <w:r w:rsidR="00175E1B">
        <w:t xml:space="preserve">, o embargante também </w:t>
      </w:r>
      <w:r w:rsidR="007B32E6">
        <w:t xml:space="preserve">comparou o caso concreto com a jurisprudência </w:t>
      </w:r>
      <w:r w:rsidR="006971CF">
        <w:t xml:space="preserve">atual </w:t>
      </w:r>
      <w:r w:rsidR="007B32E6">
        <w:t xml:space="preserve">da Colenda Corte Superior e </w:t>
      </w:r>
      <w:r w:rsidR="00D0130A">
        <w:t>comprovou</w:t>
      </w:r>
      <w:r w:rsidR="00175E1B">
        <w:t xml:space="preserve"> que a conclusão do aresto recorrido confront</w:t>
      </w:r>
      <w:r w:rsidR="009852FA">
        <w:t>ou</w:t>
      </w:r>
      <w:r w:rsidR="00175E1B">
        <w:t xml:space="preserve"> </w:t>
      </w:r>
      <w:r w:rsidR="009852FA">
        <w:t xml:space="preserve">entendimento jurisprudencial </w:t>
      </w:r>
      <w:r w:rsidR="00684B5F">
        <w:t>contemporâne</w:t>
      </w:r>
      <w:r w:rsidR="009852FA">
        <w:t>o</w:t>
      </w:r>
      <w:r w:rsidR="00684B5F">
        <w:t xml:space="preserve"> à interposição do agravo</w:t>
      </w:r>
      <w:r w:rsidR="0024441F">
        <w:t xml:space="preserve"> </w:t>
      </w:r>
      <w:r w:rsidR="0024441F" w:rsidRPr="0024441F">
        <w:rPr>
          <w:sz w:val="22"/>
          <w:szCs w:val="20"/>
        </w:rPr>
        <w:t>– e vigente até hoje –</w:t>
      </w:r>
      <w:r w:rsidR="00684B5F">
        <w:t>,</w:t>
      </w:r>
      <w:r w:rsidR="0024441F">
        <w:t xml:space="preserve"> </w:t>
      </w:r>
      <w:r w:rsidR="00151863">
        <w:t xml:space="preserve">comprovando a total inaplicabilidade da Súmula n. 83/STJ ao presente caso, já que o aresto recorrido destoou do entendimento do STJ de que </w:t>
      </w:r>
      <w:r w:rsidR="00684B5F">
        <w:t xml:space="preserve">o julgador </w:t>
      </w:r>
      <w:r w:rsidR="00151863">
        <w:t xml:space="preserve">é obrigado </w:t>
      </w:r>
      <w:r w:rsidR="00684B5F">
        <w:t>a analisar</w:t>
      </w:r>
      <w:r w:rsidR="007B32E6">
        <w:t>, fundamentadamente, tese essencial para o deslinde da controvérsia</w:t>
      </w:r>
      <w:r w:rsidR="007A33CF">
        <w:t>, sob pena de violação ao art. 619 do CPP</w:t>
      </w:r>
      <w:r w:rsidR="00151863">
        <w:t>.</w:t>
      </w:r>
    </w:p>
    <w:p w14:paraId="221FD909" w14:textId="341EA5CC" w:rsidR="009F4612" w:rsidRDefault="00CD43B6" w:rsidP="00A32D6D">
      <w:pPr>
        <w:pStyle w:val="SemEspaamento"/>
      </w:pPr>
      <w:r>
        <w:t>Sendo assim</w:t>
      </w:r>
      <w:r w:rsidR="00535CE6">
        <w:t xml:space="preserve">, </w:t>
      </w:r>
      <w:r w:rsidR="006604CC">
        <w:t xml:space="preserve">mostra-se indispensável que a decisão embargada </w:t>
      </w:r>
      <w:r>
        <w:t xml:space="preserve">realize o devido esclarecimento das </w:t>
      </w:r>
      <w:r w:rsidR="006604CC">
        <w:t xml:space="preserve">omissões </w:t>
      </w:r>
      <w:r>
        <w:t xml:space="preserve">apontadas, que dizem respeito </w:t>
      </w:r>
      <w:r w:rsidR="006604CC">
        <w:t xml:space="preserve">às razões </w:t>
      </w:r>
      <w:r w:rsidR="00D11349">
        <w:t xml:space="preserve">recursais </w:t>
      </w:r>
      <w:r w:rsidR="00FF2AF1">
        <w:t>apresentad</w:t>
      </w:r>
      <w:r w:rsidR="00E72830">
        <w:t>a</w:t>
      </w:r>
      <w:r w:rsidR="00FF2AF1">
        <w:t>s</w:t>
      </w:r>
      <w:r w:rsidR="006604CC">
        <w:t xml:space="preserve"> no tópico III.1 do agravo, </w:t>
      </w:r>
      <w:r w:rsidR="00D11349">
        <w:t>o que conduz ao acolhimento deste</w:t>
      </w:r>
      <w:r w:rsidR="006E4446">
        <w:t xml:space="preserve"> recurso integrativo</w:t>
      </w:r>
      <w:r w:rsidR="00D11349">
        <w:t>, com a concessão de efeitos infringentes, para</w:t>
      </w:r>
      <w:r w:rsidR="006E4446">
        <w:t xml:space="preserve"> conhecer do agravo interposto, na medida em que </w:t>
      </w:r>
      <w:r w:rsidR="00E84653">
        <w:t xml:space="preserve">o embargante impugnou, de forma específica, </w:t>
      </w:r>
      <w:r w:rsidR="008820F2">
        <w:t xml:space="preserve">a inadmissão do recurso pela Súmula n. 83/STJ, </w:t>
      </w:r>
      <w:r w:rsidR="00E72830">
        <w:t xml:space="preserve">rechaçando a sua incidência </w:t>
      </w:r>
      <w:r w:rsidR="00744A28">
        <w:t xml:space="preserve">e afastando, também, a aplicabilidade da Súmula n. 182/STJ </w:t>
      </w:r>
      <w:r w:rsidR="00E72830">
        <w:t>no caso concreto</w:t>
      </w:r>
      <w:r w:rsidR="00744A28">
        <w:t xml:space="preserve">, </w:t>
      </w:r>
      <w:r w:rsidR="006040F4">
        <w:t xml:space="preserve">além de </w:t>
      </w:r>
      <w:r w:rsidR="006E4446">
        <w:t xml:space="preserve">ter comprovado </w:t>
      </w:r>
      <w:r w:rsidR="006040F4">
        <w:t>que o aresto recorrido trouxe fundamentação genérica</w:t>
      </w:r>
      <w:r w:rsidR="001074F7">
        <w:t>,</w:t>
      </w:r>
      <w:r w:rsidR="002C5AB4">
        <w:t xml:space="preserve"> </w:t>
      </w:r>
      <w:r w:rsidR="00F72C45">
        <w:t xml:space="preserve">deixando de </w:t>
      </w:r>
      <w:r w:rsidR="006E4446">
        <w:t xml:space="preserve">enfrentar tese recursal </w:t>
      </w:r>
      <w:r w:rsidR="00F72C45">
        <w:t xml:space="preserve">essencial ao deslinde da controvérsia e </w:t>
      </w:r>
      <w:r w:rsidR="001074F7">
        <w:t xml:space="preserve">destoando </w:t>
      </w:r>
      <w:r w:rsidR="006040F4">
        <w:t>do entendimento jurisprudencial atual da Corte Superior sobre a ofensa ao art. 619 do CPP</w:t>
      </w:r>
      <w:r w:rsidR="008820F2">
        <w:t>.</w:t>
      </w:r>
    </w:p>
    <w:p w14:paraId="7B43C300" w14:textId="77777777" w:rsidR="000169F1" w:rsidRDefault="000169F1" w:rsidP="00E84702">
      <w:pPr>
        <w:pStyle w:val="SemEspaamento"/>
        <w:numPr>
          <w:ilvl w:val="0"/>
          <w:numId w:val="0"/>
        </w:numPr>
      </w:pPr>
    </w:p>
    <w:p w14:paraId="5DE7CCD2" w14:textId="5F41F0D9" w:rsidR="009C6ED8" w:rsidRDefault="009C6ED8" w:rsidP="009C6ED8">
      <w:pPr>
        <w:pStyle w:val="Ttulo"/>
      </w:pPr>
      <w:r>
        <w:t xml:space="preserve">I.2 – Agravo que demonstrou a inaplicabilidade da Súmula n. 83/STJ </w:t>
      </w:r>
      <w:r w:rsidR="00BF4299">
        <w:t xml:space="preserve">quanto à violação </w:t>
      </w:r>
      <w:r w:rsidR="00BF4299" w:rsidRPr="000A54FB">
        <w:t xml:space="preserve">ao art. </w:t>
      </w:r>
      <w:r w:rsidR="00BF4299">
        <w:t xml:space="preserve">157 </w:t>
      </w:r>
      <w:r w:rsidR="00BF4299" w:rsidRPr="000A54FB">
        <w:t>do CPP</w:t>
      </w:r>
      <w:r w:rsidR="00BF4299">
        <w:t xml:space="preserve"> </w:t>
      </w:r>
      <w:r w:rsidR="00F47532">
        <w:t xml:space="preserve">(tópico </w:t>
      </w:r>
      <w:r w:rsidR="00FF2AF1">
        <w:t>IV</w:t>
      </w:r>
      <w:r w:rsidR="00F47532">
        <w:t>.2</w:t>
      </w:r>
      <w:r w:rsidR="00FF2AF1">
        <w:t>.1</w:t>
      </w:r>
      <w:r w:rsidR="00F47532">
        <w:t xml:space="preserve"> das razões do agravo)</w:t>
      </w:r>
    </w:p>
    <w:p w14:paraId="28870A23" w14:textId="77777777" w:rsidR="009C6ED8" w:rsidRDefault="009C6ED8" w:rsidP="00E84702">
      <w:pPr>
        <w:pStyle w:val="SemEspaamento"/>
        <w:numPr>
          <w:ilvl w:val="0"/>
          <w:numId w:val="0"/>
        </w:numPr>
      </w:pPr>
    </w:p>
    <w:p w14:paraId="1A856D12" w14:textId="72229BE8" w:rsidR="009C6ED8" w:rsidRDefault="00FF2AF1" w:rsidP="00FF2AF1">
      <w:pPr>
        <w:pStyle w:val="SemEspaamento"/>
      </w:pPr>
      <w:r>
        <w:t xml:space="preserve">Em um segundo momento, </w:t>
      </w:r>
      <w:r w:rsidR="0093731F">
        <w:t xml:space="preserve">Excelência, </w:t>
      </w:r>
      <w:r>
        <w:t xml:space="preserve">a decisão </w:t>
      </w:r>
      <w:r w:rsidR="00E61951">
        <w:t xml:space="preserve">embargada </w:t>
      </w:r>
      <w:r>
        <w:t xml:space="preserve">também foi </w:t>
      </w:r>
      <w:r>
        <w:rPr>
          <w:b/>
          <w:bCs/>
        </w:rPr>
        <w:t xml:space="preserve">omissa </w:t>
      </w:r>
      <w:r w:rsidRPr="005C7B79">
        <w:t>em relação aos argumentos expostos no</w:t>
      </w:r>
      <w:r w:rsidRPr="00821E90">
        <w:rPr>
          <w:b/>
          <w:bCs/>
        </w:rPr>
        <w:t xml:space="preserve"> tópico IV.2.1</w:t>
      </w:r>
      <w:r w:rsidR="00821E90">
        <w:t xml:space="preserve">, que tratou </w:t>
      </w:r>
      <w:r w:rsidR="005C7B79">
        <w:t xml:space="preserve">expressamente </w:t>
      </w:r>
      <w:r w:rsidR="00821E90">
        <w:t>do “</w:t>
      </w:r>
      <w:r w:rsidR="005C7B79" w:rsidRPr="005C7B79">
        <w:rPr>
          <w:b/>
          <w:bCs/>
          <w:i/>
          <w:iCs/>
        </w:rPr>
        <w:t xml:space="preserve">Posicionamento do Tribunal local DIVERGENTE DA JURISPRUDÊNCIA DA CORTE SUPERIOR, </w:t>
      </w:r>
      <w:r w:rsidR="005C7B79" w:rsidRPr="00726616">
        <w:rPr>
          <w:b/>
          <w:bCs/>
          <w:i/>
          <w:iCs/>
        </w:rPr>
        <w:t>que</w:t>
      </w:r>
      <w:r w:rsidR="005C7B79" w:rsidRPr="009A3E41">
        <w:rPr>
          <w:i/>
          <w:iCs/>
        </w:rPr>
        <w:t xml:space="preserve"> </w:t>
      </w:r>
      <w:r w:rsidR="005C7B79" w:rsidRPr="00726616">
        <w:rPr>
          <w:b/>
          <w:bCs/>
          <w:i/>
          <w:iCs/>
        </w:rPr>
        <w:t>exige fundamentação quanto à necessidade da quebra do sigilo de correspondência</w:t>
      </w:r>
      <w:r w:rsidR="005C7B79" w:rsidRPr="009A3E41">
        <w:rPr>
          <w:i/>
          <w:iCs/>
        </w:rPr>
        <w:t xml:space="preserve"> e</w:t>
      </w:r>
      <w:r w:rsidR="005C7B79" w:rsidRPr="005C7B79">
        <w:rPr>
          <w:b/>
          <w:bCs/>
          <w:i/>
          <w:iCs/>
        </w:rPr>
        <w:t xml:space="preserve"> demonstra a inaplicabilidade da Súmula n. 83/STJ ao caso</w:t>
      </w:r>
      <w:r w:rsidR="005C7B79">
        <w:t>”</w:t>
      </w:r>
      <w:r w:rsidR="005C7B79" w:rsidRPr="005C7B79">
        <w:t>.</w:t>
      </w:r>
    </w:p>
    <w:p w14:paraId="6BA9DFA4" w14:textId="6F96EADB" w:rsidR="005C7B79" w:rsidRDefault="0093731F" w:rsidP="00FF2AF1">
      <w:pPr>
        <w:pStyle w:val="SemEspaamento"/>
      </w:pPr>
      <w:r>
        <w:t xml:space="preserve">Ao concluir que se estaria diante de falta de impugnação e ausência de dialeticidade recursal, </w:t>
      </w:r>
      <w:r w:rsidR="00312423">
        <w:t xml:space="preserve">o </w:t>
      </w:r>
      <w:r w:rsidR="00312423">
        <w:rPr>
          <w:i/>
          <w:iCs/>
        </w:rPr>
        <w:t xml:space="preserve">decisum </w:t>
      </w:r>
      <w:r w:rsidR="003255F2">
        <w:t>desconsiderou</w:t>
      </w:r>
      <w:r>
        <w:t xml:space="preserve"> </w:t>
      </w:r>
      <w:r w:rsidRPr="0093731F">
        <w:rPr>
          <w:b/>
          <w:bCs/>
          <w:sz w:val="20"/>
          <w:szCs w:val="18"/>
        </w:rPr>
        <w:t>(omissão)</w:t>
      </w:r>
      <w:r w:rsidR="003255F2">
        <w:t xml:space="preserve"> </w:t>
      </w:r>
      <w:r w:rsidR="00E61951">
        <w:t xml:space="preserve">que, nas razões do agravo, </w:t>
      </w:r>
      <w:r w:rsidR="005C7B79">
        <w:t>o embargante</w:t>
      </w:r>
      <w:r w:rsidR="00E61951">
        <w:t xml:space="preserve"> </w:t>
      </w:r>
      <w:r w:rsidR="00E61951" w:rsidRPr="003C465A">
        <w:rPr>
          <w:b/>
          <w:bCs/>
        </w:rPr>
        <w:t>deduziu tópico próprio</w:t>
      </w:r>
      <w:r w:rsidR="00312423">
        <w:t xml:space="preserve"> </w:t>
      </w:r>
      <w:r w:rsidR="00312423" w:rsidRPr="003C465A">
        <w:rPr>
          <w:b/>
          <w:bCs/>
        </w:rPr>
        <w:t>enfrentando</w:t>
      </w:r>
      <w:r w:rsidR="00AF6DCF">
        <w:t>, de forma específica e detalhada,</w:t>
      </w:r>
      <w:r w:rsidR="00312423">
        <w:t xml:space="preserve"> </w:t>
      </w:r>
      <w:r w:rsidR="00312423" w:rsidRPr="003C465A">
        <w:rPr>
          <w:b/>
          <w:bCs/>
        </w:rPr>
        <w:t>a inadmissão do recurso</w:t>
      </w:r>
      <w:r w:rsidR="00AF6DCF" w:rsidRPr="003C465A">
        <w:rPr>
          <w:b/>
          <w:bCs/>
        </w:rPr>
        <w:t xml:space="preserve"> pelo óbice da Súmula n. 83/STJ</w:t>
      </w:r>
      <w:r w:rsidR="00312423">
        <w:t>,</w:t>
      </w:r>
      <w:r w:rsidR="003255F2">
        <w:t xml:space="preserve"> </w:t>
      </w:r>
      <w:r w:rsidR="00AF6DCF">
        <w:t xml:space="preserve">também </w:t>
      </w:r>
      <w:r w:rsidR="003255F2">
        <w:t xml:space="preserve">quanto </w:t>
      </w:r>
      <w:r w:rsidR="00AF6DCF">
        <w:t xml:space="preserve">à </w:t>
      </w:r>
      <w:r w:rsidR="006A6E6B">
        <w:t xml:space="preserve">infringência ao </w:t>
      </w:r>
      <w:r w:rsidR="003255F2">
        <w:t>art. 157 do CPP.</w:t>
      </w:r>
    </w:p>
    <w:p w14:paraId="40811A06" w14:textId="6E49154B" w:rsidR="001C5632" w:rsidRDefault="001C5632" w:rsidP="001C5632">
      <w:pPr>
        <w:pStyle w:val="SemEspaamento"/>
      </w:pPr>
      <w:r>
        <w:t xml:space="preserve">Nas razões do agravo, o embargante registrou que o entendimento firmado pela Corte </w:t>
      </w:r>
      <w:r w:rsidR="00726616">
        <w:t>local</w:t>
      </w:r>
      <w:r>
        <w:t xml:space="preserve"> contrariou, de forma direta, o art. 157 do CPP, notadamente porque </w:t>
      </w:r>
      <w:r w:rsidR="00726616">
        <w:t>“</w:t>
      </w:r>
      <w:r w:rsidRPr="00726616">
        <w:rPr>
          <w:i/>
          <w:iCs/>
        </w:rPr>
        <w:t xml:space="preserve">a sua condenação está fundamentada em </w:t>
      </w:r>
      <w:r w:rsidRPr="00726616">
        <w:rPr>
          <w:b/>
          <w:bCs/>
          <w:i/>
          <w:iCs/>
        </w:rPr>
        <w:t>prova ilícita</w:t>
      </w:r>
      <w:r w:rsidRPr="00726616">
        <w:rPr>
          <w:i/>
          <w:iCs/>
        </w:rPr>
        <w:t xml:space="preserve">, pois revela-se </w:t>
      </w:r>
      <w:r w:rsidRPr="00726616">
        <w:rPr>
          <w:b/>
          <w:bCs/>
          <w:i/>
          <w:iCs/>
        </w:rPr>
        <w:t>nula</w:t>
      </w:r>
      <w:r w:rsidRPr="00726616">
        <w:rPr>
          <w:i/>
          <w:iCs/>
        </w:rPr>
        <w:t xml:space="preserve"> </w:t>
      </w:r>
      <w:r w:rsidRPr="00726616">
        <w:rPr>
          <w:b/>
          <w:bCs/>
          <w:i/>
          <w:iCs/>
        </w:rPr>
        <w:t>a interceptação postal</w:t>
      </w:r>
      <w:r w:rsidRPr="00A73887">
        <w:rPr>
          <w:b/>
          <w:bCs/>
          <w:i/>
          <w:iCs/>
        </w:rPr>
        <w:t xml:space="preserve"> realizada </w:t>
      </w:r>
      <w:r w:rsidRPr="00A73887">
        <w:rPr>
          <w:b/>
          <w:bCs/>
          <w:i/>
          <w:iCs/>
          <w:u w:val="single"/>
        </w:rPr>
        <w:t>sem</w:t>
      </w:r>
      <w:r w:rsidRPr="00A73887">
        <w:rPr>
          <w:b/>
          <w:bCs/>
          <w:i/>
          <w:iCs/>
        </w:rPr>
        <w:t xml:space="preserve"> autorização judicial específica</w:t>
      </w:r>
      <w:r w:rsidRPr="00726616">
        <w:rPr>
          <w:i/>
          <w:iCs/>
        </w:rPr>
        <w:t xml:space="preserve"> </w:t>
      </w:r>
      <w:r w:rsidRPr="00A73887">
        <w:rPr>
          <w:b/>
          <w:bCs/>
          <w:i/>
          <w:iCs/>
        </w:rPr>
        <w:t>e</w:t>
      </w:r>
      <w:r w:rsidRPr="00726616">
        <w:rPr>
          <w:i/>
          <w:iCs/>
        </w:rPr>
        <w:t xml:space="preserve"> </w:t>
      </w:r>
      <w:r w:rsidRPr="00726616">
        <w:rPr>
          <w:b/>
          <w:bCs/>
          <w:i/>
          <w:iCs/>
        </w:rPr>
        <w:t>sem fundamentação adequada</w:t>
      </w:r>
      <w:r w:rsidR="00726616" w:rsidRPr="00726616">
        <w:t>”</w:t>
      </w:r>
      <w:r w:rsidR="00743DAD">
        <w:t xml:space="preserve"> </w:t>
      </w:r>
      <w:r w:rsidR="00743DAD" w:rsidRPr="00743DAD">
        <w:rPr>
          <w:sz w:val="20"/>
          <w:szCs w:val="18"/>
        </w:rPr>
        <w:t>(fls. 2.673)</w:t>
      </w:r>
      <w:r>
        <w:t>.</w:t>
      </w:r>
    </w:p>
    <w:p w14:paraId="4FBC6761" w14:textId="11C98658" w:rsidR="00C55352" w:rsidRDefault="00743DAD" w:rsidP="00E279C0">
      <w:pPr>
        <w:pStyle w:val="SemEspaamento"/>
      </w:pPr>
      <w:r>
        <w:t xml:space="preserve">Em seguida, no tópico IV.2.1 </w:t>
      </w:r>
      <w:r w:rsidRPr="00726616">
        <w:rPr>
          <w:sz w:val="20"/>
          <w:szCs w:val="18"/>
        </w:rPr>
        <w:t xml:space="preserve">(fls. </w:t>
      </w:r>
      <w:r w:rsidR="00726616" w:rsidRPr="00726616">
        <w:rPr>
          <w:sz w:val="20"/>
          <w:szCs w:val="18"/>
        </w:rPr>
        <w:t>2.680/2.681)</w:t>
      </w:r>
      <w:r>
        <w:t xml:space="preserve">, </w:t>
      </w:r>
      <w:r w:rsidR="00B80579">
        <w:t xml:space="preserve">o embargante explicou o </w:t>
      </w:r>
      <w:r w:rsidR="00CA4A27">
        <w:t xml:space="preserve">entendimento </w:t>
      </w:r>
      <w:r w:rsidR="00D7759D">
        <w:t>sedimentado pel</w:t>
      </w:r>
      <w:r w:rsidR="00CA4A27">
        <w:t xml:space="preserve">o </w:t>
      </w:r>
      <w:r w:rsidR="00863611">
        <w:t>Superior Tribunal de Justiça</w:t>
      </w:r>
      <w:r w:rsidR="002F6873">
        <w:t>,</w:t>
      </w:r>
      <w:r w:rsidR="002F6873" w:rsidRPr="002F6873">
        <w:t xml:space="preserve"> </w:t>
      </w:r>
      <w:r w:rsidR="002F6873">
        <w:t>desrespeitado pela Corte Local,</w:t>
      </w:r>
      <w:r w:rsidR="00CA4A27">
        <w:t xml:space="preserve"> em casos similares ao dos autos,</w:t>
      </w:r>
      <w:r w:rsidR="00F23C27">
        <w:t xml:space="preserve"> </w:t>
      </w:r>
      <w:r w:rsidR="00F91A4D">
        <w:t>em que há violação ao art. 157 do CPP,</w:t>
      </w:r>
      <w:r w:rsidR="00CA4A27">
        <w:t xml:space="preserve"> </w:t>
      </w:r>
      <w:r w:rsidR="00E279C0">
        <w:t xml:space="preserve">tendo sido registrado </w:t>
      </w:r>
      <w:r w:rsidR="00060A9D">
        <w:t>que a Corte da Cidadania firmou-se</w:t>
      </w:r>
      <w:r w:rsidR="00CA4A27">
        <w:t xml:space="preserve"> no sentido de </w:t>
      </w:r>
      <w:r w:rsidR="00511E8F">
        <w:t xml:space="preserve">que </w:t>
      </w:r>
      <w:r w:rsidR="00C55352">
        <w:t>“</w:t>
      </w:r>
      <w:r w:rsidR="00C55352" w:rsidRPr="001D3FBC">
        <w:rPr>
          <w:b/>
          <w:bCs/>
          <w:i/>
          <w:iCs/>
        </w:rPr>
        <w:t>A quebra do sigilo do correio eletrônico somente pode ser decretada</w:t>
      </w:r>
      <w:r w:rsidR="00C55352" w:rsidRPr="00743DAD">
        <w:rPr>
          <w:i/>
          <w:iCs/>
        </w:rPr>
        <w:t xml:space="preserve">, elidindo a proteção ao direito, </w:t>
      </w:r>
      <w:r w:rsidR="00C55352" w:rsidRPr="001D3FBC">
        <w:rPr>
          <w:b/>
          <w:bCs/>
          <w:i/>
          <w:iCs/>
        </w:rPr>
        <w:t xml:space="preserve">diante dos </w:t>
      </w:r>
      <w:r w:rsidR="00C55352" w:rsidRPr="001D3FBC">
        <w:rPr>
          <w:b/>
          <w:bCs/>
          <w:i/>
          <w:iCs/>
          <w:u w:val="single"/>
        </w:rPr>
        <w:t>requisitos</w:t>
      </w:r>
      <w:r w:rsidR="00C55352" w:rsidRPr="001D3FBC">
        <w:rPr>
          <w:b/>
          <w:bCs/>
          <w:i/>
          <w:iCs/>
        </w:rPr>
        <w:t xml:space="preserve"> </w:t>
      </w:r>
      <w:r w:rsidR="00C55352" w:rsidRPr="001D3FBC">
        <w:rPr>
          <w:b/>
          <w:bCs/>
          <w:i/>
          <w:iCs/>
          <w:u w:val="single"/>
        </w:rPr>
        <w:t>próprios</w:t>
      </w:r>
      <w:r w:rsidR="00C55352" w:rsidRPr="001D3FBC">
        <w:rPr>
          <w:b/>
          <w:bCs/>
          <w:i/>
          <w:iCs/>
        </w:rPr>
        <w:t xml:space="preserve"> de </w:t>
      </w:r>
      <w:proofErr w:type="spellStart"/>
      <w:r w:rsidR="00C55352" w:rsidRPr="001D3FBC">
        <w:rPr>
          <w:b/>
          <w:bCs/>
          <w:i/>
          <w:iCs/>
          <w:u w:val="single"/>
        </w:rPr>
        <w:t>cautelaridade</w:t>
      </w:r>
      <w:proofErr w:type="spellEnd"/>
      <w:r w:rsidR="00C55352" w:rsidRPr="00743DAD">
        <w:rPr>
          <w:i/>
          <w:iCs/>
        </w:rPr>
        <w:t xml:space="preserve"> </w:t>
      </w:r>
      <w:r w:rsidR="00C55352" w:rsidRPr="00060A9D">
        <w:rPr>
          <w:b/>
          <w:bCs/>
          <w:i/>
          <w:iCs/>
        </w:rPr>
        <w:t>que a JUSTIFIQUEM</w:t>
      </w:r>
      <w:r w:rsidR="00C55352" w:rsidRPr="00743DAD">
        <w:rPr>
          <w:i/>
          <w:iCs/>
        </w:rPr>
        <w:t xml:space="preserve"> </w:t>
      </w:r>
      <w:r w:rsidR="00C55352" w:rsidRPr="00A73887">
        <w:rPr>
          <w:b/>
          <w:bCs/>
          <w:i/>
          <w:iCs/>
        </w:rPr>
        <w:t>idoneamente</w:t>
      </w:r>
      <w:r w:rsidR="00C55352" w:rsidRPr="00743DAD">
        <w:rPr>
          <w:i/>
          <w:iCs/>
        </w:rPr>
        <w:t xml:space="preserve">, desaguando em um quadro de </w:t>
      </w:r>
      <w:r w:rsidR="00C55352" w:rsidRPr="00A73887">
        <w:rPr>
          <w:b/>
          <w:bCs/>
          <w:i/>
          <w:iCs/>
        </w:rPr>
        <w:t>IMPRESCINDIBILIDADE</w:t>
      </w:r>
      <w:r w:rsidR="00C55352" w:rsidRPr="00743DAD">
        <w:rPr>
          <w:i/>
          <w:iCs/>
        </w:rPr>
        <w:t xml:space="preserve"> da </w:t>
      </w:r>
      <w:r w:rsidR="00C55352" w:rsidRPr="00060A9D">
        <w:rPr>
          <w:i/>
          <w:iCs/>
        </w:rPr>
        <w:t>providência</w:t>
      </w:r>
      <w:r w:rsidR="00F15D83">
        <w:t>’</w:t>
      </w:r>
      <w:r w:rsidR="00C55352" w:rsidRPr="00743DAD">
        <w:rPr>
          <w:i/>
          <w:iCs/>
        </w:rPr>
        <w:t xml:space="preserve"> </w:t>
      </w:r>
      <w:r w:rsidR="00C55352" w:rsidRPr="00743DAD">
        <w:rPr>
          <w:sz w:val="20"/>
          <w:szCs w:val="18"/>
        </w:rPr>
        <w:t>(HC 315.220/RS, Rel. Ministra MARIA THEREZA DE ASSIS MOURA, SEXTA TURMA, j. em 15.9.2015 – destaques acrescentados)</w:t>
      </w:r>
      <w:r w:rsidR="00F15D83">
        <w:t xml:space="preserve">” </w:t>
      </w:r>
      <w:r w:rsidR="00F15D83" w:rsidRPr="00743DAD">
        <w:rPr>
          <w:sz w:val="20"/>
          <w:szCs w:val="18"/>
        </w:rPr>
        <w:t>(fls. 2.6</w:t>
      </w:r>
      <w:r w:rsidR="00F15D83">
        <w:rPr>
          <w:sz w:val="20"/>
          <w:szCs w:val="18"/>
        </w:rPr>
        <w:t>80/2.681</w:t>
      </w:r>
      <w:r w:rsidR="00F15D83" w:rsidRPr="00743DAD">
        <w:rPr>
          <w:sz w:val="20"/>
          <w:szCs w:val="18"/>
        </w:rPr>
        <w:t>)</w:t>
      </w:r>
      <w:r w:rsidR="00C55352" w:rsidRPr="00C55AB7">
        <w:t>.</w:t>
      </w:r>
      <w:r w:rsidR="00E279C0">
        <w:t xml:space="preserve"> Esses argumentos, no entanto, não foram levados em consideração </w:t>
      </w:r>
      <w:r w:rsidR="00E279C0" w:rsidRPr="00E279C0">
        <w:rPr>
          <w:b/>
          <w:bCs/>
          <w:sz w:val="20"/>
          <w:szCs w:val="18"/>
        </w:rPr>
        <w:t>(omissão)</w:t>
      </w:r>
      <w:r w:rsidR="00E279C0">
        <w:t xml:space="preserve"> pela decisão embargada, </w:t>
      </w:r>
      <w:r w:rsidR="002C389E">
        <w:t xml:space="preserve">exigindo </w:t>
      </w:r>
      <w:r w:rsidR="00E279C0">
        <w:t>o devido esclarecimento</w:t>
      </w:r>
      <w:r w:rsidR="002C389E">
        <w:t xml:space="preserve"> do vício apontado</w:t>
      </w:r>
      <w:r w:rsidR="00E279C0">
        <w:t>.</w:t>
      </w:r>
    </w:p>
    <w:p w14:paraId="0761A847" w14:textId="37A32AD4" w:rsidR="00CD1804" w:rsidRDefault="002C389E" w:rsidP="00CD1804">
      <w:pPr>
        <w:pStyle w:val="SemEspaamento"/>
      </w:pPr>
      <w:r>
        <w:t>E a</w:t>
      </w:r>
      <w:r w:rsidR="00D67151">
        <w:t xml:space="preserve"> decisão embargada também </w:t>
      </w:r>
      <w:r w:rsidR="00060A9D" w:rsidRPr="00D67151">
        <w:rPr>
          <w:b/>
          <w:bCs/>
        </w:rPr>
        <w:t>se omitiu</w:t>
      </w:r>
      <w:r w:rsidR="00D67151">
        <w:t xml:space="preserve"> em relação ao fato de que </w:t>
      </w:r>
      <w:r w:rsidR="00C55352">
        <w:t>o recorrente</w:t>
      </w:r>
      <w:r w:rsidR="00D67151">
        <w:t xml:space="preserve"> </w:t>
      </w:r>
      <w:r w:rsidR="00060A9D">
        <w:t>detalhou</w:t>
      </w:r>
      <w:r w:rsidR="00C55352">
        <w:t xml:space="preserve">, </w:t>
      </w:r>
      <w:r w:rsidR="00CD1804">
        <w:t>nas razões do recurso especial</w:t>
      </w:r>
      <w:r w:rsidR="00D67151">
        <w:t>,</w:t>
      </w:r>
      <w:r w:rsidR="00CD1804">
        <w:t xml:space="preserve"> </w:t>
      </w:r>
      <w:r w:rsidR="00CD1804" w:rsidRPr="00494C5B">
        <w:rPr>
          <w:b/>
          <w:bCs/>
        </w:rPr>
        <w:t>o</w:t>
      </w:r>
      <w:r w:rsidR="00CA4A27">
        <w:rPr>
          <w:b/>
          <w:bCs/>
        </w:rPr>
        <w:t>utro</w:t>
      </w:r>
      <w:r w:rsidR="00CD1804" w:rsidRPr="00494C5B">
        <w:rPr>
          <w:b/>
          <w:bCs/>
        </w:rPr>
        <w:t xml:space="preserve"> posicionamento assentado pela Corte Superior</w:t>
      </w:r>
      <w:r>
        <w:t xml:space="preserve">, </w:t>
      </w:r>
      <w:r w:rsidR="00D67151" w:rsidRPr="00B9353E">
        <w:t>em caso análogo ao dos autos</w:t>
      </w:r>
      <w:r>
        <w:t>,</w:t>
      </w:r>
      <w:r w:rsidR="00D67151">
        <w:t xml:space="preserve"> </w:t>
      </w:r>
      <w:r w:rsidR="001A0445">
        <w:t xml:space="preserve">e </w:t>
      </w:r>
      <w:r w:rsidR="00CA4A27">
        <w:t xml:space="preserve">igualmente </w:t>
      </w:r>
      <w:r w:rsidR="001A0445">
        <w:t xml:space="preserve">desrespeitado pela Corte local, </w:t>
      </w:r>
      <w:r w:rsidR="00D67151">
        <w:t xml:space="preserve">no qual </w:t>
      </w:r>
      <w:r w:rsidR="00CA4A27">
        <w:t>foi sedimentado que,</w:t>
      </w:r>
      <w:r w:rsidR="001A0445">
        <w:t xml:space="preserve"> </w:t>
      </w:r>
      <w:r w:rsidR="00CD1804">
        <w:t>“</w:t>
      </w:r>
      <w:r w:rsidR="00CD1804" w:rsidRPr="002A66CA">
        <w:rPr>
          <w:i/>
          <w:iCs/>
        </w:rPr>
        <w:t xml:space="preserve">Ao deferir a quebra de sigilo bancário, </w:t>
      </w:r>
      <w:r w:rsidR="00CD1804" w:rsidRPr="002A66CA">
        <w:rPr>
          <w:b/>
          <w:bCs/>
          <w:i/>
          <w:iCs/>
        </w:rPr>
        <w:t xml:space="preserve">a autoridade judicial </w:t>
      </w:r>
      <w:r w:rsidR="00CD1804" w:rsidRPr="002A66CA">
        <w:rPr>
          <w:b/>
          <w:bCs/>
          <w:i/>
          <w:iCs/>
          <w:u w:val="single"/>
        </w:rPr>
        <w:t>não</w:t>
      </w:r>
      <w:r w:rsidR="00CD1804" w:rsidRPr="00CD1804">
        <w:rPr>
          <w:b/>
          <w:bCs/>
          <w:i/>
          <w:iCs/>
        </w:rPr>
        <w:t xml:space="preserve"> </w:t>
      </w:r>
      <w:r w:rsidR="00CD1804" w:rsidRPr="002A66CA">
        <w:rPr>
          <w:b/>
          <w:bCs/>
          <w:i/>
          <w:iCs/>
          <w:u w:val="single"/>
        </w:rPr>
        <w:t>explicitou</w:t>
      </w:r>
      <w:r w:rsidR="00CD1804" w:rsidRPr="002A66CA">
        <w:rPr>
          <w:b/>
          <w:bCs/>
          <w:i/>
          <w:iCs/>
        </w:rPr>
        <w:t xml:space="preserve"> as razões de seu convencimento </w:t>
      </w:r>
      <w:r w:rsidR="00CD1804" w:rsidRPr="002A66CA">
        <w:rPr>
          <w:i/>
          <w:iCs/>
        </w:rPr>
        <w:t xml:space="preserve">quanto à </w:t>
      </w:r>
      <w:r w:rsidR="00CD1804" w:rsidRPr="00B9353E">
        <w:rPr>
          <w:i/>
          <w:iCs/>
        </w:rPr>
        <w:t>necessidade</w:t>
      </w:r>
      <w:r w:rsidR="00CD1804" w:rsidRPr="002A66CA">
        <w:rPr>
          <w:i/>
          <w:iCs/>
        </w:rPr>
        <w:t xml:space="preserve"> de acesso às movimentações financeiras do recorrente e de sua empresa. Não houve emprego de fundamentação per </w:t>
      </w:r>
      <w:proofErr w:type="spellStart"/>
      <w:r w:rsidR="00CD1804" w:rsidRPr="002A66CA">
        <w:rPr>
          <w:i/>
          <w:iCs/>
        </w:rPr>
        <w:t>relationem</w:t>
      </w:r>
      <w:proofErr w:type="spellEnd"/>
      <w:r w:rsidR="00CD1804" w:rsidRPr="002A66CA">
        <w:rPr>
          <w:i/>
          <w:iCs/>
        </w:rPr>
        <w:t>, individualização do crime a ser apurado ou menção a indícios razoáveis de sua autoria</w:t>
      </w:r>
      <w:r w:rsidR="00CD1804" w:rsidRPr="002176BD">
        <w:rPr>
          <w:i/>
          <w:iCs/>
        </w:rPr>
        <w:t xml:space="preserve">. </w:t>
      </w:r>
      <w:r w:rsidR="00CD1804" w:rsidRPr="00494C5B">
        <w:rPr>
          <w:b/>
          <w:bCs/>
          <w:i/>
          <w:iCs/>
        </w:rPr>
        <w:t>O vício acarreta a invalidação do ato judicial, por nulidade absoluta, o que contamina a ação penal</w:t>
      </w:r>
      <w:r w:rsidR="00CD1804">
        <w:t xml:space="preserve">. </w:t>
      </w:r>
      <w:r w:rsidR="00CD1804" w:rsidRPr="00FF762E">
        <w:rPr>
          <w:i/>
          <w:iCs/>
        </w:rPr>
        <w:t xml:space="preserve">[...] As provas obtidas em violação a garantia constitucional do sigilo bancário, e as dela derivadas, são ilícitas e têm de ser desentranhadas do processo. </w:t>
      </w:r>
      <w:r w:rsidR="00CD1804" w:rsidRPr="00B417DC">
        <w:rPr>
          <w:b/>
          <w:bCs/>
          <w:i/>
          <w:iCs/>
        </w:rPr>
        <w:t>O Tribunal de Justiça, para julgar a apelação, deverá observar as diretrizes do art. 157 do CPP</w:t>
      </w:r>
      <w:r w:rsidR="00CD1804" w:rsidRPr="00494C5B">
        <w:rPr>
          <w:b/>
          <w:bCs/>
          <w:i/>
          <w:iCs/>
        </w:rPr>
        <w:t xml:space="preserve"> e identificar se existem outras fontes probatórias independentes ou que seriam obtidas por descoberta inevitável, suficientes para manter a condenação</w:t>
      </w:r>
      <w:r w:rsidR="00795736">
        <w:t>’</w:t>
      </w:r>
      <w:r w:rsidR="00CD1804">
        <w:t xml:space="preserve"> </w:t>
      </w:r>
      <w:r w:rsidR="00CD1804" w:rsidRPr="00D632F5">
        <w:rPr>
          <w:sz w:val="20"/>
          <w:szCs w:val="18"/>
        </w:rPr>
        <w:t>(HC n. 100.382/MG, rel. Min. Rogério Schietti Cruz, 6ª Turma, j. em 14.10.2021 – grifos acrescentados)</w:t>
      </w:r>
      <w:r w:rsidR="00795736">
        <w:t>”</w:t>
      </w:r>
      <w:r w:rsidR="00A73887">
        <w:t xml:space="preserve"> </w:t>
      </w:r>
      <w:r w:rsidR="00A73887" w:rsidRPr="00A73887">
        <w:rPr>
          <w:sz w:val="20"/>
          <w:szCs w:val="18"/>
        </w:rPr>
        <w:t>(fls. 2.681)</w:t>
      </w:r>
      <w:r w:rsidR="00CD1804">
        <w:t xml:space="preserve">. </w:t>
      </w:r>
    </w:p>
    <w:p w14:paraId="48815467" w14:textId="4540D756" w:rsidR="00CD1804" w:rsidRDefault="002C389E" w:rsidP="00CD1804">
      <w:pPr>
        <w:pStyle w:val="SemEspaamento"/>
      </w:pPr>
      <w:r>
        <w:t>No mais</w:t>
      </w:r>
      <w:r w:rsidR="00B417DC">
        <w:t xml:space="preserve">, </w:t>
      </w:r>
      <w:r w:rsidR="00494C5B">
        <w:t>ao final do tópico Iv.2.1</w:t>
      </w:r>
      <w:r w:rsidR="00A73887">
        <w:t xml:space="preserve"> </w:t>
      </w:r>
      <w:r w:rsidR="00A73887" w:rsidRPr="00A73887">
        <w:rPr>
          <w:sz w:val="20"/>
          <w:szCs w:val="18"/>
        </w:rPr>
        <w:t>(fls. 2.681)</w:t>
      </w:r>
      <w:r w:rsidR="00B417DC">
        <w:t xml:space="preserve">, o embargante </w:t>
      </w:r>
      <w:r w:rsidR="00293425">
        <w:t xml:space="preserve">explicou que </w:t>
      </w:r>
      <w:r w:rsidR="00CD1804">
        <w:t xml:space="preserve">a decisão </w:t>
      </w:r>
      <w:r w:rsidR="00293425">
        <w:t xml:space="preserve">agravada </w:t>
      </w:r>
      <w:r w:rsidR="00CD1804" w:rsidRPr="00293425">
        <w:rPr>
          <w:b/>
          <w:bCs/>
        </w:rPr>
        <w:t>conclui</w:t>
      </w:r>
      <w:r w:rsidR="00293425" w:rsidRPr="00293425">
        <w:rPr>
          <w:b/>
          <w:bCs/>
        </w:rPr>
        <w:t>u</w:t>
      </w:r>
      <w:r w:rsidR="00CD1804" w:rsidRPr="00293425">
        <w:rPr>
          <w:b/>
          <w:bCs/>
        </w:rPr>
        <w:t xml:space="preserve"> em sentido diametralmente oposto ao assentado pela jurisprudência da Corte Superior</w:t>
      </w:r>
      <w:r w:rsidR="00CD1804">
        <w:t xml:space="preserve"> </w:t>
      </w:r>
      <w:r w:rsidR="00CD1804" w:rsidRPr="00494C5B">
        <w:rPr>
          <w:b/>
          <w:bCs/>
        </w:rPr>
        <w:t xml:space="preserve">sobre a afronta ao art. 157 do CPP, o que </w:t>
      </w:r>
      <w:r w:rsidR="00494C5B" w:rsidRPr="00494C5B">
        <w:rPr>
          <w:b/>
          <w:bCs/>
        </w:rPr>
        <w:t xml:space="preserve">comprova a total </w:t>
      </w:r>
      <w:r w:rsidR="00CD1804" w:rsidRPr="00494C5B">
        <w:rPr>
          <w:b/>
          <w:bCs/>
        </w:rPr>
        <w:t>inaplicabilidade da Súmula n. 83/STJ ao caso</w:t>
      </w:r>
      <w:r w:rsidR="00494C5B" w:rsidRPr="00494C5B">
        <w:rPr>
          <w:b/>
          <w:bCs/>
        </w:rPr>
        <w:t xml:space="preserve"> concreto</w:t>
      </w:r>
      <w:r w:rsidR="00D67151">
        <w:t xml:space="preserve">, o que não foi considerado </w:t>
      </w:r>
      <w:r w:rsidR="00D67151" w:rsidRPr="00D67151">
        <w:rPr>
          <w:b/>
          <w:bCs/>
          <w:sz w:val="20"/>
          <w:szCs w:val="18"/>
        </w:rPr>
        <w:t>(omissão)</w:t>
      </w:r>
      <w:r w:rsidR="00D67151">
        <w:t xml:space="preserve"> pela decisão ora embargada</w:t>
      </w:r>
      <w:r w:rsidR="00034ED1">
        <w:t xml:space="preserve"> quando</w:t>
      </w:r>
      <w:r>
        <w:t xml:space="preserve"> concluiu pelo não conhecimento do recurso pela ausência de dialeticidade recursal</w:t>
      </w:r>
      <w:r w:rsidR="00D67151">
        <w:t>.</w:t>
      </w:r>
    </w:p>
    <w:p w14:paraId="19D75039" w14:textId="1397BAD1" w:rsidR="0024263E" w:rsidRDefault="004E66FB" w:rsidP="00FF2AF1">
      <w:pPr>
        <w:pStyle w:val="SemEspaamento"/>
      </w:pPr>
      <w:r>
        <w:t xml:space="preserve">Desse modo, </w:t>
      </w:r>
      <w:r w:rsidR="00494C5B">
        <w:t xml:space="preserve">Excelência, </w:t>
      </w:r>
      <w:r w:rsidR="002F78A6">
        <w:t xml:space="preserve">uma vez sanadas as omissões apontadas, </w:t>
      </w:r>
      <w:r w:rsidR="00034ED1">
        <w:t>a decisão embargada</w:t>
      </w:r>
      <w:r w:rsidR="00D34E43">
        <w:t xml:space="preserve"> </w:t>
      </w:r>
      <w:r w:rsidR="00F36D28">
        <w:t xml:space="preserve">deve levar </w:t>
      </w:r>
      <w:r w:rsidR="00034ED1">
        <w:t xml:space="preserve">em consideração </w:t>
      </w:r>
      <w:r w:rsidR="00D34E43">
        <w:t xml:space="preserve">toda </w:t>
      </w:r>
      <w:r w:rsidR="00034ED1">
        <w:t xml:space="preserve">a </w:t>
      </w:r>
      <w:r w:rsidR="00D34E43">
        <w:t>argumentação delineada no tópico IV.2.1, chega</w:t>
      </w:r>
      <w:r w:rsidR="00F36D28">
        <w:t>ndo</w:t>
      </w:r>
      <w:r w:rsidR="00D34E43">
        <w:t xml:space="preserve">-se à </w:t>
      </w:r>
      <w:r w:rsidR="00F4134A">
        <w:t xml:space="preserve">inafastável </w:t>
      </w:r>
      <w:r w:rsidR="00D34E43">
        <w:t>conclusão de que</w:t>
      </w:r>
      <w:r w:rsidR="009D6769">
        <w:t xml:space="preserve"> o agravo interposto impugnou, de forma específica e detalhada, a inadmissão do recurso pelo óbice da Súmula n. 83/ST</w:t>
      </w:r>
      <w:r w:rsidR="00D34E43">
        <w:t>J também quanto à ofensa ao art. 157 do CPP</w:t>
      </w:r>
      <w:r w:rsidR="008218FD">
        <w:t xml:space="preserve">, bem como </w:t>
      </w:r>
      <w:r w:rsidR="003771AC">
        <w:t>comprovou que</w:t>
      </w:r>
      <w:r w:rsidR="00CC3B8E">
        <w:t xml:space="preserve"> </w:t>
      </w:r>
      <w:r w:rsidR="003771AC">
        <w:t>o aresto recorrido</w:t>
      </w:r>
      <w:r w:rsidR="00CC3B8E">
        <w:t xml:space="preserve"> desrespeitou o </w:t>
      </w:r>
      <w:r w:rsidR="00F4134A">
        <w:t>posicionamento</w:t>
      </w:r>
      <w:r w:rsidR="00CC3B8E">
        <w:t xml:space="preserve"> firmado por essa Corte Superior em caso análogo ao dos autos</w:t>
      </w:r>
      <w:r w:rsidR="009D6769">
        <w:t>.</w:t>
      </w:r>
    </w:p>
    <w:p w14:paraId="52FCD94D" w14:textId="24171823" w:rsidR="003255F2" w:rsidRDefault="002C389E" w:rsidP="00FF2AF1">
      <w:pPr>
        <w:pStyle w:val="SemEspaamento"/>
      </w:pPr>
      <w:r>
        <w:t>Portanto</w:t>
      </w:r>
      <w:r w:rsidR="002F78A6">
        <w:t xml:space="preserve">, </w:t>
      </w:r>
      <w:r w:rsidR="00E07260">
        <w:t>estes aclaratórios</w:t>
      </w:r>
      <w:r w:rsidR="00E07260" w:rsidRPr="00E07260">
        <w:t xml:space="preserve"> </w:t>
      </w:r>
      <w:r w:rsidR="00E07260">
        <w:t xml:space="preserve">devem ser acolhidos, com a concessão de efeitos infringentes, para </w:t>
      </w:r>
      <w:r w:rsidR="00EC0019">
        <w:t>afastar a</w:t>
      </w:r>
      <w:r w:rsidR="001074F7">
        <w:t xml:space="preserve"> </w:t>
      </w:r>
      <w:r w:rsidR="00F77204">
        <w:t xml:space="preserve">conclusão do </w:t>
      </w:r>
      <w:r w:rsidR="00F77204">
        <w:rPr>
          <w:i/>
          <w:iCs/>
        </w:rPr>
        <w:t>decisum</w:t>
      </w:r>
      <w:r w:rsidR="00F77204">
        <w:t xml:space="preserve"> relativa à</w:t>
      </w:r>
      <w:r w:rsidR="00F4134A">
        <w:t xml:space="preserve"> </w:t>
      </w:r>
      <w:r w:rsidR="001074F7">
        <w:t>ausência de dialeticidade recursal</w:t>
      </w:r>
      <w:r w:rsidR="00E56770">
        <w:t xml:space="preserve"> e</w:t>
      </w:r>
      <w:r w:rsidR="001074F7">
        <w:t xml:space="preserve"> </w:t>
      </w:r>
      <w:r w:rsidR="006A6894">
        <w:t xml:space="preserve">à </w:t>
      </w:r>
      <w:r w:rsidR="001074F7">
        <w:t xml:space="preserve">falta de impugnação específica </w:t>
      </w:r>
      <w:r w:rsidR="00B51033">
        <w:t>quanto</w:t>
      </w:r>
      <w:r w:rsidR="001074F7">
        <w:t xml:space="preserve"> à Súmula n. 83/STJ</w:t>
      </w:r>
      <w:r w:rsidR="00E56770">
        <w:t>,</w:t>
      </w:r>
      <w:r w:rsidR="001074F7">
        <w:t xml:space="preserve"> </w:t>
      </w:r>
      <w:r w:rsidR="00BF6F3E">
        <w:t>também quanto à afronta ao art. 157 do CPP,</w:t>
      </w:r>
      <w:r w:rsidR="005E41BB" w:rsidRPr="005E41BB">
        <w:t xml:space="preserve"> </w:t>
      </w:r>
      <w:r w:rsidR="005E41BB">
        <w:t>além de rechaçar a incidência da Súmula n. 182/STJ,</w:t>
      </w:r>
      <w:r w:rsidR="00BF6F3E">
        <w:t xml:space="preserve"> </w:t>
      </w:r>
      <w:r w:rsidR="001074F7">
        <w:t>o que conduz ao</w:t>
      </w:r>
      <w:r w:rsidR="006E4446">
        <w:t xml:space="preserve"> conhecimento do agravo</w:t>
      </w:r>
      <w:r w:rsidR="00F4134A">
        <w:t xml:space="preserve"> interposto.</w:t>
      </w:r>
    </w:p>
    <w:p w14:paraId="3450B354" w14:textId="33328317" w:rsidR="00FE4D05" w:rsidRDefault="00FE4D05" w:rsidP="00FE4D05">
      <w:pPr>
        <w:pStyle w:val="SemEspaamento"/>
        <w:numPr>
          <w:ilvl w:val="0"/>
          <w:numId w:val="0"/>
        </w:numPr>
        <w:ind w:left="1701"/>
      </w:pPr>
    </w:p>
    <w:p w14:paraId="515AA374" w14:textId="05887E95" w:rsidR="000169F1" w:rsidRPr="00136102" w:rsidRDefault="000169F1" w:rsidP="002C5AB4">
      <w:pPr>
        <w:pStyle w:val="Ttulo"/>
      </w:pPr>
      <w:r>
        <w:t xml:space="preserve">II – REQUERIMENTOS </w:t>
      </w:r>
    </w:p>
    <w:p w14:paraId="1D3D7681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2559827" w14:textId="3B8D2267" w:rsidR="00ED0B1A" w:rsidRPr="00136102" w:rsidRDefault="000169F1" w:rsidP="00ED0B1A">
      <w:pPr>
        <w:pStyle w:val="SemEspaamento"/>
      </w:pPr>
      <w:r>
        <w:t>A</w:t>
      </w:r>
      <w:r w:rsidRPr="00136102">
        <w:t xml:space="preserve">nte o exposto, </w:t>
      </w:r>
      <w:r w:rsidR="00F4134A">
        <w:t>além da intimação da parte adversa para, querendo, apresentar c</w:t>
      </w:r>
      <w:r w:rsidR="00363C8F">
        <w:t xml:space="preserve">ontrarrazões, </w:t>
      </w:r>
      <w:r w:rsidR="008A4EF4">
        <w:t xml:space="preserve">o </w:t>
      </w:r>
      <w:r w:rsidR="00363C8F">
        <w:t xml:space="preserve">embargante </w:t>
      </w:r>
      <w:r w:rsidR="008A4EF4">
        <w:t>requer</w:t>
      </w:r>
      <w:r w:rsidR="00363C8F">
        <w:t xml:space="preserve"> o conhecimento e acolhimento destes embargos de declaração, com a concessão de efeitos infringentes, para que</w:t>
      </w:r>
      <w:r w:rsidR="00174A74">
        <w:t xml:space="preserve">, sanadas as omissões apontadas, </w:t>
      </w:r>
      <w:r w:rsidR="00363C8F">
        <w:t xml:space="preserve">sejam considerados os </w:t>
      </w:r>
      <w:r w:rsidR="00AF4B1F">
        <w:t xml:space="preserve">argumentos apresentados nos </w:t>
      </w:r>
      <w:r w:rsidR="00363C8F">
        <w:t xml:space="preserve">tópicos III.1 e IV.2.1 do agravo interposto, </w:t>
      </w:r>
      <w:r w:rsidR="0030675E">
        <w:t xml:space="preserve">os quais </w:t>
      </w:r>
      <w:r w:rsidR="00E80EC7">
        <w:t xml:space="preserve">comprovam que o recorrente </w:t>
      </w:r>
      <w:r w:rsidR="00363C8F">
        <w:t xml:space="preserve">impugnou especificadamente </w:t>
      </w:r>
      <w:r w:rsidR="001440AA">
        <w:t xml:space="preserve">a inadmissão do recurso </w:t>
      </w:r>
      <w:r w:rsidR="00174A74">
        <w:t xml:space="preserve">especial </w:t>
      </w:r>
      <w:r w:rsidR="001440AA">
        <w:t>pelo óbice da Súmula n. 83/STJ</w:t>
      </w:r>
      <w:r w:rsidR="00E80EC7">
        <w:t xml:space="preserve"> e</w:t>
      </w:r>
      <w:r w:rsidR="001440AA">
        <w:t xml:space="preserve"> </w:t>
      </w:r>
      <w:r w:rsidR="00E80EC7">
        <w:t xml:space="preserve">comprovou </w:t>
      </w:r>
      <w:r w:rsidR="001440AA">
        <w:t xml:space="preserve">a </w:t>
      </w:r>
      <w:r w:rsidR="00E80EC7">
        <w:t xml:space="preserve">sua </w:t>
      </w:r>
      <w:r w:rsidR="001440AA">
        <w:t xml:space="preserve">inaplicabilidade </w:t>
      </w:r>
      <w:r w:rsidR="00E80EC7">
        <w:t>a</w:t>
      </w:r>
      <w:r w:rsidR="001440AA">
        <w:t>o caso concreto,</w:t>
      </w:r>
      <w:r w:rsidR="004F08E8">
        <w:t xml:space="preserve"> </w:t>
      </w:r>
      <w:r w:rsidR="005E41BB">
        <w:t xml:space="preserve">afastando a ausência de dialeticidade recursal, </w:t>
      </w:r>
      <w:r w:rsidR="00246944">
        <w:t xml:space="preserve">o que acarreta </w:t>
      </w:r>
      <w:r w:rsidR="004F08E8">
        <w:t>no conhecimento do agravo</w:t>
      </w:r>
      <w:r w:rsidR="00ED0B1A">
        <w:t xml:space="preserve"> ao recurso especial</w:t>
      </w:r>
      <w:r w:rsidR="00246944">
        <w:t xml:space="preserve"> e exame do seu mérito recursal</w:t>
      </w:r>
      <w:r w:rsidR="00ED0B1A">
        <w:t xml:space="preserve">. </w:t>
      </w:r>
    </w:p>
    <w:p w14:paraId="16C80B95" w14:textId="34F9439C" w:rsidR="000169F1" w:rsidRPr="00ED0B1A" w:rsidRDefault="000169F1" w:rsidP="00ED0B1A">
      <w:pPr>
        <w:pStyle w:val="Qualificaodaspartes"/>
        <w:rPr>
          <w:sz w:val="14"/>
          <w:szCs w:val="12"/>
        </w:rPr>
      </w:pPr>
    </w:p>
    <w:p w14:paraId="72E9278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59ED5E3" w14:textId="217C219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F3AD7">
        <w:rPr>
          <w:rFonts w:ascii="Arial" w:eastAsia="Calibri" w:hAnsi="Arial" w:cs="Times New Roman"/>
          <w:noProof/>
          <w:sz w:val="24"/>
          <w:szCs w:val="24"/>
        </w:rPr>
        <w:t>5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9804FF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A87885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C878AB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E15F07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CAE05C2" w14:textId="14289C6F" w:rsidR="00131BEB" w:rsidRPr="000169F1" w:rsidRDefault="00EE029A" w:rsidP="00D92A35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4F00EA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B586D" w14:textId="77777777" w:rsidR="00D246AE" w:rsidRDefault="00D246AE" w:rsidP="00943258">
      <w:pPr>
        <w:spacing w:after="0" w:line="240" w:lineRule="auto"/>
      </w:pPr>
      <w:r>
        <w:separator/>
      </w:r>
    </w:p>
  </w:endnote>
  <w:endnote w:type="continuationSeparator" w:id="0">
    <w:p w14:paraId="17D9AB9F" w14:textId="77777777" w:rsidR="00D246AE" w:rsidRDefault="00D246A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1B8B3D1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E61314B" wp14:editId="41ACCA0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139664899" name="Imagem 11396648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7B38C6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5A00E" w14:textId="77777777" w:rsidR="00D246AE" w:rsidRDefault="00D246AE" w:rsidP="00943258">
      <w:pPr>
        <w:spacing w:after="0" w:line="240" w:lineRule="auto"/>
      </w:pPr>
      <w:r>
        <w:separator/>
      </w:r>
    </w:p>
  </w:footnote>
  <w:footnote w:type="continuationSeparator" w:id="0">
    <w:p w14:paraId="03EC7613" w14:textId="77777777" w:rsidR="00D246AE" w:rsidRDefault="00D246A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2D8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EDCB46F" wp14:editId="5402E6E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36328459" name="Imagem 173632845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617787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D75BCA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8D2644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B9"/>
    <w:rsid w:val="00000136"/>
    <w:rsid w:val="000009EF"/>
    <w:rsid w:val="0000297A"/>
    <w:rsid w:val="00003F31"/>
    <w:rsid w:val="000102A8"/>
    <w:rsid w:val="00012AB7"/>
    <w:rsid w:val="00014A78"/>
    <w:rsid w:val="000169F1"/>
    <w:rsid w:val="00020EC3"/>
    <w:rsid w:val="00022C88"/>
    <w:rsid w:val="000254D0"/>
    <w:rsid w:val="00026254"/>
    <w:rsid w:val="000304EA"/>
    <w:rsid w:val="00034ED1"/>
    <w:rsid w:val="00036A90"/>
    <w:rsid w:val="0003705C"/>
    <w:rsid w:val="0004298B"/>
    <w:rsid w:val="000429E8"/>
    <w:rsid w:val="00043078"/>
    <w:rsid w:val="000459A1"/>
    <w:rsid w:val="00052D47"/>
    <w:rsid w:val="00057B00"/>
    <w:rsid w:val="00057B03"/>
    <w:rsid w:val="00060A9D"/>
    <w:rsid w:val="00060B0F"/>
    <w:rsid w:val="0006310A"/>
    <w:rsid w:val="00064DB7"/>
    <w:rsid w:val="000660A2"/>
    <w:rsid w:val="000670CC"/>
    <w:rsid w:val="000720F8"/>
    <w:rsid w:val="00072CAE"/>
    <w:rsid w:val="00075A03"/>
    <w:rsid w:val="000869E5"/>
    <w:rsid w:val="000970CD"/>
    <w:rsid w:val="00097661"/>
    <w:rsid w:val="000A2F55"/>
    <w:rsid w:val="000A54FB"/>
    <w:rsid w:val="000A7FDB"/>
    <w:rsid w:val="000B1B83"/>
    <w:rsid w:val="000B308B"/>
    <w:rsid w:val="000C3032"/>
    <w:rsid w:val="000D0445"/>
    <w:rsid w:val="000D228C"/>
    <w:rsid w:val="000D2479"/>
    <w:rsid w:val="000D347D"/>
    <w:rsid w:val="000D626F"/>
    <w:rsid w:val="000E4535"/>
    <w:rsid w:val="00105001"/>
    <w:rsid w:val="001074F7"/>
    <w:rsid w:val="00112017"/>
    <w:rsid w:val="00112E07"/>
    <w:rsid w:val="00113FD0"/>
    <w:rsid w:val="00121D7B"/>
    <w:rsid w:val="0012307D"/>
    <w:rsid w:val="00127363"/>
    <w:rsid w:val="00131BEB"/>
    <w:rsid w:val="001360BC"/>
    <w:rsid w:val="001440AA"/>
    <w:rsid w:val="0014695C"/>
    <w:rsid w:val="0015062B"/>
    <w:rsid w:val="001512D6"/>
    <w:rsid w:val="00151863"/>
    <w:rsid w:val="00152D9A"/>
    <w:rsid w:val="0015346E"/>
    <w:rsid w:val="00161C95"/>
    <w:rsid w:val="00163987"/>
    <w:rsid w:val="001667B0"/>
    <w:rsid w:val="001668E2"/>
    <w:rsid w:val="0017368E"/>
    <w:rsid w:val="00174A74"/>
    <w:rsid w:val="00175BC1"/>
    <w:rsid w:val="00175E1B"/>
    <w:rsid w:val="001761C0"/>
    <w:rsid w:val="00180C5D"/>
    <w:rsid w:val="00181A01"/>
    <w:rsid w:val="0018327A"/>
    <w:rsid w:val="00183BE2"/>
    <w:rsid w:val="00191BF6"/>
    <w:rsid w:val="0019315E"/>
    <w:rsid w:val="001A0445"/>
    <w:rsid w:val="001B0CF5"/>
    <w:rsid w:val="001B1F48"/>
    <w:rsid w:val="001B2B98"/>
    <w:rsid w:val="001B2C9E"/>
    <w:rsid w:val="001B2E75"/>
    <w:rsid w:val="001B4208"/>
    <w:rsid w:val="001C5632"/>
    <w:rsid w:val="001D2D29"/>
    <w:rsid w:val="001D3FBC"/>
    <w:rsid w:val="001D466B"/>
    <w:rsid w:val="001D69AB"/>
    <w:rsid w:val="001E0AA5"/>
    <w:rsid w:val="001E31C3"/>
    <w:rsid w:val="001E35B1"/>
    <w:rsid w:val="001E44F0"/>
    <w:rsid w:val="001E49D7"/>
    <w:rsid w:val="001F3754"/>
    <w:rsid w:val="001F4DD5"/>
    <w:rsid w:val="00201F45"/>
    <w:rsid w:val="0020545F"/>
    <w:rsid w:val="00206C5F"/>
    <w:rsid w:val="00207BE4"/>
    <w:rsid w:val="00214E09"/>
    <w:rsid w:val="002157D1"/>
    <w:rsid w:val="002164CB"/>
    <w:rsid w:val="00216984"/>
    <w:rsid w:val="002176BD"/>
    <w:rsid w:val="00217BFB"/>
    <w:rsid w:val="002225C3"/>
    <w:rsid w:val="0023081F"/>
    <w:rsid w:val="0023607E"/>
    <w:rsid w:val="002367FC"/>
    <w:rsid w:val="00242272"/>
    <w:rsid w:val="0024263E"/>
    <w:rsid w:val="0024441F"/>
    <w:rsid w:val="00246944"/>
    <w:rsid w:val="002539A2"/>
    <w:rsid w:val="00253EEF"/>
    <w:rsid w:val="002542AE"/>
    <w:rsid w:val="00254FBC"/>
    <w:rsid w:val="00257B40"/>
    <w:rsid w:val="00260DAC"/>
    <w:rsid w:val="00261A37"/>
    <w:rsid w:val="00264F70"/>
    <w:rsid w:val="00270E22"/>
    <w:rsid w:val="00272BFB"/>
    <w:rsid w:val="00280983"/>
    <w:rsid w:val="00285F5C"/>
    <w:rsid w:val="0029164E"/>
    <w:rsid w:val="00291F6C"/>
    <w:rsid w:val="002929F9"/>
    <w:rsid w:val="00292E54"/>
    <w:rsid w:val="00293425"/>
    <w:rsid w:val="002A29A3"/>
    <w:rsid w:val="002A4F8C"/>
    <w:rsid w:val="002A5613"/>
    <w:rsid w:val="002A6852"/>
    <w:rsid w:val="002B14C1"/>
    <w:rsid w:val="002B6038"/>
    <w:rsid w:val="002B6870"/>
    <w:rsid w:val="002C0BB3"/>
    <w:rsid w:val="002C3684"/>
    <w:rsid w:val="002C389E"/>
    <w:rsid w:val="002C431A"/>
    <w:rsid w:val="002C45EC"/>
    <w:rsid w:val="002C49A4"/>
    <w:rsid w:val="002C5AB4"/>
    <w:rsid w:val="002C6DEA"/>
    <w:rsid w:val="002D0151"/>
    <w:rsid w:val="002D0D2C"/>
    <w:rsid w:val="002D1B23"/>
    <w:rsid w:val="002D213F"/>
    <w:rsid w:val="002D3159"/>
    <w:rsid w:val="002D41A6"/>
    <w:rsid w:val="002D5B27"/>
    <w:rsid w:val="002D5E15"/>
    <w:rsid w:val="002D6C3B"/>
    <w:rsid w:val="002E39BA"/>
    <w:rsid w:val="002E4CAB"/>
    <w:rsid w:val="002E5417"/>
    <w:rsid w:val="002E620B"/>
    <w:rsid w:val="002E6B85"/>
    <w:rsid w:val="002F6873"/>
    <w:rsid w:val="002F7509"/>
    <w:rsid w:val="002F78A6"/>
    <w:rsid w:val="003049AD"/>
    <w:rsid w:val="0030675E"/>
    <w:rsid w:val="00306940"/>
    <w:rsid w:val="003077E6"/>
    <w:rsid w:val="00312423"/>
    <w:rsid w:val="0031585B"/>
    <w:rsid w:val="003255F2"/>
    <w:rsid w:val="003272C6"/>
    <w:rsid w:val="00327A74"/>
    <w:rsid w:val="00330AC6"/>
    <w:rsid w:val="00333607"/>
    <w:rsid w:val="0033791C"/>
    <w:rsid w:val="00344EC8"/>
    <w:rsid w:val="0035572B"/>
    <w:rsid w:val="00357211"/>
    <w:rsid w:val="00360B66"/>
    <w:rsid w:val="00363C8F"/>
    <w:rsid w:val="00370094"/>
    <w:rsid w:val="00371FDA"/>
    <w:rsid w:val="00375DFD"/>
    <w:rsid w:val="00376AE0"/>
    <w:rsid w:val="003771AC"/>
    <w:rsid w:val="00377A2E"/>
    <w:rsid w:val="003801CD"/>
    <w:rsid w:val="00380572"/>
    <w:rsid w:val="00383F93"/>
    <w:rsid w:val="00385C7D"/>
    <w:rsid w:val="00386D5A"/>
    <w:rsid w:val="00391F58"/>
    <w:rsid w:val="0039720A"/>
    <w:rsid w:val="003A10C5"/>
    <w:rsid w:val="003A1A93"/>
    <w:rsid w:val="003A54D8"/>
    <w:rsid w:val="003A629E"/>
    <w:rsid w:val="003B1942"/>
    <w:rsid w:val="003C0835"/>
    <w:rsid w:val="003C465A"/>
    <w:rsid w:val="003C768B"/>
    <w:rsid w:val="003D7588"/>
    <w:rsid w:val="003E46B9"/>
    <w:rsid w:val="003E5F4F"/>
    <w:rsid w:val="003E648B"/>
    <w:rsid w:val="003F32F3"/>
    <w:rsid w:val="004008CF"/>
    <w:rsid w:val="00407397"/>
    <w:rsid w:val="0041688A"/>
    <w:rsid w:val="00417D17"/>
    <w:rsid w:val="004215A1"/>
    <w:rsid w:val="0042198C"/>
    <w:rsid w:val="00427418"/>
    <w:rsid w:val="004338BC"/>
    <w:rsid w:val="00433906"/>
    <w:rsid w:val="00435866"/>
    <w:rsid w:val="00441D73"/>
    <w:rsid w:val="00441FC5"/>
    <w:rsid w:val="004439B1"/>
    <w:rsid w:val="0044423E"/>
    <w:rsid w:val="004466E5"/>
    <w:rsid w:val="00447EBA"/>
    <w:rsid w:val="0045344F"/>
    <w:rsid w:val="00453DB1"/>
    <w:rsid w:val="00455E25"/>
    <w:rsid w:val="00466D3F"/>
    <w:rsid w:val="004801A1"/>
    <w:rsid w:val="00483C62"/>
    <w:rsid w:val="004949AD"/>
    <w:rsid w:val="00494C5B"/>
    <w:rsid w:val="004A069A"/>
    <w:rsid w:val="004D51D5"/>
    <w:rsid w:val="004E59DB"/>
    <w:rsid w:val="004E66FB"/>
    <w:rsid w:val="004E6907"/>
    <w:rsid w:val="004F00EA"/>
    <w:rsid w:val="004F08E8"/>
    <w:rsid w:val="004F1F8C"/>
    <w:rsid w:val="004F2B78"/>
    <w:rsid w:val="004F3418"/>
    <w:rsid w:val="004F384D"/>
    <w:rsid w:val="004F6792"/>
    <w:rsid w:val="00501A18"/>
    <w:rsid w:val="0050293F"/>
    <w:rsid w:val="00511E8F"/>
    <w:rsid w:val="005163D3"/>
    <w:rsid w:val="005311F3"/>
    <w:rsid w:val="005321DA"/>
    <w:rsid w:val="005322F7"/>
    <w:rsid w:val="005334F7"/>
    <w:rsid w:val="00535CE6"/>
    <w:rsid w:val="00540545"/>
    <w:rsid w:val="005446ED"/>
    <w:rsid w:val="005572CC"/>
    <w:rsid w:val="00557843"/>
    <w:rsid w:val="00567EE5"/>
    <w:rsid w:val="005719CA"/>
    <w:rsid w:val="005733FA"/>
    <w:rsid w:val="005762D1"/>
    <w:rsid w:val="0057713E"/>
    <w:rsid w:val="00580012"/>
    <w:rsid w:val="0058691C"/>
    <w:rsid w:val="00594A3B"/>
    <w:rsid w:val="005A3249"/>
    <w:rsid w:val="005A604C"/>
    <w:rsid w:val="005B28A5"/>
    <w:rsid w:val="005B324D"/>
    <w:rsid w:val="005B40DE"/>
    <w:rsid w:val="005B67EA"/>
    <w:rsid w:val="005C243F"/>
    <w:rsid w:val="005C36E7"/>
    <w:rsid w:val="005C3946"/>
    <w:rsid w:val="005C5653"/>
    <w:rsid w:val="005C5DD7"/>
    <w:rsid w:val="005C7B79"/>
    <w:rsid w:val="005D2346"/>
    <w:rsid w:val="005D27DA"/>
    <w:rsid w:val="005D77A4"/>
    <w:rsid w:val="005E04AE"/>
    <w:rsid w:val="005E1192"/>
    <w:rsid w:val="005E25D4"/>
    <w:rsid w:val="005E2CB0"/>
    <w:rsid w:val="005E41BB"/>
    <w:rsid w:val="005E58E2"/>
    <w:rsid w:val="005E6DB2"/>
    <w:rsid w:val="005F0FFB"/>
    <w:rsid w:val="005F2527"/>
    <w:rsid w:val="005F3182"/>
    <w:rsid w:val="005F48EF"/>
    <w:rsid w:val="005F4FB9"/>
    <w:rsid w:val="005F5B86"/>
    <w:rsid w:val="005F67C0"/>
    <w:rsid w:val="006040F4"/>
    <w:rsid w:val="00613654"/>
    <w:rsid w:val="00614821"/>
    <w:rsid w:val="006210FC"/>
    <w:rsid w:val="00625F68"/>
    <w:rsid w:val="00627B67"/>
    <w:rsid w:val="0064684C"/>
    <w:rsid w:val="00646ECA"/>
    <w:rsid w:val="00647E07"/>
    <w:rsid w:val="006517C3"/>
    <w:rsid w:val="00653C6A"/>
    <w:rsid w:val="00656B25"/>
    <w:rsid w:val="006604CC"/>
    <w:rsid w:val="00661627"/>
    <w:rsid w:val="00661BB3"/>
    <w:rsid w:val="006638E2"/>
    <w:rsid w:val="006705D0"/>
    <w:rsid w:val="00673228"/>
    <w:rsid w:val="006779A6"/>
    <w:rsid w:val="00681820"/>
    <w:rsid w:val="00683696"/>
    <w:rsid w:val="00684B5F"/>
    <w:rsid w:val="00686BF2"/>
    <w:rsid w:val="0068757F"/>
    <w:rsid w:val="0069331A"/>
    <w:rsid w:val="00693F8B"/>
    <w:rsid w:val="00696295"/>
    <w:rsid w:val="006971CF"/>
    <w:rsid w:val="006A13D8"/>
    <w:rsid w:val="006A5341"/>
    <w:rsid w:val="006A6894"/>
    <w:rsid w:val="006A6E6B"/>
    <w:rsid w:val="006B10CD"/>
    <w:rsid w:val="006B30F5"/>
    <w:rsid w:val="006B3529"/>
    <w:rsid w:val="006C0DFC"/>
    <w:rsid w:val="006C35F4"/>
    <w:rsid w:val="006C3E0E"/>
    <w:rsid w:val="006C656B"/>
    <w:rsid w:val="006C7F96"/>
    <w:rsid w:val="006E1912"/>
    <w:rsid w:val="006E1B5E"/>
    <w:rsid w:val="006E4446"/>
    <w:rsid w:val="006E4454"/>
    <w:rsid w:val="006E496C"/>
    <w:rsid w:val="006E53C8"/>
    <w:rsid w:val="006F20E4"/>
    <w:rsid w:val="006F362A"/>
    <w:rsid w:val="006F469A"/>
    <w:rsid w:val="006F6B1D"/>
    <w:rsid w:val="00703773"/>
    <w:rsid w:val="00703E24"/>
    <w:rsid w:val="0070459A"/>
    <w:rsid w:val="00705FB5"/>
    <w:rsid w:val="00710653"/>
    <w:rsid w:val="00712E99"/>
    <w:rsid w:val="00716AEB"/>
    <w:rsid w:val="00722923"/>
    <w:rsid w:val="00722DF5"/>
    <w:rsid w:val="0072537A"/>
    <w:rsid w:val="00726616"/>
    <w:rsid w:val="007322A0"/>
    <w:rsid w:val="00735AA1"/>
    <w:rsid w:val="00736D99"/>
    <w:rsid w:val="00737250"/>
    <w:rsid w:val="00740D74"/>
    <w:rsid w:val="00743DAD"/>
    <w:rsid w:val="00744A28"/>
    <w:rsid w:val="0075259E"/>
    <w:rsid w:val="00756A98"/>
    <w:rsid w:val="00761CC4"/>
    <w:rsid w:val="0076203E"/>
    <w:rsid w:val="00764F46"/>
    <w:rsid w:val="00766037"/>
    <w:rsid w:val="00766920"/>
    <w:rsid w:val="00766C06"/>
    <w:rsid w:val="00770B48"/>
    <w:rsid w:val="0077162A"/>
    <w:rsid w:val="00771E8A"/>
    <w:rsid w:val="007742AB"/>
    <w:rsid w:val="007809E1"/>
    <w:rsid w:val="00782EC9"/>
    <w:rsid w:val="0078704C"/>
    <w:rsid w:val="007870A3"/>
    <w:rsid w:val="00794A8E"/>
    <w:rsid w:val="00795616"/>
    <w:rsid w:val="00795736"/>
    <w:rsid w:val="00795B31"/>
    <w:rsid w:val="00796B35"/>
    <w:rsid w:val="00797900"/>
    <w:rsid w:val="007A1269"/>
    <w:rsid w:val="007A33CF"/>
    <w:rsid w:val="007A72BF"/>
    <w:rsid w:val="007A752F"/>
    <w:rsid w:val="007B2A18"/>
    <w:rsid w:val="007B32E6"/>
    <w:rsid w:val="007B3E80"/>
    <w:rsid w:val="007C2A47"/>
    <w:rsid w:val="007C36DB"/>
    <w:rsid w:val="007C416B"/>
    <w:rsid w:val="007C4BC4"/>
    <w:rsid w:val="007C6B4A"/>
    <w:rsid w:val="007D081F"/>
    <w:rsid w:val="007D110C"/>
    <w:rsid w:val="007D5BE5"/>
    <w:rsid w:val="007E52EF"/>
    <w:rsid w:val="007E6974"/>
    <w:rsid w:val="007F0919"/>
    <w:rsid w:val="00801053"/>
    <w:rsid w:val="00801375"/>
    <w:rsid w:val="008021DD"/>
    <w:rsid w:val="00802551"/>
    <w:rsid w:val="008053D6"/>
    <w:rsid w:val="00805AA0"/>
    <w:rsid w:val="00806B87"/>
    <w:rsid w:val="00810C3F"/>
    <w:rsid w:val="00810D34"/>
    <w:rsid w:val="0081434D"/>
    <w:rsid w:val="0082072B"/>
    <w:rsid w:val="008218FD"/>
    <w:rsid w:val="00821E90"/>
    <w:rsid w:val="00824F9F"/>
    <w:rsid w:val="00832AFB"/>
    <w:rsid w:val="0083587C"/>
    <w:rsid w:val="00836496"/>
    <w:rsid w:val="0084415F"/>
    <w:rsid w:val="008460D0"/>
    <w:rsid w:val="0085162F"/>
    <w:rsid w:val="0085673B"/>
    <w:rsid w:val="00863384"/>
    <w:rsid w:val="00863611"/>
    <w:rsid w:val="00866890"/>
    <w:rsid w:val="00874FAA"/>
    <w:rsid w:val="00875C4E"/>
    <w:rsid w:val="00875CBA"/>
    <w:rsid w:val="00880ED0"/>
    <w:rsid w:val="008820F2"/>
    <w:rsid w:val="008849EE"/>
    <w:rsid w:val="00886C03"/>
    <w:rsid w:val="00890E0D"/>
    <w:rsid w:val="008962CE"/>
    <w:rsid w:val="008A0012"/>
    <w:rsid w:val="008A4EF4"/>
    <w:rsid w:val="008A53C5"/>
    <w:rsid w:val="008A59D7"/>
    <w:rsid w:val="008B06A2"/>
    <w:rsid w:val="008B1A3A"/>
    <w:rsid w:val="008C1276"/>
    <w:rsid w:val="008C59A6"/>
    <w:rsid w:val="008D37DB"/>
    <w:rsid w:val="008E18EC"/>
    <w:rsid w:val="008E1E19"/>
    <w:rsid w:val="008E31FF"/>
    <w:rsid w:val="008E377D"/>
    <w:rsid w:val="008F01D1"/>
    <w:rsid w:val="008F2218"/>
    <w:rsid w:val="008F53CE"/>
    <w:rsid w:val="008F7B29"/>
    <w:rsid w:val="008F7B45"/>
    <w:rsid w:val="0090226D"/>
    <w:rsid w:val="00902FFE"/>
    <w:rsid w:val="0090342F"/>
    <w:rsid w:val="00904475"/>
    <w:rsid w:val="00907CDF"/>
    <w:rsid w:val="00914A29"/>
    <w:rsid w:val="0091639C"/>
    <w:rsid w:val="00916C92"/>
    <w:rsid w:val="0092218F"/>
    <w:rsid w:val="00922933"/>
    <w:rsid w:val="00924163"/>
    <w:rsid w:val="00925B76"/>
    <w:rsid w:val="0092613B"/>
    <w:rsid w:val="0093731F"/>
    <w:rsid w:val="009416F5"/>
    <w:rsid w:val="00943258"/>
    <w:rsid w:val="009438F0"/>
    <w:rsid w:val="0094484F"/>
    <w:rsid w:val="009479F6"/>
    <w:rsid w:val="0095676C"/>
    <w:rsid w:val="009567A8"/>
    <w:rsid w:val="009602FC"/>
    <w:rsid w:val="00960823"/>
    <w:rsid w:val="009807B9"/>
    <w:rsid w:val="0098139D"/>
    <w:rsid w:val="009852FA"/>
    <w:rsid w:val="0098730F"/>
    <w:rsid w:val="009930A4"/>
    <w:rsid w:val="00995D6E"/>
    <w:rsid w:val="009A0A36"/>
    <w:rsid w:val="009A3E41"/>
    <w:rsid w:val="009B1086"/>
    <w:rsid w:val="009B3C31"/>
    <w:rsid w:val="009C1C16"/>
    <w:rsid w:val="009C416E"/>
    <w:rsid w:val="009C52A4"/>
    <w:rsid w:val="009C6ED8"/>
    <w:rsid w:val="009D0D2D"/>
    <w:rsid w:val="009D2E3D"/>
    <w:rsid w:val="009D2EEE"/>
    <w:rsid w:val="009D3CA0"/>
    <w:rsid w:val="009D5D87"/>
    <w:rsid w:val="009D6769"/>
    <w:rsid w:val="009E076F"/>
    <w:rsid w:val="009E66A2"/>
    <w:rsid w:val="009F2459"/>
    <w:rsid w:val="009F3AD7"/>
    <w:rsid w:val="009F3BBE"/>
    <w:rsid w:val="009F4612"/>
    <w:rsid w:val="009F4D43"/>
    <w:rsid w:val="009F6119"/>
    <w:rsid w:val="009F62CD"/>
    <w:rsid w:val="00A049FC"/>
    <w:rsid w:val="00A06E4C"/>
    <w:rsid w:val="00A16A9D"/>
    <w:rsid w:val="00A22F57"/>
    <w:rsid w:val="00A32D6D"/>
    <w:rsid w:val="00A33719"/>
    <w:rsid w:val="00A33F1E"/>
    <w:rsid w:val="00A359A7"/>
    <w:rsid w:val="00A375EF"/>
    <w:rsid w:val="00A44D43"/>
    <w:rsid w:val="00A45EC6"/>
    <w:rsid w:val="00A47D79"/>
    <w:rsid w:val="00A5319F"/>
    <w:rsid w:val="00A5553A"/>
    <w:rsid w:val="00A61D44"/>
    <w:rsid w:val="00A63722"/>
    <w:rsid w:val="00A6605E"/>
    <w:rsid w:val="00A72ED8"/>
    <w:rsid w:val="00A733D8"/>
    <w:rsid w:val="00A73887"/>
    <w:rsid w:val="00A766AA"/>
    <w:rsid w:val="00A978B9"/>
    <w:rsid w:val="00AA4611"/>
    <w:rsid w:val="00AA4654"/>
    <w:rsid w:val="00AB5999"/>
    <w:rsid w:val="00AC2F21"/>
    <w:rsid w:val="00AC4612"/>
    <w:rsid w:val="00AD0812"/>
    <w:rsid w:val="00AD3E34"/>
    <w:rsid w:val="00AD7711"/>
    <w:rsid w:val="00AE2191"/>
    <w:rsid w:val="00AE40C3"/>
    <w:rsid w:val="00AE572F"/>
    <w:rsid w:val="00AE5DAE"/>
    <w:rsid w:val="00AF0CD6"/>
    <w:rsid w:val="00AF0FF7"/>
    <w:rsid w:val="00AF4B1F"/>
    <w:rsid w:val="00AF5298"/>
    <w:rsid w:val="00AF542D"/>
    <w:rsid w:val="00AF6DCF"/>
    <w:rsid w:val="00B0192B"/>
    <w:rsid w:val="00B14A81"/>
    <w:rsid w:val="00B176B8"/>
    <w:rsid w:val="00B177B8"/>
    <w:rsid w:val="00B2236C"/>
    <w:rsid w:val="00B23834"/>
    <w:rsid w:val="00B32116"/>
    <w:rsid w:val="00B417DC"/>
    <w:rsid w:val="00B41EB4"/>
    <w:rsid w:val="00B43AC8"/>
    <w:rsid w:val="00B50E87"/>
    <w:rsid w:val="00B51033"/>
    <w:rsid w:val="00B5733C"/>
    <w:rsid w:val="00B60137"/>
    <w:rsid w:val="00B62564"/>
    <w:rsid w:val="00B6363E"/>
    <w:rsid w:val="00B6423B"/>
    <w:rsid w:val="00B64FD7"/>
    <w:rsid w:val="00B654D8"/>
    <w:rsid w:val="00B65D67"/>
    <w:rsid w:val="00B66925"/>
    <w:rsid w:val="00B70D14"/>
    <w:rsid w:val="00B74D71"/>
    <w:rsid w:val="00B76FA2"/>
    <w:rsid w:val="00B7733B"/>
    <w:rsid w:val="00B80579"/>
    <w:rsid w:val="00B921FB"/>
    <w:rsid w:val="00B9353E"/>
    <w:rsid w:val="00B955A6"/>
    <w:rsid w:val="00BA02F8"/>
    <w:rsid w:val="00BA0958"/>
    <w:rsid w:val="00BA2544"/>
    <w:rsid w:val="00BA2E4E"/>
    <w:rsid w:val="00BA63A0"/>
    <w:rsid w:val="00BA7BC3"/>
    <w:rsid w:val="00BC06FF"/>
    <w:rsid w:val="00BC1801"/>
    <w:rsid w:val="00BD300E"/>
    <w:rsid w:val="00BD4024"/>
    <w:rsid w:val="00BD42AC"/>
    <w:rsid w:val="00BD4FD2"/>
    <w:rsid w:val="00BD530E"/>
    <w:rsid w:val="00BD649B"/>
    <w:rsid w:val="00BE672A"/>
    <w:rsid w:val="00BF32AC"/>
    <w:rsid w:val="00BF3D38"/>
    <w:rsid w:val="00BF4299"/>
    <w:rsid w:val="00BF6F3E"/>
    <w:rsid w:val="00C02B63"/>
    <w:rsid w:val="00C02D00"/>
    <w:rsid w:val="00C03B4C"/>
    <w:rsid w:val="00C040D6"/>
    <w:rsid w:val="00C0456B"/>
    <w:rsid w:val="00C054DC"/>
    <w:rsid w:val="00C13249"/>
    <w:rsid w:val="00C17DAF"/>
    <w:rsid w:val="00C17FA8"/>
    <w:rsid w:val="00C22672"/>
    <w:rsid w:val="00C226A4"/>
    <w:rsid w:val="00C233D7"/>
    <w:rsid w:val="00C237B9"/>
    <w:rsid w:val="00C33325"/>
    <w:rsid w:val="00C37C13"/>
    <w:rsid w:val="00C41C46"/>
    <w:rsid w:val="00C447C1"/>
    <w:rsid w:val="00C46AA7"/>
    <w:rsid w:val="00C5389D"/>
    <w:rsid w:val="00C55352"/>
    <w:rsid w:val="00C55AB7"/>
    <w:rsid w:val="00C56998"/>
    <w:rsid w:val="00C57717"/>
    <w:rsid w:val="00C664E5"/>
    <w:rsid w:val="00C71825"/>
    <w:rsid w:val="00C71E20"/>
    <w:rsid w:val="00C72354"/>
    <w:rsid w:val="00C8604F"/>
    <w:rsid w:val="00C865AE"/>
    <w:rsid w:val="00C917A8"/>
    <w:rsid w:val="00C91D32"/>
    <w:rsid w:val="00C948BA"/>
    <w:rsid w:val="00C94E22"/>
    <w:rsid w:val="00C95FD0"/>
    <w:rsid w:val="00CA4A27"/>
    <w:rsid w:val="00CA5DFF"/>
    <w:rsid w:val="00CA60A0"/>
    <w:rsid w:val="00CA6111"/>
    <w:rsid w:val="00CA624F"/>
    <w:rsid w:val="00CA75F2"/>
    <w:rsid w:val="00CB05E5"/>
    <w:rsid w:val="00CB1128"/>
    <w:rsid w:val="00CB2A86"/>
    <w:rsid w:val="00CB3826"/>
    <w:rsid w:val="00CB5FC5"/>
    <w:rsid w:val="00CC0819"/>
    <w:rsid w:val="00CC278E"/>
    <w:rsid w:val="00CC3B8E"/>
    <w:rsid w:val="00CD1804"/>
    <w:rsid w:val="00CD43B6"/>
    <w:rsid w:val="00CD74CA"/>
    <w:rsid w:val="00CE20A6"/>
    <w:rsid w:val="00CE6FDE"/>
    <w:rsid w:val="00CE730C"/>
    <w:rsid w:val="00CE7570"/>
    <w:rsid w:val="00CF0F71"/>
    <w:rsid w:val="00CF1A57"/>
    <w:rsid w:val="00CF482D"/>
    <w:rsid w:val="00CF4D39"/>
    <w:rsid w:val="00D0130A"/>
    <w:rsid w:val="00D0192B"/>
    <w:rsid w:val="00D02F1A"/>
    <w:rsid w:val="00D04ACC"/>
    <w:rsid w:val="00D061A4"/>
    <w:rsid w:val="00D11349"/>
    <w:rsid w:val="00D11C94"/>
    <w:rsid w:val="00D13A46"/>
    <w:rsid w:val="00D13AEB"/>
    <w:rsid w:val="00D16A55"/>
    <w:rsid w:val="00D16DBD"/>
    <w:rsid w:val="00D246AE"/>
    <w:rsid w:val="00D3164E"/>
    <w:rsid w:val="00D32740"/>
    <w:rsid w:val="00D33A76"/>
    <w:rsid w:val="00D34E43"/>
    <w:rsid w:val="00D35273"/>
    <w:rsid w:val="00D35990"/>
    <w:rsid w:val="00D406E7"/>
    <w:rsid w:val="00D41D4D"/>
    <w:rsid w:val="00D42709"/>
    <w:rsid w:val="00D50232"/>
    <w:rsid w:val="00D51113"/>
    <w:rsid w:val="00D53764"/>
    <w:rsid w:val="00D54342"/>
    <w:rsid w:val="00D55779"/>
    <w:rsid w:val="00D57657"/>
    <w:rsid w:val="00D57D79"/>
    <w:rsid w:val="00D62254"/>
    <w:rsid w:val="00D65256"/>
    <w:rsid w:val="00D67151"/>
    <w:rsid w:val="00D71FAB"/>
    <w:rsid w:val="00D72E18"/>
    <w:rsid w:val="00D76E66"/>
    <w:rsid w:val="00D7759D"/>
    <w:rsid w:val="00D8158C"/>
    <w:rsid w:val="00D81C04"/>
    <w:rsid w:val="00D84096"/>
    <w:rsid w:val="00D84136"/>
    <w:rsid w:val="00D92A35"/>
    <w:rsid w:val="00D9635E"/>
    <w:rsid w:val="00D9747F"/>
    <w:rsid w:val="00D97C46"/>
    <w:rsid w:val="00DA3286"/>
    <w:rsid w:val="00DA3287"/>
    <w:rsid w:val="00DB3857"/>
    <w:rsid w:val="00DB546E"/>
    <w:rsid w:val="00DB641E"/>
    <w:rsid w:val="00DB6ECC"/>
    <w:rsid w:val="00DC18ED"/>
    <w:rsid w:val="00DC3686"/>
    <w:rsid w:val="00DC61E4"/>
    <w:rsid w:val="00DC6591"/>
    <w:rsid w:val="00DD5D82"/>
    <w:rsid w:val="00DE0162"/>
    <w:rsid w:val="00DE0552"/>
    <w:rsid w:val="00DF262B"/>
    <w:rsid w:val="00DF2E51"/>
    <w:rsid w:val="00DF2F86"/>
    <w:rsid w:val="00DF4B33"/>
    <w:rsid w:val="00DF5478"/>
    <w:rsid w:val="00E0102E"/>
    <w:rsid w:val="00E03DD3"/>
    <w:rsid w:val="00E05790"/>
    <w:rsid w:val="00E06FD6"/>
    <w:rsid w:val="00E07260"/>
    <w:rsid w:val="00E23DA1"/>
    <w:rsid w:val="00E25826"/>
    <w:rsid w:val="00E279C0"/>
    <w:rsid w:val="00E3074A"/>
    <w:rsid w:val="00E309D7"/>
    <w:rsid w:val="00E40342"/>
    <w:rsid w:val="00E40AD5"/>
    <w:rsid w:val="00E4479A"/>
    <w:rsid w:val="00E461F5"/>
    <w:rsid w:val="00E4757A"/>
    <w:rsid w:val="00E51329"/>
    <w:rsid w:val="00E54D08"/>
    <w:rsid w:val="00E556A6"/>
    <w:rsid w:val="00E56770"/>
    <w:rsid w:val="00E56E11"/>
    <w:rsid w:val="00E60754"/>
    <w:rsid w:val="00E61951"/>
    <w:rsid w:val="00E61B92"/>
    <w:rsid w:val="00E61D40"/>
    <w:rsid w:val="00E6345B"/>
    <w:rsid w:val="00E65AC2"/>
    <w:rsid w:val="00E66412"/>
    <w:rsid w:val="00E70063"/>
    <w:rsid w:val="00E72830"/>
    <w:rsid w:val="00E730AB"/>
    <w:rsid w:val="00E775DD"/>
    <w:rsid w:val="00E80EC7"/>
    <w:rsid w:val="00E83D33"/>
    <w:rsid w:val="00E84653"/>
    <w:rsid w:val="00E84702"/>
    <w:rsid w:val="00E877FD"/>
    <w:rsid w:val="00E90F3C"/>
    <w:rsid w:val="00E9102A"/>
    <w:rsid w:val="00E968BB"/>
    <w:rsid w:val="00EA4AA1"/>
    <w:rsid w:val="00EA6FBA"/>
    <w:rsid w:val="00EB14C2"/>
    <w:rsid w:val="00EB34F5"/>
    <w:rsid w:val="00EB4346"/>
    <w:rsid w:val="00EC0019"/>
    <w:rsid w:val="00EC5C46"/>
    <w:rsid w:val="00ED0B1A"/>
    <w:rsid w:val="00EE029A"/>
    <w:rsid w:val="00EE144A"/>
    <w:rsid w:val="00EE2DE1"/>
    <w:rsid w:val="00EE3903"/>
    <w:rsid w:val="00EE6477"/>
    <w:rsid w:val="00EF0A95"/>
    <w:rsid w:val="00EF2B7A"/>
    <w:rsid w:val="00EF394B"/>
    <w:rsid w:val="00F01DD2"/>
    <w:rsid w:val="00F07140"/>
    <w:rsid w:val="00F11B2C"/>
    <w:rsid w:val="00F15D83"/>
    <w:rsid w:val="00F178F0"/>
    <w:rsid w:val="00F22B73"/>
    <w:rsid w:val="00F23C27"/>
    <w:rsid w:val="00F24BB3"/>
    <w:rsid w:val="00F32494"/>
    <w:rsid w:val="00F353D2"/>
    <w:rsid w:val="00F35BDB"/>
    <w:rsid w:val="00F36D28"/>
    <w:rsid w:val="00F37F9A"/>
    <w:rsid w:val="00F4134A"/>
    <w:rsid w:val="00F47532"/>
    <w:rsid w:val="00F52B50"/>
    <w:rsid w:val="00F55C49"/>
    <w:rsid w:val="00F60FCE"/>
    <w:rsid w:val="00F61EE3"/>
    <w:rsid w:val="00F624B1"/>
    <w:rsid w:val="00F665C3"/>
    <w:rsid w:val="00F6763F"/>
    <w:rsid w:val="00F72C45"/>
    <w:rsid w:val="00F7396B"/>
    <w:rsid w:val="00F77204"/>
    <w:rsid w:val="00F773E7"/>
    <w:rsid w:val="00F8354D"/>
    <w:rsid w:val="00F91A4D"/>
    <w:rsid w:val="00FA79EC"/>
    <w:rsid w:val="00FB3034"/>
    <w:rsid w:val="00FB3A3F"/>
    <w:rsid w:val="00FB3D1B"/>
    <w:rsid w:val="00FB6449"/>
    <w:rsid w:val="00FC63CA"/>
    <w:rsid w:val="00FC6E5C"/>
    <w:rsid w:val="00FD12FB"/>
    <w:rsid w:val="00FD188C"/>
    <w:rsid w:val="00FD2E95"/>
    <w:rsid w:val="00FD3D2E"/>
    <w:rsid w:val="00FD7883"/>
    <w:rsid w:val="00FD7A1B"/>
    <w:rsid w:val="00FE4D05"/>
    <w:rsid w:val="00FF175C"/>
    <w:rsid w:val="00FF1892"/>
    <w:rsid w:val="00FF2059"/>
    <w:rsid w:val="00FF2AF1"/>
    <w:rsid w:val="00FF71A8"/>
    <w:rsid w:val="00FF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EE32"/>
  <w15:chartTrackingRefBased/>
  <w15:docId w15:val="{7771100F-FD04-46B7-B2EA-0CECE7C6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AC46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C5AB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C5AB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AC4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161</TotalTime>
  <Pages>6</Pages>
  <Words>2040</Words>
  <Characters>11058</Characters>
  <Application>Microsoft Office Word</Application>
  <DocSecurity>0</DocSecurity>
  <Lines>204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190</cp:revision>
  <cp:lastPrinted>2022-07-18T22:35:00Z</cp:lastPrinted>
  <dcterms:created xsi:type="dcterms:W3CDTF">2025-12-12T21:18:00Z</dcterms:created>
  <dcterms:modified xsi:type="dcterms:W3CDTF">2026-02-05T22:46:00Z</dcterms:modified>
</cp:coreProperties>
</file>