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9571" w14:textId="26637F88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0A5ED5" wp14:editId="686EE7AF">
                <wp:simplePos x="0" y="0"/>
                <wp:positionH relativeFrom="column">
                  <wp:posOffset>-57282</wp:posOffset>
                </wp:positionH>
                <wp:positionV relativeFrom="paragraph">
                  <wp:posOffset>-30274</wp:posOffset>
                </wp:positionV>
                <wp:extent cx="4049486" cy="904875"/>
                <wp:effectExtent l="0" t="0" r="27305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486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A35F2" id="Retângulo: Cantos Diagonais Arredondados 1" o:spid="_x0000_s1026" style="position:absolute;margin-left:-4.5pt;margin-top:-2.4pt;width:318.8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49486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" path="m150816,l4049486,r,l4049486,754059v,83293,-67523,150816,-150816,150816l,904875r,l,150816c,67523,67523,,150816,xe" filled="f" strokecolor="#5b9bd5 [3208]" strokeweight="1pt">
                <v:stroke joinstyle="miter"/>
                <v:path arrowok="t" o:connecttype="custom" o:connectlocs="150816,0;4049486,0;4049486,0;4049486,754059;3898670,904875;0,904875;0,904875;0,150816;150816,0" o:connectangles="0,0,0,0,0,0,0,0,0"/>
              </v:shape>
            </w:pict>
          </mc:Fallback>
        </mc:AlternateContent>
      </w:r>
      <w:r w:rsidR="00152D83">
        <w:rPr>
          <w:rFonts w:ascii="Arial" w:eastAsia="Calibri" w:hAnsi="Arial" w:cs="Times New Roman"/>
        </w:rPr>
        <w:t>EDs nos EDs na a</w:t>
      </w:r>
      <w:r w:rsidRPr="00506D87">
        <w:rPr>
          <w:rFonts w:ascii="Arial" w:eastAsia="Calibri" w:hAnsi="Arial" w:cs="Times New Roman"/>
        </w:rPr>
        <w:t>pelação cível n.</w:t>
      </w:r>
      <w:r>
        <w:rPr>
          <w:rFonts w:ascii="Arial" w:eastAsia="Calibri" w:hAnsi="Arial" w:cs="Times New Roman"/>
        </w:rPr>
        <w:t xml:space="preserve"> </w:t>
      </w:r>
      <w:r w:rsidR="00152D83" w:rsidRPr="001F1465">
        <w:rPr>
          <w:rFonts w:ascii="Arial" w:eastAsia="Calibri" w:hAnsi="Arial" w:cs="Arial"/>
          <w:szCs w:val="24"/>
        </w:rPr>
        <w:t>5000267-06.2003.8.21.0038</w:t>
      </w:r>
    </w:p>
    <w:p w14:paraId="1FE3C75A" w14:textId="64529C4C" w:rsidR="00304E64" w:rsidRDefault="00152D83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Embargante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Mariannina Cutillo de Benedictis</w:t>
      </w:r>
    </w:p>
    <w:p w14:paraId="00637D20" w14:textId="1F53C2E5" w:rsidR="00304E64" w:rsidRDefault="00152D83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Embargado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Estado do Rio Grande do sul</w:t>
      </w:r>
    </w:p>
    <w:p w14:paraId="03C3D54C" w14:textId="0A1A9EE4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152D83">
        <w:rPr>
          <w:rFonts w:ascii="Arial" w:eastAsia="Calibri" w:hAnsi="Arial" w:cs="Times New Roman"/>
          <w:b/>
          <w:bCs/>
        </w:rPr>
        <w:t>Ricardo Torres Hermann</w:t>
      </w:r>
      <w:r>
        <w:rPr>
          <w:rFonts w:ascii="Arial" w:eastAsia="Calibri" w:hAnsi="Arial" w:cs="Times New Roman"/>
        </w:rPr>
        <w:t>.</w:t>
      </w:r>
    </w:p>
    <w:p w14:paraId="0ADA7F95" w14:textId="0A50EB67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152D83">
        <w:rPr>
          <w:rFonts w:ascii="Arial" w:eastAsia="Calibri" w:hAnsi="Arial" w:cs="Times New Roman"/>
        </w:rPr>
        <w:t>29.10.2025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982BA7">
        <w:rPr>
          <w:rFonts w:ascii="Arial" w:eastAsia="Calibri" w:hAnsi="Arial" w:cs="Times New Roman"/>
        </w:rPr>
        <w:t>301</w:t>
      </w:r>
    </w:p>
    <w:p w14:paraId="7B5D371A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4217CE67" w14:textId="77777777" w:rsidR="00304E64" w:rsidRPr="00136102" w:rsidRDefault="00304E64" w:rsidP="00304E64">
      <w:pPr>
        <w:pStyle w:val="Ttulo2"/>
        <w:rPr>
          <w:rFonts w:eastAsia="Calibri"/>
        </w:rPr>
      </w:pPr>
    </w:p>
    <w:p w14:paraId="26562182" w14:textId="42875EA5" w:rsidR="00304E64" w:rsidRPr="00385759" w:rsidRDefault="00304E64" w:rsidP="00F65DDE">
      <w:pPr>
        <w:pStyle w:val="Qualificao"/>
        <w:ind w:left="0"/>
        <w:jc w:val="center"/>
        <w:rPr>
          <w:b/>
          <w:sz w:val="22"/>
        </w:rPr>
      </w:pPr>
      <w:r>
        <w:rPr>
          <w:rFonts w:eastAsia="Calibri"/>
          <w:sz w:val="24"/>
          <w:szCs w:val="24"/>
        </w:rPr>
        <w:tab/>
      </w:r>
      <w:r w:rsidRPr="00385759">
        <w:rPr>
          <w:b/>
          <w:sz w:val="22"/>
        </w:rPr>
        <w:t>MEMORIAIS PEL</w:t>
      </w:r>
      <w:r w:rsidR="00152D83">
        <w:rPr>
          <w:b/>
          <w:sz w:val="22"/>
        </w:rPr>
        <w:t>A EMBARGANTE</w:t>
      </w:r>
    </w:p>
    <w:p w14:paraId="515034C5" w14:textId="77777777" w:rsidR="00304E64" w:rsidRPr="00385759" w:rsidRDefault="00304E64" w:rsidP="00F65DDE">
      <w:pPr>
        <w:pStyle w:val="Qualificaodaspartes"/>
      </w:pPr>
    </w:p>
    <w:p w14:paraId="0D053A6B" w14:textId="72ED03A5" w:rsidR="00304E64" w:rsidRPr="00385759" w:rsidRDefault="00304E64" w:rsidP="00F65DDE">
      <w:pPr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</w:t>
      </w:r>
      <w:r w:rsidR="007D7F08">
        <w:rPr>
          <w:rFonts w:ascii="Arial" w:eastAsia="Calibri" w:hAnsi="Arial" w:cs="Arial"/>
          <w:b/>
        </w:rPr>
        <w:t>S</w:t>
      </w:r>
      <w:r w:rsidRPr="00385759">
        <w:rPr>
          <w:rFonts w:ascii="Arial" w:eastAsia="Calibri" w:hAnsi="Arial" w:cs="Arial"/>
          <w:b/>
        </w:rPr>
        <w:t xml:space="preserve"> DESEMBARGADOR</w:t>
      </w:r>
      <w:r w:rsidR="007D7F08">
        <w:rPr>
          <w:rFonts w:ascii="Arial" w:eastAsia="Calibri" w:hAnsi="Arial" w:cs="Arial"/>
          <w:b/>
        </w:rPr>
        <w:t>ES</w:t>
      </w:r>
      <w:r w:rsidR="000F554C">
        <w:rPr>
          <w:rFonts w:ascii="Arial" w:eastAsia="Calibri" w:hAnsi="Arial" w:cs="Arial"/>
          <w:b/>
        </w:rPr>
        <w:t xml:space="preserve"> </w:t>
      </w:r>
      <w:r w:rsidR="007D7F08">
        <w:rPr>
          <w:rFonts w:ascii="Arial" w:eastAsia="Calibri" w:hAnsi="Arial" w:cs="Arial"/>
          <w:b/>
        </w:rPr>
        <w:t>INTEGRANTES DA</w:t>
      </w:r>
    </w:p>
    <w:p w14:paraId="1C9ECDFA" w14:textId="77777777" w:rsidR="00304E64" w:rsidRPr="009D6648" w:rsidRDefault="00304E64" w:rsidP="00F65DDE">
      <w:pPr>
        <w:pStyle w:val="Qualificao"/>
        <w:spacing w:before="0"/>
        <w:ind w:left="0"/>
        <w:rPr>
          <w:rFonts w:eastAsia="Calibri"/>
          <w:b/>
          <w:sz w:val="16"/>
          <w:szCs w:val="16"/>
        </w:rPr>
      </w:pPr>
    </w:p>
    <w:p w14:paraId="13509EA7" w14:textId="0D1B7746" w:rsidR="00304E64" w:rsidRPr="00385759" w:rsidRDefault="00304E64" w:rsidP="00F65DDE">
      <w:pPr>
        <w:pStyle w:val="Qualificao"/>
        <w:spacing w:before="0"/>
        <w:ind w:left="0"/>
        <w:jc w:val="center"/>
        <w:rPr>
          <w:b/>
          <w:sz w:val="22"/>
        </w:rPr>
      </w:pPr>
      <w:r w:rsidRPr="00152D83">
        <w:rPr>
          <w:b/>
          <w:sz w:val="22"/>
        </w:rPr>
        <w:t xml:space="preserve">COLENDA </w:t>
      </w:r>
      <w:r w:rsidR="00152D83" w:rsidRPr="00152D83">
        <w:rPr>
          <w:b/>
          <w:sz w:val="22"/>
        </w:rPr>
        <w:t>SEGUNDA</w:t>
      </w:r>
      <w:r w:rsidRPr="00152D83">
        <w:rPr>
          <w:b/>
          <w:sz w:val="22"/>
        </w:rPr>
        <w:t xml:space="preserve"> CÂMARA </w:t>
      </w:r>
      <w:r w:rsidR="00152D83" w:rsidRPr="00152D83">
        <w:rPr>
          <w:b/>
          <w:sz w:val="22"/>
        </w:rPr>
        <w:t>CÍVEL</w:t>
      </w:r>
    </w:p>
    <w:p w14:paraId="16E3344D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255A3A54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E0D3FF" w14:textId="6DA97E5B" w:rsidR="00152D83" w:rsidRPr="00362539" w:rsidRDefault="00152D83" w:rsidP="00152D83">
      <w:pPr>
        <w:pStyle w:val="SemEspaamento"/>
        <w:rPr>
          <w:highlight w:val="white"/>
        </w:rPr>
      </w:pPr>
      <w:r>
        <w:t xml:space="preserve">Ao julgar os aclaratórios antecedentes e aplicar o Tema repetitivo n. 1.229/STJ ao caso, o </w:t>
      </w:r>
      <w:r>
        <w:rPr>
          <w:i/>
          <w:iCs/>
        </w:rPr>
        <w:t xml:space="preserve">decisum </w:t>
      </w:r>
      <w:r>
        <w:t xml:space="preserve">embargado </w:t>
      </w:r>
      <w:r>
        <w:rPr>
          <w:highlight w:val="white"/>
        </w:rPr>
        <w:t>argumentou que esse precedente vinculante “</w:t>
      </w:r>
      <w:r w:rsidRPr="000E33E0">
        <w:rPr>
          <w:b/>
          <w:bCs/>
          <w:i/>
          <w:iCs/>
          <w:highlight w:val="white"/>
          <w:u w:val="single"/>
        </w:rPr>
        <w:t>impede</w:t>
      </w:r>
      <w:r w:rsidRPr="00362539">
        <w:rPr>
          <w:b/>
          <w:bCs/>
          <w:i/>
          <w:iCs/>
          <w:highlight w:val="white"/>
        </w:rPr>
        <w:t xml:space="preserve"> a fixação de honorários advocatícios em favor da </w:t>
      </w:r>
      <w:r w:rsidRPr="00362539">
        <w:rPr>
          <w:b/>
          <w:bCs/>
          <w:i/>
          <w:iCs/>
          <w:highlight w:val="white"/>
          <w:u w:val="single"/>
        </w:rPr>
        <w:t>PARTE</w:t>
      </w:r>
      <w:r w:rsidRPr="00362539">
        <w:rPr>
          <w:b/>
          <w:bCs/>
          <w:i/>
          <w:iCs/>
          <w:highlight w:val="white"/>
        </w:rPr>
        <w:t xml:space="preserve"> </w:t>
      </w:r>
      <w:r w:rsidRPr="00362539">
        <w:rPr>
          <w:b/>
          <w:bCs/>
          <w:i/>
          <w:iCs/>
          <w:highlight w:val="white"/>
          <w:u w:val="single"/>
        </w:rPr>
        <w:t>EXECUTADA</w:t>
      </w:r>
      <w:r w:rsidRPr="00362539">
        <w:rPr>
          <w:i/>
          <w:iCs/>
          <w:highlight w:val="white"/>
        </w:rPr>
        <w:t xml:space="preserve"> quando a exceção de pré-executividade é acolhida para extinguir a execução fiscal em razão do reconhecimento da prescrição intercorrente</w:t>
      </w:r>
      <w:r>
        <w:rPr>
          <w:highlight w:val="white"/>
        </w:rPr>
        <w:t xml:space="preserve">” </w:t>
      </w:r>
      <w:r w:rsidRPr="00362539">
        <w:rPr>
          <w:sz w:val="20"/>
          <w:szCs w:val="18"/>
          <w:highlight w:val="white"/>
        </w:rPr>
        <w:t>(evento 29)</w:t>
      </w:r>
      <w:r w:rsidRPr="00362539">
        <w:rPr>
          <w:highlight w:val="white"/>
        </w:rPr>
        <w:t>.</w:t>
      </w:r>
    </w:p>
    <w:p w14:paraId="293186ED" w14:textId="509EF513" w:rsidR="00152D83" w:rsidRDefault="00152D83" w:rsidP="00152D83">
      <w:pPr>
        <w:pStyle w:val="SemEspaamento"/>
        <w:rPr>
          <w:highlight w:val="white"/>
        </w:rPr>
      </w:pPr>
      <w:r>
        <w:rPr>
          <w:highlight w:val="white"/>
        </w:rPr>
        <w:t xml:space="preserve">No entanto, ao rejeitar os aclaratórios anteriores, em inegável </w:t>
      </w:r>
      <w:r w:rsidRPr="000E33E0">
        <w:rPr>
          <w:highlight w:val="white"/>
          <w:u w:val="single"/>
        </w:rPr>
        <w:t>contrassenso</w:t>
      </w:r>
      <w:r>
        <w:rPr>
          <w:highlight w:val="white"/>
        </w:rPr>
        <w:t xml:space="preserve">, </w:t>
      </w:r>
      <w:r w:rsidR="0011505F">
        <w:rPr>
          <w:highlight w:val="white"/>
        </w:rPr>
        <w:t>o aresto embargado</w:t>
      </w:r>
      <w:r>
        <w:rPr>
          <w:highlight w:val="white"/>
        </w:rPr>
        <w:t xml:space="preserve"> </w:t>
      </w:r>
      <w:r>
        <w:rPr>
          <w:b/>
          <w:bCs/>
          <w:highlight w:val="white"/>
        </w:rPr>
        <w:t xml:space="preserve">não afastou os honorários advocatícios sucumbenciais impostos </w:t>
      </w:r>
      <w:r w:rsidRPr="00C34476">
        <w:rPr>
          <w:b/>
          <w:bCs/>
          <w:highlight w:val="white"/>
          <w:u w:val="single"/>
        </w:rPr>
        <w:t>contra</w:t>
      </w:r>
      <w:r>
        <w:rPr>
          <w:b/>
          <w:bCs/>
          <w:highlight w:val="white"/>
        </w:rPr>
        <w:t xml:space="preserve"> a </w:t>
      </w:r>
      <w:r w:rsidRPr="00C34476">
        <w:rPr>
          <w:b/>
          <w:bCs/>
          <w:highlight w:val="white"/>
          <w:u w:val="single"/>
        </w:rPr>
        <w:t>executada</w:t>
      </w:r>
      <w:r>
        <w:rPr>
          <w:b/>
          <w:bCs/>
          <w:highlight w:val="white"/>
        </w:rPr>
        <w:t xml:space="preserve"> </w:t>
      </w:r>
      <w:r w:rsidRPr="00C34476">
        <w:rPr>
          <w:b/>
          <w:bCs/>
          <w:highlight w:val="white"/>
          <w:u w:val="single"/>
        </w:rPr>
        <w:t>MARIANNINA</w:t>
      </w:r>
      <w:r>
        <w:rPr>
          <w:b/>
          <w:bCs/>
          <w:highlight w:val="white"/>
        </w:rPr>
        <w:t>, ora embargante</w:t>
      </w:r>
      <w:r w:rsidRPr="005D47AD">
        <w:rPr>
          <w:highlight w:val="white"/>
        </w:rPr>
        <w:t>,</w:t>
      </w:r>
      <w:r>
        <w:rPr>
          <w:highlight w:val="white"/>
        </w:rPr>
        <w:t xml:space="preserve"> persistindo justamente na contrariedade ao </w:t>
      </w:r>
      <w:r w:rsidRPr="005D47AD">
        <w:rPr>
          <w:highlight w:val="white"/>
        </w:rPr>
        <w:t xml:space="preserve">tema repetitivo </w:t>
      </w:r>
      <w:r>
        <w:rPr>
          <w:highlight w:val="white"/>
        </w:rPr>
        <w:t xml:space="preserve">aplicado e perpetuando a </w:t>
      </w:r>
      <w:r>
        <w:rPr>
          <w:b/>
          <w:bCs/>
          <w:highlight w:val="white"/>
        </w:rPr>
        <w:t xml:space="preserve">omissão </w:t>
      </w:r>
      <w:r>
        <w:rPr>
          <w:highlight w:val="white"/>
        </w:rPr>
        <w:t xml:space="preserve">e </w:t>
      </w:r>
      <w:r w:rsidRPr="005D47AD">
        <w:rPr>
          <w:b/>
          <w:bCs/>
          <w:highlight w:val="white"/>
        </w:rPr>
        <w:t>contradição</w:t>
      </w:r>
      <w:r>
        <w:rPr>
          <w:b/>
          <w:bCs/>
          <w:highlight w:val="white"/>
        </w:rPr>
        <w:t xml:space="preserve"> interna </w:t>
      </w:r>
      <w:r>
        <w:rPr>
          <w:highlight w:val="white"/>
        </w:rPr>
        <w:t>apontadas no primeiro recurso integrativo</w:t>
      </w:r>
      <w:r w:rsidR="00142CEC">
        <w:rPr>
          <w:highlight w:val="white"/>
        </w:rPr>
        <w:t xml:space="preserve"> </w:t>
      </w:r>
      <w:r w:rsidR="00142CEC" w:rsidRPr="00B76B91">
        <w:rPr>
          <w:sz w:val="22"/>
          <w:szCs w:val="20"/>
          <w:highlight w:val="white"/>
        </w:rPr>
        <w:t xml:space="preserve">(aresto que julgou a apelação deixou de considerar – omissão – que o Tema 1.229/STJ impede a fixação de honorários sucumbenciais no presente caso, além da contradição de </w:t>
      </w:r>
      <w:r w:rsidR="003C2B18">
        <w:rPr>
          <w:sz w:val="22"/>
          <w:szCs w:val="20"/>
          <w:highlight w:val="white"/>
        </w:rPr>
        <w:t xml:space="preserve">ter </w:t>
      </w:r>
      <w:r w:rsidR="00142CEC" w:rsidRPr="00B76B91">
        <w:rPr>
          <w:sz w:val="22"/>
          <w:szCs w:val="20"/>
          <w:highlight w:val="white"/>
        </w:rPr>
        <w:t>firma</w:t>
      </w:r>
      <w:r w:rsidR="003C2B18">
        <w:rPr>
          <w:sz w:val="22"/>
          <w:szCs w:val="20"/>
          <w:highlight w:val="white"/>
        </w:rPr>
        <w:t>do</w:t>
      </w:r>
      <w:r w:rsidR="00B76B91" w:rsidRPr="00B76B91">
        <w:rPr>
          <w:sz w:val="22"/>
          <w:szCs w:val="20"/>
          <w:highlight w:val="white"/>
        </w:rPr>
        <w:t xml:space="preserve"> entendimento de que não é cabível honorários de sucumbência em caso de reconhecimento de prescrição intercorrente, por exceção de pré-executividade, em execução fiscal, mas, em contrassenso, imp</w:t>
      </w:r>
      <w:r w:rsidR="003C2B18">
        <w:rPr>
          <w:sz w:val="22"/>
          <w:szCs w:val="20"/>
          <w:highlight w:val="white"/>
        </w:rPr>
        <w:t>ôs</w:t>
      </w:r>
      <w:r w:rsidR="00B76B91" w:rsidRPr="00B76B91">
        <w:rPr>
          <w:sz w:val="22"/>
          <w:szCs w:val="20"/>
          <w:highlight w:val="white"/>
        </w:rPr>
        <w:t xml:space="preserve"> condenação à verba sucumbencial aos executados)</w:t>
      </w:r>
      <w:r>
        <w:rPr>
          <w:highlight w:val="white"/>
        </w:rPr>
        <w:t>.</w:t>
      </w:r>
    </w:p>
    <w:p w14:paraId="6C11E8CC" w14:textId="10E743CB" w:rsidR="00152D83" w:rsidRPr="005F36C8" w:rsidRDefault="00152D83" w:rsidP="00152D83">
      <w:pPr>
        <w:pStyle w:val="SemEspaamento"/>
        <w:rPr>
          <w:highlight w:val="white"/>
        </w:rPr>
      </w:pPr>
      <w:r>
        <w:rPr>
          <w:highlight w:val="white"/>
        </w:rPr>
        <w:t>É por esse motivo, Excelência</w:t>
      </w:r>
      <w:r w:rsidR="008E388B">
        <w:rPr>
          <w:highlight w:val="white"/>
        </w:rPr>
        <w:t>s</w:t>
      </w:r>
      <w:r>
        <w:rPr>
          <w:highlight w:val="white"/>
        </w:rPr>
        <w:t>, ou seja, pela persistência da omissão e da contradição interna já denunciadas, que estes aclaratórios se justificam mais uma vez, para o devido esclarecimento, e</w:t>
      </w:r>
      <w:r w:rsidR="007D7F08">
        <w:rPr>
          <w:highlight w:val="white"/>
        </w:rPr>
        <w:t xml:space="preserve"> a embargante</w:t>
      </w:r>
      <w:r>
        <w:rPr>
          <w:highlight w:val="white"/>
        </w:rPr>
        <w:t xml:space="preserve"> confia no seu acolhimento, com a concessão de efeitos infringentes, para corrigir a aplicação do tema vinculante ao caso e afastar a condenação a honorários advocatícios imposta à parte executada, ora embargante</w:t>
      </w:r>
      <w:r>
        <w:t>.</w:t>
      </w:r>
    </w:p>
    <w:p w14:paraId="2786EA4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36374EC" w14:textId="77777777" w:rsidR="00152D83" w:rsidRDefault="00152D8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DD54ED2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9664FA7" w14:textId="1D0CE297" w:rsidR="00131BEB" w:rsidRPr="000169F1" w:rsidRDefault="000169F1" w:rsidP="00152D83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B76B91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9982A" w14:textId="77777777" w:rsidR="009F06E7" w:rsidRDefault="009F06E7" w:rsidP="00943258">
      <w:pPr>
        <w:spacing w:after="0" w:line="240" w:lineRule="auto"/>
      </w:pPr>
      <w:r>
        <w:separator/>
      </w:r>
    </w:p>
  </w:endnote>
  <w:endnote w:type="continuationSeparator" w:id="0">
    <w:p w14:paraId="0219DC58" w14:textId="77777777" w:rsidR="009F06E7" w:rsidRDefault="009F06E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9AD05D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33A9CD4" wp14:editId="5A9F695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9013541" name="Imagem 1690135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C5895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CCA0B" w14:textId="77777777" w:rsidR="009F06E7" w:rsidRDefault="009F06E7" w:rsidP="00943258">
      <w:pPr>
        <w:spacing w:after="0" w:line="240" w:lineRule="auto"/>
      </w:pPr>
      <w:r>
        <w:separator/>
      </w:r>
    </w:p>
  </w:footnote>
  <w:footnote w:type="continuationSeparator" w:id="0">
    <w:p w14:paraId="198E2754" w14:textId="77777777" w:rsidR="009F06E7" w:rsidRDefault="009F06E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B9A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14707E5" wp14:editId="5D06A6D2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804721358" name="Imagem 80472135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58E36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2190A8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5B5157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83"/>
    <w:rsid w:val="00003F31"/>
    <w:rsid w:val="000169F1"/>
    <w:rsid w:val="00031BDE"/>
    <w:rsid w:val="0004298B"/>
    <w:rsid w:val="00097661"/>
    <w:rsid w:val="000D228C"/>
    <w:rsid w:val="000F554C"/>
    <w:rsid w:val="0011505F"/>
    <w:rsid w:val="00131BEB"/>
    <w:rsid w:val="00142CEC"/>
    <w:rsid w:val="00152D83"/>
    <w:rsid w:val="001667B0"/>
    <w:rsid w:val="001761C0"/>
    <w:rsid w:val="00183BE2"/>
    <w:rsid w:val="001B2B98"/>
    <w:rsid w:val="001B2E75"/>
    <w:rsid w:val="001D4F8B"/>
    <w:rsid w:val="00201F45"/>
    <w:rsid w:val="00207BE4"/>
    <w:rsid w:val="00211F7B"/>
    <w:rsid w:val="00214E09"/>
    <w:rsid w:val="00272BFB"/>
    <w:rsid w:val="00291F6C"/>
    <w:rsid w:val="002B4B0F"/>
    <w:rsid w:val="002F0AC4"/>
    <w:rsid w:val="00304E64"/>
    <w:rsid w:val="0031591A"/>
    <w:rsid w:val="00377A2E"/>
    <w:rsid w:val="003801CD"/>
    <w:rsid w:val="003A38A8"/>
    <w:rsid w:val="003C2B18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7D7F08"/>
    <w:rsid w:val="007E194A"/>
    <w:rsid w:val="00810D34"/>
    <w:rsid w:val="008A0012"/>
    <w:rsid w:val="008E31FF"/>
    <w:rsid w:val="008E377D"/>
    <w:rsid w:val="008E388B"/>
    <w:rsid w:val="008F2218"/>
    <w:rsid w:val="008F53CE"/>
    <w:rsid w:val="008F7B29"/>
    <w:rsid w:val="0090226D"/>
    <w:rsid w:val="00924163"/>
    <w:rsid w:val="00943258"/>
    <w:rsid w:val="00982BA7"/>
    <w:rsid w:val="009F06E7"/>
    <w:rsid w:val="00A049FC"/>
    <w:rsid w:val="00A952D4"/>
    <w:rsid w:val="00B14A81"/>
    <w:rsid w:val="00B6363E"/>
    <w:rsid w:val="00B76B91"/>
    <w:rsid w:val="00BA2544"/>
    <w:rsid w:val="00C03B4C"/>
    <w:rsid w:val="00C0456B"/>
    <w:rsid w:val="00C53346"/>
    <w:rsid w:val="00CB5FC5"/>
    <w:rsid w:val="00D32740"/>
    <w:rsid w:val="00DE0162"/>
    <w:rsid w:val="00DE0552"/>
    <w:rsid w:val="00DF5478"/>
    <w:rsid w:val="00E05790"/>
    <w:rsid w:val="00E62D00"/>
    <w:rsid w:val="00E90F3C"/>
    <w:rsid w:val="00E968BB"/>
    <w:rsid w:val="00EB4346"/>
    <w:rsid w:val="00EE3903"/>
    <w:rsid w:val="00F11B2C"/>
    <w:rsid w:val="00F22B73"/>
    <w:rsid w:val="00F26578"/>
    <w:rsid w:val="00F65DDE"/>
    <w:rsid w:val="00F96DE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14EFAD"/>
  <w15:chartTrackingRefBased/>
  <w15:docId w15:val="{368E806D-E10A-4019-8CD3-5CFC0B20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32</TotalTime>
  <Pages>1</Pages>
  <Words>278</Words>
  <Characters>1694</Characters>
  <Application>Microsoft Office Word</Application>
  <DocSecurity>0</DocSecurity>
  <Lines>39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19</cp:revision>
  <cp:lastPrinted>2025-10-28T16:41:00Z</cp:lastPrinted>
  <dcterms:created xsi:type="dcterms:W3CDTF">2025-10-28T16:16:00Z</dcterms:created>
  <dcterms:modified xsi:type="dcterms:W3CDTF">2025-10-28T20:09:00Z</dcterms:modified>
</cp:coreProperties>
</file>