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2B10" w14:textId="01D7ABDC" w:rsidR="0055301A" w:rsidRPr="00136102" w:rsidRDefault="000169F1" w:rsidP="0055301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55301A">
        <w:rPr>
          <w:rFonts w:ascii="Arial" w:eastAsia="Calibri" w:hAnsi="Arial" w:cs="Times New Roman"/>
          <w:sz w:val="24"/>
          <w:szCs w:val="24"/>
        </w:rPr>
        <w:t xml:space="preserve"> SENHOR </w:t>
      </w:r>
      <w:r w:rsidR="00365F24">
        <w:rPr>
          <w:rFonts w:ascii="Arial" w:eastAsia="Calibri" w:hAnsi="Arial" w:cs="Times New Roman"/>
          <w:sz w:val="24"/>
          <w:szCs w:val="24"/>
        </w:rPr>
        <w:t>DESEMBARGADOR PRESIDENTE DO TRIBUNAL DE JUSTIÇA DO ESTADO DO RIO GRANDE DO SUL</w:t>
      </w:r>
    </w:p>
    <w:p w14:paraId="5DCF12A2" w14:textId="77777777" w:rsidR="00DC5BC2" w:rsidRDefault="00DC5BC2" w:rsidP="003714DE">
      <w:pPr>
        <w:pStyle w:val="Ttulo"/>
        <w:rPr>
          <w:b w:val="0"/>
          <w:bCs/>
        </w:rPr>
      </w:pPr>
    </w:p>
    <w:p w14:paraId="297AEC58" w14:textId="6A3A68B0" w:rsidR="003714DE" w:rsidRDefault="003714DE" w:rsidP="003714DE">
      <w:pPr>
        <w:pStyle w:val="Ttulo"/>
        <w:rPr>
          <w:b w:val="0"/>
          <w:bCs/>
        </w:rPr>
      </w:pPr>
      <w:r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1E3A3C" wp14:editId="381073E2">
                <wp:simplePos x="0" y="0"/>
                <wp:positionH relativeFrom="column">
                  <wp:posOffset>99030</wp:posOffset>
                </wp:positionH>
                <wp:positionV relativeFrom="paragraph">
                  <wp:posOffset>93536</wp:posOffset>
                </wp:positionV>
                <wp:extent cx="1520042" cy="1275907"/>
                <wp:effectExtent l="0" t="0" r="23495" b="19685"/>
                <wp:wrapNone/>
                <wp:docPr id="1804836708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042" cy="127590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8AE8E" id="Retângulo: Cantos Diagonais Arredondados 2" o:spid="_x0000_s1026" style="position:absolute;margin-left:7.8pt;margin-top:7.35pt;width:119.7pt;height:10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20042,1275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" path="m212655,l1520042,r,l1520042,1063252v,117446,-95209,212655,-212655,212655l,1275907r,l,212655c,95209,95209,,212655,xe" filled="f" strokecolor="#5b9bd5 [3208]" strokeweight="1pt">
                <v:stroke joinstyle="miter"/>
                <v:path arrowok="t" o:connecttype="custom" o:connectlocs="212655,0;1520042,0;1520042,0;1520042,1063252;1307387,1275907;0,1275907;0,1275907;0,212655;212655,0" o:connectangles="0,0,0,0,0,0,0,0,0"/>
              </v:shape>
            </w:pict>
          </mc:Fallback>
        </mc:AlternateContent>
      </w:r>
    </w:p>
    <w:p w14:paraId="1FC4EB52" w14:textId="4DF45EC4" w:rsidR="00DC5BC2" w:rsidRDefault="003714DE" w:rsidP="00DC5BC2">
      <w:pPr>
        <w:pStyle w:val="Ttulo"/>
        <w:ind w:right="6378"/>
        <w:jc w:val="center"/>
        <w:rPr>
          <w:color w:val="EE0000"/>
        </w:rPr>
      </w:pPr>
      <w:r w:rsidRPr="0045677F">
        <w:rPr>
          <w:color w:val="EE0000"/>
          <w:u w:val="single"/>
        </w:rPr>
        <w:t>Descumprimento</w:t>
      </w:r>
      <w:r w:rsidRPr="0045677F">
        <w:rPr>
          <w:color w:val="EE0000"/>
        </w:rPr>
        <w:t xml:space="preserve"> </w:t>
      </w:r>
      <w:r w:rsidR="00DC5BC2">
        <w:rPr>
          <w:color w:val="EE0000"/>
        </w:rPr>
        <w:t>do</w:t>
      </w:r>
      <w:r w:rsidRPr="0045677F">
        <w:rPr>
          <w:color w:val="EE0000"/>
        </w:rPr>
        <w:t xml:space="preserve"> Tema repetitivo </w:t>
      </w:r>
      <w:r w:rsidR="00DC5BC2" w:rsidRPr="0045677F">
        <w:rPr>
          <w:color w:val="EE0000"/>
        </w:rPr>
        <w:t>n. 1.229/STJ</w:t>
      </w:r>
      <w:r w:rsidR="00DC5BC2">
        <w:rPr>
          <w:color w:val="EE0000"/>
        </w:rPr>
        <w:t>.</w:t>
      </w:r>
    </w:p>
    <w:p w14:paraId="1E002EF3" w14:textId="5B4A56E4" w:rsidR="00DC5BC2" w:rsidRDefault="00DC5BC2" w:rsidP="00DC5BC2">
      <w:pPr>
        <w:pStyle w:val="Ttulo"/>
        <w:ind w:right="6378"/>
        <w:jc w:val="center"/>
        <w:rPr>
          <w:color w:val="EE0000"/>
        </w:rPr>
      </w:pPr>
      <w:r>
        <w:rPr>
          <w:color w:val="EE0000"/>
        </w:rPr>
        <w:t xml:space="preserve">Matéria de </w:t>
      </w:r>
      <w:r w:rsidRPr="00DC5BC2">
        <w:rPr>
          <w:color w:val="EE0000"/>
          <w:u w:val="single"/>
        </w:rPr>
        <w:t>ordem</w:t>
      </w:r>
      <w:r>
        <w:rPr>
          <w:color w:val="EE0000"/>
        </w:rPr>
        <w:t xml:space="preserve"> </w:t>
      </w:r>
      <w:r w:rsidRPr="00DC5BC2">
        <w:rPr>
          <w:color w:val="EE0000"/>
          <w:u w:val="single"/>
        </w:rPr>
        <w:t>pública</w:t>
      </w:r>
      <w:r>
        <w:rPr>
          <w:color w:val="EE0000"/>
        </w:rPr>
        <w:t xml:space="preserve">, conhecível inclusive de ofício. </w:t>
      </w:r>
    </w:p>
    <w:p w14:paraId="591BC090" w14:textId="0A3D0BDD" w:rsidR="000169F1" w:rsidRPr="00136102" w:rsidRDefault="000169F1" w:rsidP="00DC5BC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B72730" w14:textId="5B189925" w:rsidR="000169F1" w:rsidRPr="00DE4E77" w:rsidRDefault="0055301A" w:rsidP="0055301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DE4E77">
        <w:rPr>
          <w:rFonts w:ascii="Arial" w:eastAsia="Calibri" w:hAnsi="Arial" w:cs="Times New Roman"/>
        </w:rPr>
        <w:t>Autos n. 5000267-06.2003.8.21.0038</w:t>
      </w:r>
    </w:p>
    <w:p w14:paraId="1D3F1CAA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529E953" w14:textId="77777777" w:rsidR="00BA0C40" w:rsidRPr="00220888" w:rsidRDefault="00BA0C40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3735082C" w14:textId="0FAE0C8F" w:rsidR="005C17E1" w:rsidRPr="00136102" w:rsidRDefault="0055301A" w:rsidP="00E459FF">
      <w:pPr>
        <w:pStyle w:val="Qualificaodaspartes"/>
        <w:spacing w:line="360" w:lineRule="auto"/>
      </w:pPr>
      <w:r>
        <w:rPr>
          <w:b/>
        </w:rPr>
        <w:t>MARIANNINA CUTILLO DE BENEDICTIS</w:t>
      </w:r>
      <w:r w:rsidR="000169F1" w:rsidRPr="00A814BD">
        <w:t xml:space="preserve">, </w:t>
      </w:r>
      <w:r>
        <w:t xml:space="preserve">já qualificada nos autos </w:t>
      </w:r>
      <w:r w:rsidR="00365F24">
        <w:t xml:space="preserve">dos aclaratórios na apelação cível </w:t>
      </w:r>
      <w:r>
        <w:t xml:space="preserve">n. </w:t>
      </w:r>
      <w:r w:rsidRPr="0055301A">
        <w:t>5000267-06.2003.8.21.0038</w:t>
      </w:r>
      <w:r>
        <w:t xml:space="preserve">, </w:t>
      </w:r>
      <w:r w:rsidR="00365F24">
        <w:t xml:space="preserve">em que é embargado o </w:t>
      </w:r>
      <w:r>
        <w:t>ESTADO DO RIO GRANDE DO SUL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5C17E1">
        <w:t>por seu advogado signatário</w:t>
      </w:r>
      <w:r w:rsidR="005C17E1" w:rsidRPr="00A814BD">
        <w:t xml:space="preserve">, </w:t>
      </w:r>
      <w:r w:rsidR="005C17E1">
        <w:t xml:space="preserve">em atenção à intimação do evento </w:t>
      </w:r>
      <w:r w:rsidR="006B47D1">
        <w:t>74</w:t>
      </w:r>
      <w:r w:rsidR="005C17E1">
        <w:t>,</w:t>
      </w:r>
      <w:r w:rsidR="001809B9">
        <w:t xml:space="preserve"> </w:t>
      </w:r>
      <w:r w:rsidR="000C5062">
        <w:t xml:space="preserve">com fundamento no </w:t>
      </w:r>
      <w:r w:rsidR="006D2D6F">
        <w:t>art. 105, III, alínea</w:t>
      </w:r>
      <w:r w:rsidR="00E31F98">
        <w:t>s</w:t>
      </w:r>
      <w:r w:rsidR="006D2D6F">
        <w:t xml:space="preserve"> ‘a</w:t>
      </w:r>
      <w:r w:rsidR="00C97E19">
        <w:t>’</w:t>
      </w:r>
      <w:r w:rsidR="00E31F98">
        <w:t xml:space="preserve"> e ‘c’</w:t>
      </w:r>
      <w:r w:rsidR="006D2D6F">
        <w:t xml:space="preserve">, da CF/88, interpor, a tempo e modo, </w:t>
      </w:r>
      <w:r w:rsidR="006D2D6F">
        <w:rPr>
          <w:b/>
          <w:bCs w:val="0"/>
          <w:i/>
          <w:iCs/>
        </w:rPr>
        <w:t>RECURSO ESPECIAL</w:t>
      </w:r>
      <w:r w:rsidR="006D2D6F">
        <w:t xml:space="preserve"> contra os acórdãos dos eventos </w:t>
      </w:r>
      <w:r w:rsidR="009F46B5">
        <w:t xml:space="preserve">7, </w:t>
      </w:r>
      <w:r w:rsidR="00AA4DEA">
        <w:t>29</w:t>
      </w:r>
      <w:r w:rsidR="006D2D6F">
        <w:t xml:space="preserve"> e </w:t>
      </w:r>
      <w:r w:rsidR="009F46B5">
        <w:t>71</w:t>
      </w:r>
      <w:r w:rsidR="006D2D6F">
        <w:t>, pelas razões de fato e de direito expostas na peça em anexo</w:t>
      </w:r>
      <w:r w:rsidR="005C17E1">
        <w:t>.</w:t>
      </w:r>
    </w:p>
    <w:p w14:paraId="08875123" w14:textId="77777777" w:rsidR="005C17E1" w:rsidRDefault="005C17E1" w:rsidP="005C17E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36108C68" w14:textId="77777777" w:rsidR="00502553" w:rsidRPr="00136102" w:rsidRDefault="00502553" w:rsidP="00502553">
      <w:pPr>
        <w:pStyle w:val="SemEspaamento"/>
        <w:numPr>
          <w:ilvl w:val="0"/>
          <w:numId w:val="0"/>
        </w:numPr>
        <w:ind w:firstLine="1985"/>
      </w:pPr>
      <w:r w:rsidRPr="00D55647">
        <w:rPr>
          <w:rFonts w:eastAsia="Calibri" w:cs="Times New Roman"/>
        </w:rPr>
        <w:t xml:space="preserve">Requer, regularmente processado, seja o </w:t>
      </w:r>
      <w:r>
        <w:rPr>
          <w:rFonts w:eastAsia="Calibri" w:cs="Times New Roman"/>
        </w:rPr>
        <w:t>presente reclamo</w:t>
      </w:r>
      <w:r w:rsidRPr="00D55647">
        <w:rPr>
          <w:rFonts w:eastAsia="Calibri" w:cs="Times New Roman"/>
        </w:rPr>
        <w:t xml:space="preserve"> admitido por Vossa Excelência, com a consequente remessa ao Egrégio Superior Tribunal de Justiça.</w:t>
      </w:r>
    </w:p>
    <w:p w14:paraId="33E75164" w14:textId="77777777" w:rsidR="00502553" w:rsidRDefault="00502553" w:rsidP="00502553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38BD9A" w14:textId="735CAC02" w:rsidR="00502553" w:rsidRPr="007A7D53" w:rsidRDefault="00502553" w:rsidP="008A4724">
      <w:pPr>
        <w:pStyle w:val="Qualificaodaspartes"/>
        <w:spacing w:line="360" w:lineRule="auto"/>
        <w:rPr>
          <w:sz w:val="20"/>
          <w:szCs w:val="20"/>
        </w:rPr>
      </w:pPr>
      <w:r w:rsidRPr="00186E07">
        <w:t>A recorrente informa que recolheu o preparo recursal</w:t>
      </w:r>
      <w:r w:rsidR="003F0B23" w:rsidRPr="00186E07">
        <w:t xml:space="preserve"> perante a Colenda Corte Superior</w:t>
      </w:r>
      <w:r w:rsidRPr="00186E07">
        <w:t xml:space="preserve">, </w:t>
      </w:r>
      <w:r w:rsidR="00186E07" w:rsidRPr="00186E07">
        <w:t xml:space="preserve">conforme se extrai da documentação anexa </w:t>
      </w:r>
      <w:r w:rsidR="00186E07" w:rsidRPr="00186E07">
        <w:rPr>
          <w:sz w:val="20"/>
          <w:szCs w:val="20"/>
        </w:rPr>
        <w:t>(</w:t>
      </w:r>
      <w:r w:rsidR="00186E07" w:rsidRPr="00186E07">
        <w:rPr>
          <w:b/>
          <w:bCs w:val="0"/>
          <w:sz w:val="20"/>
          <w:szCs w:val="20"/>
        </w:rPr>
        <w:t>doc. 1</w:t>
      </w:r>
      <w:r w:rsidR="00186E07" w:rsidRPr="00186E07">
        <w:rPr>
          <w:sz w:val="20"/>
          <w:szCs w:val="20"/>
        </w:rPr>
        <w:t>)</w:t>
      </w:r>
      <w:r w:rsidR="00186E07">
        <w:t xml:space="preserve">, </w:t>
      </w:r>
      <w:r w:rsidR="00186E07" w:rsidRPr="00186E07">
        <w:t xml:space="preserve">tendo em vista que não há custas relativas </w:t>
      </w:r>
      <w:r w:rsidR="002C2796">
        <w:t>à admissibilidade do</w:t>
      </w:r>
      <w:r w:rsidR="00186E07">
        <w:t xml:space="preserve"> recurso especial n</w:t>
      </w:r>
      <w:r w:rsidR="00186E07" w:rsidRPr="00186E07">
        <w:t>esse Egrégio Tribunal Estadual</w:t>
      </w:r>
      <w:r w:rsidRPr="00186E07">
        <w:rPr>
          <w:sz w:val="20"/>
          <w:szCs w:val="20"/>
        </w:rPr>
        <w:t>.</w:t>
      </w:r>
    </w:p>
    <w:p w14:paraId="218916B4" w14:textId="77777777" w:rsidR="00502553" w:rsidRDefault="00502553" w:rsidP="003F0B2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C2A3A7A" w14:textId="77777777" w:rsidR="00502553" w:rsidRPr="00136102" w:rsidRDefault="00502553" w:rsidP="00502553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B12294C" w14:textId="19CC1211" w:rsidR="00502553" w:rsidRPr="00136102" w:rsidRDefault="00502553" w:rsidP="00502553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C5062">
        <w:rPr>
          <w:rFonts w:ascii="Arial" w:eastAsia="Calibri" w:hAnsi="Arial" w:cs="Times New Roman"/>
          <w:noProof/>
          <w:sz w:val="24"/>
          <w:szCs w:val="24"/>
        </w:rPr>
        <w:t>26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8C6DD3C" w14:textId="77777777" w:rsidR="005C17E1" w:rsidRDefault="005C17E1" w:rsidP="005C17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021F2DA" w14:textId="77777777" w:rsidR="005C17E1" w:rsidRPr="008A4724" w:rsidRDefault="005C17E1" w:rsidP="005C17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"/>
          <w:szCs w:val="2"/>
          <w:lang w:val="pt"/>
        </w:rPr>
      </w:pPr>
    </w:p>
    <w:p w14:paraId="516E5FEB" w14:textId="77777777" w:rsidR="005C17E1" w:rsidRDefault="005C17E1" w:rsidP="005C17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2629004" w14:textId="77777777" w:rsidR="005C17E1" w:rsidRPr="00136102" w:rsidRDefault="005C17E1" w:rsidP="005C17E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A3BB487" w14:textId="77777777" w:rsidR="005C17E1" w:rsidRDefault="005C17E1" w:rsidP="005C17E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D552C25" w14:textId="77777777" w:rsidR="005C17E1" w:rsidRDefault="005C17E1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5626558C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578CC828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225FAC3F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30C2A880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09837C8E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0FF6280C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35966632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2A7DE1B6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182EF63B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589431F3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53CF4CF1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50DDCD6D" w14:textId="77777777" w:rsidR="00612232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7BDD1A99" w14:textId="77777777" w:rsidR="00612232" w:rsidRPr="00706D09" w:rsidRDefault="00612232" w:rsidP="005C17E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"/>
          <w:szCs w:val="2"/>
        </w:rPr>
      </w:pPr>
    </w:p>
    <w:p w14:paraId="0095DEA5" w14:textId="77777777" w:rsidR="005C17E1" w:rsidRPr="00577C2C" w:rsidRDefault="005C17E1" w:rsidP="005C17E1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108B1764" w14:textId="34529243" w:rsidR="005C17E1" w:rsidRPr="00577C2C" w:rsidRDefault="00E86A0B" w:rsidP="005C17E1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D6911A" wp14:editId="18E260B0">
                <wp:simplePos x="0" y="0"/>
                <wp:positionH relativeFrom="column">
                  <wp:posOffset>-81280</wp:posOffset>
                </wp:positionH>
                <wp:positionV relativeFrom="paragraph">
                  <wp:posOffset>10795</wp:posOffset>
                </wp:positionV>
                <wp:extent cx="2943225" cy="695325"/>
                <wp:effectExtent l="0" t="0" r="28575" b="28575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6953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8BF4F" id="Retângulo: Cantos Diagonais Arredondados 1" o:spid="_x0000_s1026" style="position:absolute;margin-left:-6.4pt;margin-top:.85pt;width:231.75pt;height:5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43225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" path="m115890,l2943225,r,l2943225,579435v,64004,-51886,115890,-115890,115890l,695325r,l,115890c,51886,51886,,115890,xe" filled="f" strokecolor="#5b9bd5 [3208]" strokeweight="1pt">
                <v:stroke joinstyle="miter"/>
                <v:path arrowok="t" o:connecttype="custom" o:connectlocs="115890,0;2943225,0;2943225,0;2943225,579435;2827335,695325;0,695325;0,695325;0,115890;115890,0" o:connectangles="0,0,0,0,0,0,0,0,0"/>
              </v:shape>
            </w:pict>
          </mc:Fallback>
        </mc:AlternateContent>
      </w:r>
    </w:p>
    <w:p w14:paraId="68C5C297" w14:textId="1B089BED" w:rsidR="005C17E1" w:rsidRPr="00D12C67" w:rsidRDefault="005C17E1" w:rsidP="001809B9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D12C67">
        <w:rPr>
          <w:rFonts w:ascii="Arial" w:eastAsia="Times New Roman" w:hAnsi="Arial" w:cs="Times New Roman"/>
          <w:lang w:eastAsia="pt-BR"/>
        </w:rPr>
        <w:t xml:space="preserve">Recorrente: </w:t>
      </w:r>
      <w:proofErr w:type="spellStart"/>
      <w:r w:rsidR="001809B9">
        <w:rPr>
          <w:rFonts w:ascii="Arial" w:eastAsia="Times New Roman" w:hAnsi="Arial" w:cs="Times New Roman"/>
          <w:lang w:eastAsia="pt-BR"/>
        </w:rPr>
        <w:t>Mariannina</w:t>
      </w:r>
      <w:proofErr w:type="spellEnd"/>
      <w:r w:rsidR="001809B9">
        <w:rPr>
          <w:rFonts w:ascii="Arial" w:eastAsia="Times New Roman" w:hAnsi="Arial" w:cs="Times New Roman"/>
          <w:lang w:eastAsia="pt-BR"/>
        </w:rPr>
        <w:t xml:space="preserve"> </w:t>
      </w:r>
      <w:proofErr w:type="spellStart"/>
      <w:r w:rsidR="001809B9">
        <w:rPr>
          <w:rFonts w:ascii="Arial" w:eastAsia="Times New Roman" w:hAnsi="Arial" w:cs="Times New Roman"/>
          <w:lang w:eastAsia="pt-BR"/>
        </w:rPr>
        <w:t>Cutillo</w:t>
      </w:r>
      <w:proofErr w:type="spellEnd"/>
      <w:r w:rsidR="001809B9">
        <w:rPr>
          <w:rFonts w:ascii="Arial" w:eastAsia="Times New Roman" w:hAnsi="Arial" w:cs="Times New Roman"/>
          <w:lang w:eastAsia="pt-BR"/>
        </w:rPr>
        <w:t xml:space="preserve"> de Benedictis</w:t>
      </w:r>
    </w:p>
    <w:p w14:paraId="05C70B8D" w14:textId="6EE95C85" w:rsidR="005C17E1" w:rsidRPr="00D12C67" w:rsidRDefault="005C17E1" w:rsidP="005C17E1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 w:rsidRPr="00D12C67">
        <w:rPr>
          <w:rFonts w:ascii="Arial" w:eastAsia="Times New Roman" w:hAnsi="Arial" w:cs="Times New Roman"/>
          <w:lang w:eastAsia="pt-BR"/>
        </w:rPr>
        <w:t xml:space="preserve">Recorrido: </w:t>
      </w:r>
      <w:r w:rsidR="001809B9">
        <w:rPr>
          <w:rFonts w:ascii="Arial" w:eastAsia="Times New Roman" w:hAnsi="Arial" w:cs="Times New Roman"/>
          <w:lang w:eastAsia="pt-BR"/>
        </w:rPr>
        <w:t>Estado do Rio Grande do Sul</w:t>
      </w:r>
    </w:p>
    <w:p w14:paraId="4012DAE4" w14:textId="5479F7AC" w:rsidR="005C17E1" w:rsidRPr="00D12C67" w:rsidRDefault="005C17E1" w:rsidP="005C17E1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Autos n. </w:t>
      </w:r>
      <w:r w:rsidR="00E86A0B" w:rsidRPr="00E86A0B">
        <w:rPr>
          <w:rFonts w:ascii="Arial" w:eastAsia="Calibri" w:hAnsi="Arial" w:cs="Arial"/>
          <w:bCs/>
        </w:rPr>
        <w:t>5000267-06.2003.8.21.0038</w:t>
      </w:r>
    </w:p>
    <w:p w14:paraId="2E643F49" w14:textId="77777777" w:rsidR="005C17E1" w:rsidRDefault="005C17E1" w:rsidP="005C17E1">
      <w:pPr>
        <w:spacing w:after="0"/>
      </w:pPr>
    </w:p>
    <w:p w14:paraId="56DCA0EB" w14:textId="77777777" w:rsidR="005C17E1" w:rsidRPr="002E588C" w:rsidRDefault="005C17E1" w:rsidP="005C17E1">
      <w:pPr>
        <w:tabs>
          <w:tab w:val="left" w:pos="8504"/>
        </w:tabs>
        <w:spacing w:after="0" w:line="360" w:lineRule="auto"/>
        <w:ind w:right="142"/>
        <w:contextualSpacing/>
        <w:rPr>
          <w:rFonts w:ascii="Arial" w:eastAsia="Times New Roman" w:hAnsi="Arial" w:cs="Times New Roman"/>
          <w:b/>
          <w:bCs/>
          <w:sz w:val="6"/>
          <w:szCs w:val="6"/>
          <w:lang w:eastAsia="pt-BR"/>
        </w:rPr>
      </w:pPr>
    </w:p>
    <w:p w14:paraId="6916498F" w14:textId="77777777" w:rsidR="005C17E1" w:rsidRPr="000D4740" w:rsidRDefault="005C17E1" w:rsidP="005C17E1">
      <w:pPr>
        <w:tabs>
          <w:tab w:val="left" w:pos="8504"/>
        </w:tabs>
        <w:spacing w:after="0" w:line="36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1710EC43" w14:textId="6C49F706" w:rsidR="005C17E1" w:rsidRPr="00053B75" w:rsidRDefault="005C17E1" w:rsidP="005C17E1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RAZÕES </w:t>
      </w:r>
      <w:r w:rsidR="00BB1A1B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RECURSAIS</w:t>
      </w:r>
    </w:p>
    <w:p w14:paraId="7F447CBC" w14:textId="77777777" w:rsidR="005C17E1" w:rsidRDefault="005C17E1" w:rsidP="005C17E1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C2FDB" wp14:editId="7B14E062">
                <wp:simplePos x="0" y="0"/>
                <wp:positionH relativeFrom="column">
                  <wp:posOffset>227726</wp:posOffset>
                </wp:positionH>
                <wp:positionV relativeFrom="paragraph">
                  <wp:posOffset>184967</wp:posOffset>
                </wp:positionV>
                <wp:extent cx="5118265" cy="1757548"/>
                <wp:effectExtent l="0" t="0" r="25400" b="1460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1757548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90BB8" id="Retângulo: Cantos Diagonais Arredondados 1" o:spid="_x0000_s1026" style="position:absolute;margin-left:17.95pt;margin-top:14.55pt;width:403pt;height:1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1757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" path="m292931,l5118265,r,l5118265,1464617v,161781,-131150,292931,-292931,292931l,1757548r,l,292931c,131150,131150,,292931,xe" filled="f" strokecolor="#5b9bd5 [3208]" strokeweight="1pt">
                <v:stroke joinstyle="miter"/>
                <v:path arrowok="t" o:connecttype="custom" o:connectlocs="292931,0;5118265,0;5118265,0;5118265,1464617;4825334,1757548;0,1757548;0,1757548;0,292931;292931,0" o:connectangles="0,0,0,0,0,0,0,0,0"/>
              </v:shape>
            </w:pict>
          </mc:Fallback>
        </mc:AlternateContent>
      </w:r>
    </w:p>
    <w:p w14:paraId="0172338F" w14:textId="77777777" w:rsidR="005C17E1" w:rsidRDefault="005C17E1" w:rsidP="005C17E1">
      <w:pPr>
        <w:spacing w:after="0"/>
      </w:pPr>
    </w:p>
    <w:p w14:paraId="415C550F" w14:textId="77777777" w:rsidR="008E50E6" w:rsidRPr="001676D1" w:rsidRDefault="008E50E6" w:rsidP="008E50E6">
      <w:pPr>
        <w:tabs>
          <w:tab w:val="left" w:pos="8504"/>
        </w:tabs>
        <w:spacing w:before="120" w:after="120" w:line="480" w:lineRule="auto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EGRÉGIO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SUPERIOR </w:t>
      </w: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TRIBUNAL DE JUSTIÇA</w:t>
      </w:r>
    </w:p>
    <w:p w14:paraId="0E37F0C7" w14:textId="77777777" w:rsidR="008E50E6" w:rsidRPr="0027451F" w:rsidRDefault="008E50E6" w:rsidP="008E50E6">
      <w:pPr>
        <w:tabs>
          <w:tab w:val="left" w:pos="8504"/>
        </w:tabs>
        <w:spacing w:after="0" w:line="480" w:lineRule="auto"/>
        <w:contextualSpacing/>
        <w:jc w:val="center"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131CAAFB" w14:textId="77777777" w:rsidR="008E50E6" w:rsidRPr="001676D1" w:rsidRDefault="008E50E6" w:rsidP="008E50E6">
      <w:pPr>
        <w:tabs>
          <w:tab w:val="left" w:pos="8504"/>
        </w:tabs>
        <w:spacing w:before="120" w:after="120" w:line="480" w:lineRule="auto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TURMA</w:t>
      </w:r>
    </w:p>
    <w:p w14:paraId="4DD82ADC" w14:textId="77777777" w:rsidR="008E50E6" w:rsidRPr="0027451F" w:rsidRDefault="008E50E6" w:rsidP="008E50E6">
      <w:pPr>
        <w:tabs>
          <w:tab w:val="left" w:pos="8504"/>
        </w:tabs>
        <w:spacing w:after="0" w:line="480" w:lineRule="auto"/>
        <w:contextualSpacing/>
        <w:rPr>
          <w:rFonts w:ascii="Arial" w:eastAsia="Times New Roman" w:hAnsi="Arial" w:cs="Times New Roman"/>
          <w:b/>
          <w:bCs/>
          <w:sz w:val="14"/>
          <w:szCs w:val="14"/>
          <w:lang w:eastAsia="pt-BR"/>
        </w:rPr>
      </w:pPr>
    </w:p>
    <w:p w14:paraId="78F1254A" w14:textId="77777777" w:rsidR="008E50E6" w:rsidRPr="006E3695" w:rsidRDefault="008E50E6" w:rsidP="008E50E6">
      <w:pPr>
        <w:tabs>
          <w:tab w:val="left" w:pos="8504"/>
        </w:tabs>
        <w:spacing w:before="120" w:after="120" w:line="480" w:lineRule="auto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MINISTROS JULGADORES</w:t>
      </w:r>
    </w:p>
    <w:p w14:paraId="3FAFECA6" w14:textId="77777777" w:rsidR="005C17E1" w:rsidRPr="002E588C" w:rsidRDefault="005C17E1" w:rsidP="005C17E1">
      <w:pPr>
        <w:pStyle w:val="Ttulo"/>
        <w:rPr>
          <w:sz w:val="12"/>
          <w:szCs w:val="14"/>
        </w:rPr>
      </w:pPr>
    </w:p>
    <w:p w14:paraId="58EB0DAF" w14:textId="5B166968" w:rsidR="000169F1" w:rsidRPr="002E588C" w:rsidRDefault="000169F1" w:rsidP="005C17E1">
      <w:pPr>
        <w:pStyle w:val="Qualificaodaspartes"/>
        <w:rPr>
          <w:sz w:val="2"/>
          <w:szCs w:val="2"/>
        </w:rPr>
      </w:pPr>
    </w:p>
    <w:p w14:paraId="45098705" w14:textId="77777777" w:rsidR="00213209" w:rsidRPr="002E588C" w:rsidRDefault="00213209" w:rsidP="000E485E">
      <w:pPr>
        <w:pStyle w:val="SemEspaamento"/>
        <w:numPr>
          <w:ilvl w:val="0"/>
          <w:numId w:val="0"/>
        </w:numPr>
        <w:rPr>
          <w:sz w:val="10"/>
          <w:szCs w:val="8"/>
        </w:rPr>
      </w:pPr>
    </w:p>
    <w:p w14:paraId="52867828" w14:textId="77777777" w:rsidR="00FD532E" w:rsidRPr="005C4689" w:rsidRDefault="00FD532E" w:rsidP="0074005F">
      <w:pPr>
        <w:pStyle w:val="Ttulo"/>
      </w:pPr>
      <w:r w:rsidRPr="005C4689">
        <w:t>I –</w:t>
      </w:r>
      <w:r>
        <w:t xml:space="preserve"> SÍNTESE DA DEMANDA</w:t>
      </w:r>
    </w:p>
    <w:p w14:paraId="0BBC76D1" w14:textId="77777777" w:rsidR="00FD532E" w:rsidRPr="004A3F4E" w:rsidRDefault="00FD532E" w:rsidP="00FD532E"/>
    <w:p w14:paraId="2A3D0EED" w14:textId="1535DA5B" w:rsidR="00167B71" w:rsidRDefault="00167B71" w:rsidP="00FD532E">
      <w:pPr>
        <w:pStyle w:val="SemEspaamento"/>
      </w:pPr>
      <w:r>
        <w:t xml:space="preserve">Ao identificar a ocorrência da prescrição intercorrente no presente caso, </w:t>
      </w:r>
      <w:r w:rsidR="00EA0F3E">
        <w:t xml:space="preserve">em </w:t>
      </w:r>
      <w:r w:rsidR="007A7D53">
        <w:t>r</w:t>
      </w:r>
      <w:r w:rsidR="00EA0F3E">
        <w:t>a</w:t>
      </w:r>
      <w:r w:rsidR="007A7D53">
        <w:t>zão</w:t>
      </w:r>
      <w:r w:rsidR="00EA0F3E">
        <w:t xml:space="preserve"> da nulidade da citação por edital realizada</w:t>
      </w:r>
      <w:r w:rsidR="00C95077">
        <w:t xml:space="preserve"> no início da execução fiscal, sem o esgotamento dos demais meios de citação,</w:t>
      </w:r>
      <w:r w:rsidR="00EA0F3E">
        <w:t xml:space="preserve"> e o transcurso de prazo muito superior a 6 </w:t>
      </w:r>
      <w:r w:rsidR="00EA0F3E" w:rsidRPr="008A4A7D">
        <w:rPr>
          <w:sz w:val="20"/>
          <w:szCs w:val="18"/>
        </w:rPr>
        <w:t>(seis)</w:t>
      </w:r>
      <w:r w:rsidR="00EA0F3E">
        <w:t xml:space="preserve"> anos </w:t>
      </w:r>
      <w:r w:rsidR="008A4A7D">
        <w:t xml:space="preserve">desde a ciência da citação frustrada pelo exequente, </w:t>
      </w:r>
      <w:r>
        <w:t xml:space="preserve">a </w:t>
      </w:r>
      <w:r w:rsidR="006A606B">
        <w:t>recorrente</w:t>
      </w:r>
      <w:r>
        <w:t xml:space="preserve"> opôs exceção de pré-executividade</w:t>
      </w:r>
      <w:r w:rsidR="00EA0F3E">
        <w:t xml:space="preserve"> </w:t>
      </w:r>
      <w:r w:rsidR="00EA0F3E" w:rsidRPr="00C95077">
        <w:rPr>
          <w:sz w:val="20"/>
          <w:szCs w:val="18"/>
        </w:rPr>
        <w:t>(evento 67)</w:t>
      </w:r>
      <w:r w:rsidR="00EA0F3E">
        <w:t>, que</w:t>
      </w:r>
      <w:r w:rsidR="00F721E3">
        <w:t xml:space="preserve"> </w:t>
      </w:r>
      <w:r w:rsidR="00EA0F3E">
        <w:t xml:space="preserve">foi acolhida pela </w:t>
      </w:r>
      <w:r w:rsidR="006A606B">
        <w:t>sentença de 1 º grau</w:t>
      </w:r>
      <w:r w:rsidR="00BD6559">
        <w:t xml:space="preserve"> </w:t>
      </w:r>
      <w:r w:rsidR="00BD6559" w:rsidRPr="00C95077">
        <w:rPr>
          <w:sz w:val="20"/>
          <w:szCs w:val="18"/>
        </w:rPr>
        <w:t>(evento 80)</w:t>
      </w:r>
      <w:r w:rsidR="000A7EEB">
        <w:t xml:space="preserve"> e extinguiu o feito</w:t>
      </w:r>
      <w:r w:rsidR="006A606B">
        <w:t xml:space="preserve"> </w:t>
      </w:r>
      <w:r w:rsidR="00F721E3" w:rsidRPr="00857ADD">
        <w:t xml:space="preserve">após a resistência do </w:t>
      </w:r>
      <w:r w:rsidR="006A606B" w:rsidRPr="00857ADD">
        <w:t>recorrido</w:t>
      </w:r>
      <w:r w:rsidR="00F721E3">
        <w:t xml:space="preserve"> </w:t>
      </w:r>
      <w:r w:rsidR="00F721E3" w:rsidRPr="00F721E3">
        <w:rPr>
          <w:sz w:val="20"/>
          <w:szCs w:val="18"/>
        </w:rPr>
        <w:t>(evento 77)</w:t>
      </w:r>
      <w:r w:rsidR="00EA0F3E">
        <w:t>.</w:t>
      </w:r>
    </w:p>
    <w:p w14:paraId="072DF4D1" w14:textId="65DC0692" w:rsidR="008F588E" w:rsidRPr="008F588E" w:rsidRDefault="006A606B" w:rsidP="008F588E">
      <w:pPr>
        <w:pStyle w:val="SemEspaamento"/>
      </w:pPr>
      <w:r>
        <w:t>Contudo</w:t>
      </w:r>
      <w:r w:rsidR="00BA6AD6">
        <w:t xml:space="preserve">, mesmo com o reconhecimento da prescrição intercorrente, ou seja, mesmo sagrando-se vencedora </w:t>
      </w:r>
      <w:r w:rsidR="00941D22">
        <w:t>d</w:t>
      </w:r>
      <w:r w:rsidR="00BA6AD6">
        <w:t>a demanda, a recorrente foi surpreendida com a sua condenação ao pagamento de custas e honorários</w:t>
      </w:r>
      <w:r w:rsidR="008F588E">
        <w:t xml:space="preserve"> de sucumbência, ao argumento de que “</w:t>
      </w:r>
      <w:r w:rsidR="008F588E" w:rsidRPr="008F588E">
        <w:rPr>
          <w:i/>
          <w:iCs/>
        </w:rPr>
        <w:t>foi ela quem causou o processo, ao não pagar a dívida no tempo certo, respeitando, assim, o princípio da causalidade</w:t>
      </w:r>
      <w:r w:rsidR="008F588E">
        <w:t xml:space="preserve">” </w:t>
      </w:r>
      <w:r w:rsidR="008F588E" w:rsidRPr="008F588E">
        <w:rPr>
          <w:sz w:val="20"/>
          <w:szCs w:val="18"/>
        </w:rPr>
        <w:t>(evento 80)</w:t>
      </w:r>
      <w:r w:rsidR="008F588E" w:rsidRPr="008F588E">
        <w:t>.</w:t>
      </w:r>
    </w:p>
    <w:p w14:paraId="661E9974" w14:textId="6042758B" w:rsidR="00641B3C" w:rsidRDefault="00866EE8" w:rsidP="00641B3C">
      <w:pPr>
        <w:pStyle w:val="SemEspaamento"/>
        <w:rPr>
          <w:highlight w:val="white"/>
        </w:rPr>
      </w:pPr>
      <w:r>
        <w:t>Irresignada, a recorrente interpôs apelação</w:t>
      </w:r>
      <w:r w:rsidR="00641B3C">
        <w:t xml:space="preserve"> </w:t>
      </w:r>
      <w:bookmarkStart w:id="0" w:name="_Hlk213163534"/>
      <w:r w:rsidR="00641B3C" w:rsidRPr="00564D21">
        <w:rPr>
          <w:sz w:val="20"/>
          <w:szCs w:val="18"/>
        </w:rPr>
        <w:t>(evento</w:t>
      </w:r>
      <w:r w:rsidR="00564D21" w:rsidRPr="00564D21">
        <w:rPr>
          <w:sz w:val="20"/>
          <w:szCs w:val="18"/>
        </w:rPr>
        <w:t xml:space="preserve"> 88)</w:t>
      </w:r>
      <w:bookmarkEnd w:id="0"/>
      <w:r>
        <w:t xml:space="preserve"> </w:t>
      </w:r>
      <w:r w:rsidR="00641B3C">
        <w:rPr>
          <w:highlight w:val="white"/>
        </w:rPr>
        <w:t>e pleiteou a reforma dessa parte da sentença recorrida, para fixar os honorários sucumbenciais contra o exequente/</w:t>
      </w:r>
      <w:r w:rsidR="004B453D">
        <w:rPr>
          <w:highlight w:val="white"/>
        </w:rPr>
        <w:t>recorrido</w:t>
      </w:r>
      <w:r w:rsidR="00641B3C">
        <w:rPr>
          <w:highlight w:val="white"/>
        </w:rPr>
        <w:t xml:space="preserve">, que foi </w:t>
      </w:r>
      <w:r w:rsidR="00A96C5C">
        <w:rPr>
          <w:highlight w:val="white"/>
        </w:rPr>
        <w:t>o</w:t>
      </w:r>
      <w:r w:rsidR="00641B3C">
        <w:rPr>
          <w:highlight w:val="white"/>
        </w:rPr>
        <w:t xml:space="preserve"> sucumbente e ofereceu pretensão resistida à exceção de pré-executividade oposta.</w:t>
      </w:r>
    </w:p>
    <w:p w14:paraId="3EF1D3FA" w14:textId="2F7DEFD5" w:rsidR="00641B3C" w:rsidRPr="00DC0F36" w:rsidRDefault="00641B3C" w:rsidP="00641B3C">
      <w:pPr>
        <w:pStyle w:val="SemEspaamento"/>
      </w:pPr>
      <w:r w:rsidRPr="00DC0F36">
        <w:t xml:space="preserve">Cumpre registrar, por oportuno, que a apelação da </w:t>
      </w:r>
      <w:r w:rsidR="004B453D" w:rsidRPr="00DC0F36">
        <w:t>recorrente</w:t>
      </w:r>
      <w:r w:rsidRPr="00DC0F36">
        <w:t xml:space="preserve"> foi interposta no dia 8.10.2024 </w:t>
      </w:r>
      <w:r w:rsidR="00564D21" w:rsidRPr="00DC0F36">
        <w:rPr>
          <w:sz w:val="20"/>
          <w:szCs w:val="18"/>
        </w:rPr>
        <w:t>(evento 88)</w:t>
      </w:r>
      <w:r w:rsidRPr="00DC0F36">
        <w:t xml:space="preserve">, ou seja, 1 </w:t>
      </w:r>
      <w:r w:rsidRPr="00DC0F36">
        <w:rPr>
          <w:sz w:val="20"/>
          <w:szCs w:val="18"/>
        </w:rPr>
        <w:t>(um)</w:t>
      </w:r>
      <w:r w:rsidRPr="00DC0F36">
        <w:t xml:space="preserve"> dia antes do julgamento do Tema Repetitivo n. 1.229/STJ, e se pautou no entendimento jurisprudencial </w:t>
      </w:r>
      <w:r w:rsidR="007B186B">
        <w:t>existente</w:t>
      </w:r>
      <w:r w:rsidRPr="00DC0F36">
        <w:t xml:space="preserve"> à época, em que era possível a condenação da exequente ao pagamento de honorários sucumbenciais se houvesse pretensão resistida da Fazenda Pública.</w:t>
      </w:r>
    </w:p>
    <w:p w14:paraId="5E5DF9AE" w14:textId="25D5F41C" w:rsidR="00641B3C" w:rsidRDefault="00A86064" w:rsidP="00641B3C">
      <w:pPr>
        <w:pStyle w:val="SemEspaamento"/>
        <w:rPr>
          <w:highlight w:val="white"/>
        </w:rPr>
      </w:pPr>
      <w:r>
        <w:rPr>
          <w:highlight w:val="white"/>
        </w:rPr>
        <w:t>O</w:t>
      </w:r>
      <w:r w:rsidR="00641B3C">
        <w:rPr>
          <w:highlight w:val="white"/>
        </w:rPr>
        <w:t xml:space="preserve"> Estado do Rio Grande do Sul, por sua vez, também interpôs apelação e alegou, em síntese, que não teria ocorrido a prescrição intercorrente no caso </w:t>
      </w:r>
      <w:r w:rsidR="00564D21" w:rsidRPr="00F721E3">
        <w:rPr>
          <w:sz w:val="20"/>
          <w:szCs w:val="18"/>
        </w:rPr>
        <w:t xml:space="preserve">(evento </w:t>
      </w:r>
      <w:r w:rsidR="00564D21">
        <w:rPr>
          <w:sz w:val="20"/>
          <w:szCs w:val="18"/>
        </w:rPr>
        <w:t>90</w:t>
      </w:r>
      <w:r w:rsidR="00564D21" w:rsidRPr="00F721E3">
        <w:rPr>
          <w:sz w:val="20"/>
          <w:szCs w:val="18"/>
        </w:rPr>
        <w:t>)</w:t>
      </w:r>
      <w:r w:rsidR="00641B3C">
        <w:rPr>
          <w:highlight w:val="white"/>
        </w:rPr>
        <w:t>.</w:t>
      </w:r>
    </w:p>
    <w:p w14:paraId="56407C93" w14:textId="6DCE6B26" w:rsidR="00641B3C" w:rsidRDefault="00641B3C" w:rsidP="00641B3C">
      <w:pPr>
        <w:pStyle w:val="SemEspaamento"/>
        <w:rPr>
          <w:highlight w:val="white"/>
        </w:rPr>
      </w:pPr>
      <w:r>
        <w:rPr>
          <w:highlight w:val="white"/>
        </w:rPr>
        <w:t>Em seguida, sobreveio acórdão que desproveu as apelações cíveis interpostas</w:t>
      </w:r>
      <w:r w:rsidR="004B453D">
        <w:rPr>
          <w:highlight w:val="white"/>
        </w:rPr>
        <w:t xml:space="preserve"> </w:t>
      </w:r>
      <w:r w:rsidR="004B453D" w:rsidRPr="00F721E3">
        <w:rPr>
          <w:sz w:val="20"/>
          <w:szCs w:val="18"/>
        </w:rPr>
        <w:t>(evento 7</w:t>
      </w:r>
      <w:r w:rsidR="004B453D">
        <w:rPr>
          <w:sz w:val="20"/>
          <w:szCs w:val="18"/>
        </w:rPr>
        <w:t xml:space="preserve"> – 2º grau</w:t>
      </w:r>
      <w:r w:rsidR="004B453D" w:rsidRPr="00F721E3">
        <w:rPr>
          <w:sz w:val="20"/>
          <w:szCs w:val="18"/>
        </w:rPr>
        <w:t>)</w:t>
      </w:r>
      <w:r>
        <w:rPr>
          <w:highlight w:val="white"/>
        </w:rPr>
        <w:t>, mantendo o reconhecimento da prescrição intercorrente</w:t>
      </w:r>
      <w:r w:rsidR="00A86064">
        <w:rPr>
          <w:highlight w:val="white"/>
        </w:rPr>
        <w:t>, com base nas balizas firmadas no REsp Repetitivo n. 1.340.553/RS,</w:t>
      </w:r>
      <w:r>
        <w:rPr>
          <w:highlight w:val="white"/>
        </w:rPr>
        <w:t xml:space="preserve"> </w:t>
      </w:r>
      <w:r w:rsidR="008925C7">
        <w:rPr>
          <w:highlight w:val="white"/>
        </w:rPr>
        <w:t>mas</w:t>
      </w:r>
      <w:r>
        <w:rPr>
          <w:highlight w:val="white"/>
        </w:rPr>
        <w:t xml:space="preserve">, para a surpresa da </w:t>
      </w:r>
      <w:r w:rsidR="004B453D">
        <w:rPr>
          <w:highlight w:val="white"/>
        </w:rPr>
        <w:t>recorrente</w:t>
      </w:r>
      <w:r>
        <w:rPr>
          <w:highlight w:val="white"/>
        </w:rPr>
        <w:t xml:space="preserve">, mesmo </w:t>
      </w:r>
      <w:r w:rsidR="004B453D">
        <w:rPr>
          <w:highlight w:val="white"/>
        </w:rPr>
        <w:t xml:space="preserve">aplicando </w:t>
      </w:r>
      <w:r>
        <w:rPr>
          <w:highlight w:val="white"/>
        </w:rPr>
        <w:t>expressa</w:t>
      </w:r>
      <w:r w:rsidR="004B453D">
        <w:rPr>
          <w:highlight w:val="white"/>
        </w:rPr>
        <w:t>mente</w:t>
      </w:r>
      <w:r>
        <w:rPr>
          <w:highlight w:val="white"/>
        </w:rPr>
        <w:t xml:space="preserve"> </w:t>
      </w:r>
      <w:r w:rsidR="004B453D">
        <w:rPr>
          <w:highlight w:val="white"/>
        </w:rPr>
        <w:t xml:space="preserve">o </w:t>
      </w:r>
      <w:r>
        <w:rPr>
          <w:highlight w:val="white"/>
        </w:rPr>
        <w:t xml:space="preserve">Tema n. 1.229/STJ ao caso vertente, </w:t>
      </w:r>
      <w:r w:rsidR="006F012D">
        <w:rPr>
          <w:highlight w:val="white"/>
        </w:rPr>
        <w:t xml:space="preserve">esse </w:t>
      </w:r>
      <w:r w:rsidR="006F012D">
        <w:rPr>
          <w:i/>
          <w:iCs/>
          <w:highlight w:val="white"/>
        </w:rPr>
        <w:t>decisum</w:t>
      </w:r>
      <w:r>
        <w:rPr>
          <w:highlight w:val="white"/>
        </w:rPr>
        <w:t xml:space="preserve"> </w:t>
      </w:r>
      <w:r w:rsidR="006F012D">
        <w:rPr>
          <w:highlight w:val="white"/>
        </w:rPr>
        <w:t xml:space="preserve">também manteve </w:t>
      </w:r>
      <w:r>
        <w:rPr>
          <w:highlight w:val="white"/>
        </w:rPr>
        <w:t xml:space="preserve">a condenação da parte executada </w:t>
      </w:r>
      <w:r w:rsidR="00F45B46" w:rsidRPr="00F45B46">
        <w:rPr>
          <w:sz w:val="22"/>
          <w:szCs w:val="20"/>
          <w:highlight w:val="white"/>
        </w:rPr>
        <w:t>– e vencedora –</w:t>
      </w:r>
      <w:r w:rsidR="00F45B46">
        <w:rPr>
          <w:highlight w:val="white"/>
        </w:rPr>
        <w:t xml:space="preserve"> </w:t>
      </w:r>
      <w:r>
        <w:rPr>
          <w:highlight w:val="white"/>
        </w:rPr>
        <w:t>ao pagamento dos honorários sucumbenciais</w:t>
      </w:r>
      <w:r w:rsidR="00A8616D">
        <w:rPr>
          <w:highlight w:val="white"/>
        </w:rPr>
        <w:t xml:space="preserve">, majorando o seu </w:t>
      </w:r>
      <w:r w:rsidR="00A8616D">
        <w:rPr>
          <w:i/>
          <w:iCs/>
          <w:highlight w:val="white"/>
        </w:rPr>
        <w:t>quantum</w:t>
      </w:r>
      <w:r>
        <w:rPr>
          <w:highlight w:val="white"/>
        </w:rPr>
        <w:t>.</w:t>
      </w:r>
    </w:p>
    <w:p w14:paraId="2BAFF982" w14:textId="396A0573" w:rsidR="004B453D" w:rsidRDefault="00641B3C" w:rsidP="00641B3C">
      <w:pPr>
        <w:pStyle w:val="SemEspaamento"/>
        <w:rPr>
          <w:highlight w:val="white"/>
        </w:rPr>
      </w:pPr>
      <w:r>
        <w:rPr>
          <w:highlight w:val="white"/>
        </w:rPr>
        <w:t xml:space="preserve">Diante desse contexto, a </w:t>
      </w:r>
      <w:r w:rsidR="004B453D">
        <w:rPr>
          <w:highlight w:val="white"/>
        </w:rPr>
        <w:t>recorrente</w:t>
      </w:r>
      <w:r>
        <w:rPr>
          <w:highlight w:val="white"/>
        </w:rPr>
        <w:t xml:space="preserve"> opôs embargos de declaração </w:t>
      </w:r>
      <w:r w:rsidR="004B453D" w:rsidRPr="00F721E3">
        <w:rPr>
          <w:sz w:val="20"/>
          <w:szCs w:val="18"/>
        </w:rPr>
        <w:t xml:space="preserve">(evento </w:t>
      </w:r>
      <w:r w:rsidR="004B453D">
        <w:rPr>
          <w:sz w:val="20"/>
          <w:szCs w:val="18"/>
        </w:rPr>
        <w:t>13</w:t>
      </w:r>
      <w:r w:rsidR="004B453D" w:rsidRPr="00F721E3">
        <w:rPr>
          <w:sz w:val="20"/>
          <w:szCs w:val="18"/>
        </w:rPr>
        <w:t>)</w:t>
      </w:r>
      <w:r>
        <w:rPr>
          <w:highlight w:val="white"/>
        </w:rPr>
        <w:t xml:space="preserve">, apontando, </w:t>
      </w:r>
      <w:r w:rsidR="00D22E88">
        <w:rPr>
          <w:highlight w:val="white"/>
        </w:rPr>
        <w:t>entre outros vícios</w:t>
      </w:r>
      <w:r>
        <w:rPr>
          <w:highlight w:val="white"/>
        </w:rPr>
        <w:t>, que o acórdão embargado se omitiu na aplicação</w:t>
      </w:r>
      <w:r w:rsidR="00A8616D">
        <w:rPr>
          <w:highlight w:val="white"/>
        </w:rPr>
        <w:t xml:space="preserve"> adequada</w:t>
      </w:r>
      <w:r>
        <w:rPr>
          <w:highlight w:val="white"/>
        </w:rPr>
        <w:t xml:space="preserve"> do Tema n. 1.229/STJ, incorrendo, também, em contradição interna, na medida em que firmou a premissa de que seria incabível a fixação de honorários sucumbenciais quando a exceção </w:t>
      </w:r>
      <w:r w:rsidR="00456B89">
        <w:rPr>
          <w:highlight w:val="white"/>
        </w:rPr>
        <w:t xml:space="preserve">de pré-executividade </w:t>
      </w:r>
      <w:r>
        <w:rPr>
          <w:highlight w:val="white"/>
        </w:rPr>
        <w:t>é acolhida em razão do reconhecimento da prescrição intercorrente, mas, em evidente contrassenso, manteve a condenação da parte executada aos ônus sucumbenciais.</w:t>
      </w:r>
      <w:r w:rsidR="004B453D">
        <w:rPr>
          <w:highlight w:val="white"/>
        </w:rPr>
        <w:t xml:space="preserve"> </w:t>
      </w:r>
    </w:p>
    <w:p w14:paraId="7CD68F5F" w14:textId="2187C036" w:rsidR="00641B3C" w:rsidRDefault="00641B3C" w:rsidP="00641B3C">
      <w:pPr>
        <w:pStyle w:val="SemEspaamento"/>
        <w:rPr>
          <w:highlight w:val="white"/>
        </w:rPr>
      </w:pPr>
      <w:r>
        <w:rPr>
          <w:highlight w:val="white"/>
        </w:rPr>
        <w:t xml:space="preserve">Ocorre que, </w:t>
      </w:r>
      <w:r w:rsidR="00D716C1">
        <w:rPr>
          <w:highlight w:val="white"/>
        </w:rPr>
        <w:t xml:space="preserve">surpreendendo novamente a </w:t>
      </w:r>
      <w:r w:rsidR="004B453D">
        <w:rPr>
          <w:highlight w:val="white"/>
        </w:rPr>
        <w:t>recorrente</w:t>
      </w:r>
      <w:r>
        <w:rPr>
          <w:highlight w:val="white"/>
        </w:rPr>
        <w:t xml:space="preserve">, os primeiros aclaratórios foram rejeitados </w:t>
      </w:r>
      <w:r w:rsidR="00D22E88" w:rsidRPr="00F721E3">
        <w:rPr>
          <w:sz w:val="20"/>
          <w:szCs w:val="18"/>
        </w:rPr>
        <w:t xml:space="preserve">(evento </w:t>
      </w:r>
      <w:r w:rsidR="00D22E88">
        <w:rPr>
          <w:sz w:val="20"/>
          <w:szCs w:val="18"/>
        </w:rPr>
        <w:t>29</w:t>
      </w:r>
      <w:r w:rsidR="00D22E88" w:rsidRPr="00F721E3">
        <w:rPr>
          <w:sz w:val="20"/>
          <w:szCs w:val="18"/>
        </w:rPr>
        <w:t>)</w:t>
      </w:r>
      <w:r>
        <w:rPr>
          <w:highlight w:val="white"/>
        </w:rPr>
        <w:t xml:space="preserve">, o que motivou a oposição de novos </w:t>
      </w:r>
      <w:r w:rsidR="00E57267">
        <w:rPr>
          <w:highlight w:val="white"/>
        </w:rPr>
        <w:t>embargos de declaração</w:t>
      </w:r>
      <w:r>
        <w:rPr>
          <w:highlight w:val="white"/>
        </w:rPr>
        <w:t xml:space="preserve"> </w:t>
      </w:r>
      <w:r w:rsidR="00D22E88" w:rsidRPr="00F721E3">
        <w:rPr>
          <w:sz w:val="20"/>
          <w:szCs w:val="18"/>
        </w:rPr>
        <w:t xml:space="preserve">(evento </w:t>
      </w:r>
      <w:r w:rsidR="00D22E88">
        <w:rPr>
          <w:sz w:val="20"/>
          <w:szCs w:val="18"/>
        </w:rPr>
        <w:t>39</w:t>
      </w:r>
      <w:r w:rsidR="00D22E88" w:rsidRPr="00F721E3">
        <w:rPr>
          <w:sz w:val="20"/>
          <w:szCs w:val="18"/>
        </w:rPr>
        <w:t>)</w:t>
      </w:r>
      <w:r>
        <w:rPr>
          <w:highlight w:val="white"/>
        </w:rPr>
        <w:t>, como forma de buscar, uma última vez, a correta aplicação do Tema mencionado pela Corte Local e, também, para fins de prequestionamento</w:t>
      </w:r>
      <w:r w:rsidR="00D716C1">
        <w:rPr>
          <w:highlight w:val="white"/>
        </w:rPr>
        <w:t xml:space="preserve"> </w:t>
      </w:r>
      <w:r w:rsidR="009F0BEC">
        <w:t xml:space="preserve">dos </w:t>
      </w:r>
      <w:r w:rsidR="009F0BEC" w:rsidRPr="00D07DE8">
        <w:t>arts. 85, 489, §1º, IV, e 1.022, I e II, do CPC</w:t>
      </w:r>
      <w:r>
        <w:rPr>
          <w:highlight w:val="white"/>
        </w:rPr>
        <w:t>.</w:t>
      </w:r>
    </w:p>
    <w:p w14:paraId="4E4735A3" w14:textId="0D81D998" w:rsidR="00641B3C" w:rsidRPr="003C5E37" w:rsidRDefault="00641B3C" w:rsidP="003C5E37">
      <w:pPr>
        <w:pStyle w:val="SemEspaamento"/>
        <w:rPr>
          <w:highlight w:val="white"/>
        </w:rPr>
      </w:pPr>
      <w:r>
        <w:rPr>
          <w:highlight w:val="white"/>
        </w:rPr>
        <w:t xml:space="preserve"> No entanto, uma vez mais, o aresto </w:t>
      </w:r>
      <w:r w:rsidR="00FA23AF">
        <w:rPr>
          <w:highlight w:val="white"/>
        </w:rPr>
        <w:t xml:space="preserve">ora recorrido </w:t>
      </w:r>
      <w:r>
        <w:rPr>
          <w:highlight w:val="white"/>
        </w:rPr>
        <w:t xml:space="preserve">rejeitou os segundos aclaratórios opostos </w:t>
      </w:r>
      <w:r w:rsidR="00FA23AF" w:rsidRPr="00F721E3">
        <w:rPr>
          <w:sz w:val="20"/>
          <w:szCs w:val="18"/>
        </w:rPr>
        <w:t xml:space="preserve">(evento </w:t>
      </w:r>
      <w:r w:rsidR="00FA23AF">
        <w:rPr>
          <w:sz w:val="20"/>
          <w:szCs w:val="18"/>
        </w:rPr>
        <w:t>71</w:t>
      </w:r>
      <w:r w:rsidR="00FA23AF" w:rsidRPr="00F721E3">
        <w:rPr>
          <w:sz w:val="20"/>
          <w:szCs w:val="18"/>
        </w:rPr>
        <w:t>)</w:t>
      </w:r>
      <w:r>
        <w:rPr>
          <w:highlight w:val="white"/>
        </w:rPr>
        <w:t xml:space="preserve">, </w:t>
      </w:r>
      <w:r w:rsidRPr="00C233D3">
        <w:rPr>
          <w:highlight w:val="white"/>
          <w:u w:val="single"/>
        </w:rPr>
        <w:t>insistindo</w:t>
      </w:r>
      <w:r w:rsidRPr="00C233D3">
        <w:rPr>
          <w:highlight w:val="white"/>
        </w:rPr>
        <w:t xml:space="preserve"> </w:t>
      </w:r>
      <w:r w:rsidRPr="00C233D3">
        <w:rPr>
          <w:highlight w:val="white"/>
          <w:u w:val="single"/>
        </w:rPr>
        <w:t>em</w:t>
      </w:r>
      <w:r w:rsidRPr="00C233D3">
        <w:rPr>
          <w:highlight w:val="white"/>
        </w:rPr>
        <w:t xml:space="preserve"> </w:t>
      </w:r>
      <w:r w:rsidRPr="00C233D3">
        <w:rPr>
          <w:highlight w:val="white"/>
          <w:u w:val="single"/>
        </w:rPr>
        <w:t>descumprir</w:t>
      </w:r>
      <w:r w:rsidRPr="00C233D3">
        <w:rPr>
          <w:highlight w:val="white"/>
        </w:rPr>
        <w:t xml:space="preserve"> </w:t>
      </w:r>
      <w:r w:rsidRPr="00C233D3">
        <w:rPr>
          <w:highlight w:val="white"/>
          <w:u w:val="single"/>
        </w:rPr>
        <w:t>a</w:t>
      </w:r>
      <w:r w:rsidRPr="00C233D3">
        <w:rPr>
          <w:highlight w:val="white"/>
        </w:rPr>
        <w:t xml:space="preserve"> </w:t>
      </w:r>
      <w:r w:rsidRPr="00C233D3">
        <w:rPr>
          <w:highlight w:val="white"/>
          <w:u w:val="single"/>
        </w:rPr>
        <w:t>tese</w:t>
      </w:r>
      <w:r w:rsidRPr="00C233D3">
        <w:rPr>
          <w:highlight w:val="white"/>
        </w:rPr>
        <w:t xml:space="preserve"> </w:t>
      </w:r>
      <w:r w:rsidRPr="00C233D3">
        <w:rPr>
          <w:highlight w:val="white"/>
          <w:u w:val="single"/>
        </w:rPr>
        <w:t>vinculante</w:t>
      </w:r>
      <w:r w:rsidRPr="00C233D3">
        <w:rPr>
          <w:highlight w:val="white"/>
        </w:rPr>
        <w:t xml:space="preserve"> firmada </w:t>
      </w:r>
      <w:r w:rsidR="00DF1FE4" w:rsidRPr="00C233D3">
        <w:rPr>
          <w:highlight w:val="white"/>
        </w:rPr>
        <w:t xml:space="preserve">pela </w:t>
      </w:r>
      <w:r w:rsidRPr="00C233D3">
        <w:rPr>
          <w:highlight w:val="white"/>
        </w:rPr>
        <w:t>Colenda Corte</w:t>
      </w:r>
      <w:r w:rsidR="00DF1FE4" w:rsidRPr="00C233D3">
        <w:rPr>
          <w:highlight w:val="white"/>
        </w:rPr>
        <w:t xml:space="preserve"> Superior</w:t>
      </w:r>
      <w:r>
        <w:rPr>
          <w:highlight w:val="white"/>
        </w:rPr>
        <w:t xml:space="preserve">, e continuou irredutível em reconhecer o inegável equívoco em relação ao fato de que o Tema Repetitivo n. 1.229/STJ impede a fixação de honorários de sucumbência </w:t>
      </w:r>
      <w:r w:rsidR="00DF1FE4">
        <w:rPr>
          <w:highlight w:val="white"/>
        </w:rPr>
        <w:t xml:space="preserve">para qualquer das partes </w:t>
      </w:r>
      <w:r>
        <w:rPr>
          <w:highlight w:val="white"/>
        </w:rPr>
        <w:t>no presente caso</w:t>
      </w:r>
      <w:r w:rsidR="00B36016">
        <w:rPr>
          <w:highlight w:val="white"/>
        </w:rPr>
        <w:t>, incorrendo na violação direta aos dispositivos indicados</w:t>
      </w:r>
      <w:r w:rsidR="003C5E37">
        <w:rPr>
          <w:highlight w:val="white"/>
        </w:rPr>
        <w:t>, que serão expostos abaixo</w:t>
      </w:r>
      <w:r w:rsidRPr="003C5E37">
        <w:rPr>
          <w:highlight w:val="white"/>
        </w:rPr>
        <w:t xml:space="preserve">.  </w:t>
      </w:r>
    </w:p>
    <w:p w14:paraId="1CE17E04" w14:textId="1949082C" w:rsidR="00641B3C" w:rsidRDefault="00641B3C" w:rsidP="00641B3C">
      <w:pPr>
        <w:pStyle w:val="SemEspaamento"/>
        <w:rPr>
          <w:highlight w:val="white"/>
        </w:rPr>
      </w:pPr>
      <w:r>
        <w:rPr>
          <w:highlight w:val="white"/>
        </w:rPr>
        <w:t xml:space="preserve">Como visto, Excelência, não resta outra alternativa </w:t>
      </w:r>
      <w:r w:rsidR="00DF1FE4">
        <w:rPr>
          <w:highlight w:val="white"/>
        </w:rPr>
        <w:t xml:space="preserve">à recorrente </w:t>
      </w:r>
      <w:r>
        <w:rPr>
          <w:highlight w:val="white"/>
        </w:rPr>
        <w:t xml:space="preserve">senão a </w:t>
      </w:r>
      <w:r w:rsidR="00DF1FE4">
        <w:rPr>
          <w:highlight w:val="white"/>
        </w:rPr>
        <w:t>interposição do presente recurso especial, como forma de</w:t>
      </w:r>
      <w:r w:rsidR="00B36016">
        <w:rPr>
          <w:highlight w:val="white"/>
        </w:rPr>
        <w:t xml:space="preserve"> corrigir essa grave injustiça </w:t>
      </w:r>
      <w:r w:rsidR="007E4DB7">
        <w:rPr>
          <w:highlight w:val="white"/>
        </w:rPr>
        <w:t xml:space="preserve">a que está sendo submetida, </w:t>
      </w:r>
      <w:r w:rsidR="0023521F">
        <w:rPr>
          <w:highlight w:val="white"/>
        </w:rPr>
        <w:t>decorrente do</w:t>
      </w:r>
      <w:r w:rsidR="00A71A4A">
        <w:rPr>
          <w:highlight w:val="white"/>
        </w:rPr>
        <w:t xml:space="preserve"> desrespeito aos dispositivos legais expostos acima e do</w:t>
      </w:r>
      <w:r w:rsidR="0023521F">
        <w:rPr>
          <w:highlight w:val="white"/>
        </w:rPr>
        <w:t xml:space="preserve"> equívoco reiterado na aplicação de precedente vinculante</w:t>
      </w:r>
      <w:r w:rsidR="007E4DB7">
        <w:rPr>
          <w:highlight w:val="white"/>
        </w:rPr>
        <w:t xml:space="preserve"> que impede a fixação de honorários sucumbenciais no caso</w:t>
      </w:r>
      <w:r w:rsidR="0023521F">
        <w:rPr>
          <w:highlight w:val="white"/>
        </w:rPr>
        <w:t>, de observância obrigatória, conforme será detalhado a seguir</w:t>
      </w:r>
      <w:r>
        <w:rPr>
          <w:highlight w:val="white"/>
        </w:rPr>
        <w:t>.</w:t>
      </w:r>
    </w:p>
    <w:p w14:paraId="67E4D011" w14:textId="11AC2417" w:rsidR="00C95077" w:rsidRDefault="00C95077" w:rsidP="00641B3C">
      <w:pPr>
        <w:pStyle w:val="SemEspaamento"/>
        <w:numPr>
          <w:ilvl w:val="0"/>
          <w:numId w:val="0"/>
        </w:numPr>
        <w:ind w:left="1701"/>
      </w:pPr>
    </w:p>
    <w:p w14:paraId="0D561596" w14:textId="77777777" w:rsidR="00B97A21" w:rsidRPr="007039F9" w:rsidRDefault="00B97A21" w:rsidP="00B97A21">
      <w:pPr>
        <w:pStyle w:val="Ttulo"/>
      </w:pPr>
      <w:r w:rsidRPr="007039F9">
        <w:t>I</w:t>
      </w:r>
      <w:r>
        <w:t>I</w:t>
      </w:r>
      <w:r w:rsidRPr="007039F9">
        <w:t xml:space="preserve"> – </w:t>
      </w:r>
      <w:r>
        <w:t xml:space="preserve">DO </w:t>
      </w:r>
      <w:r w:rsidRPr="007039F9">
        <w:t>CABIMENTO DO RECURSO ESPECIAL</w:t>
      </w:r>
    </w:p>
    <w:p w14:paraId="3A86CBAC" w14:textId="77777777" w:rsidR="00B97A21" w:rsidRPr="00F927E7" w:rsidRDefault="00B97A21" w:rsidP="00B97A21">
      <w:pPr>
        <w:pStyle w:val="SemEspaamento"/>
        <w:numPr>
          <w:ilvl w:val="0"/>
          <w:numId w:val="0"/>
        </w:numPr>
        <w:ind w:left="1701"/>
      </w:pPr>
    </w:p>
    <w:p w14:paraId="60405774" w14:textId="29EDA8D0" w:rsidR="00B97A21" w:rsidRDefault="00B97A21" w:rsidP="00B97A21">
      <w:pPr>
        <w:pStyle w:val="SemEspaamento"/>
      </w:pPr>
      <w:r>
        <w:t xml:space="preserve">Como adiantado, Excelência, o presente </w:t>
      </w:r>
      <w:r w:rsidRPr="007039F9">
        <w:t>recurso especial encontra amparo no art. 105, III, alínea</w:t>
      </w:r>
      <w:r w:rsidR="002F2649">
        <w:t>s</w:t>
      </w:r>
      <w:r w:rsidRPr="007039F9">
        <w:t xml:space="preserve"> ‘a’</w:t>
      </w:r>
      <w:r w:rsidR="002F2649">
        <w:t xml:space="preserve"> e ‘c’</w:t>
      </w:r>
      <w:r w:rsidRPr="007039F9">
        <w:t>, da Constituição Federal, uma vez que</w:t>
      </w:r>
      <w:r>
        <w:t xml:space="preserve">, como se verá na sequência, os arestos recorridos negaram vigência aos </w:t>
      </w:r>
      <w:r w:rsidRPr="00D07DE8">
        <w:t>arts. 85, 489, §1º, IV, e 1.022, I e II, do CPC</w:t>
      </w:r>
      <w:r w:rsidR="002F2649">
        <w:t xml:space="preserve"> e destoaram do aresto paradigma, de eficácia vinculante</w:t>
      </w:r>
      <w:r>
        <w:t xml:space="preserve">, sobretudo porque </w:t>
      </w:r>
      <w:r w:rsidR="00C271F1">
        <w:t xml:space="preserve">impuseram honorários de sucumbência à parte vencedora e </w:t>
      </w:r>
      <w:r>
        <w:t>não aplicaram</w:t>
      </w:r>
      <w:r w:rsidR="00C271F1">
        <w:t>, de forma correta,</w:t>
      </w:r>
      <w:r>
        <w:t xml:space="preserve"> o Tema </w:t>
      </w:r>
      <w:r w:rsidR="00C271F1">
        <w:t xml:space="preserve">Repetitivo </w:t>
      </w:r>
      <w:r>
        <w:t>n. 1.229/STJ</w:t>
      </w:r>
      <w:r w:rsidR="007E6CB9">
        <w:t>, que impossibilita a condenação a</w:t>
      </w:r>
      <w:r>
        <w:t>os honorários sucumbenciais</w:t>
      </w:r>
      <w:r w:rsidR="00692A54" w:rsidRPr="00692A54">
        <w:t xml:space="preserve"> </w:t>
      </w:r>
      <w:r w:rsidR="00692A54">
        <w:t>impostos contra a recorrente</w:t>
      </w:r>
      <w:r w:rsidRPr="007039F9">
        <w:t>.</w:t>
      </w:r>
    </w:p>
    <w:p w14:paraId="1F67F268" w14:textId="4781818E" w:rsidR="00B97A21" w:rsidRPr="009A1B3B" w:rsidRDefault="00653372" w:rsidP="00B97A21">
      <w:pPr>
        <w:pStyle w:val="SemEspaamento"/>
      </w:pPr>
      <w:r>
        <w:t>A</w:t>
      </w:r>
      <w:r w:rsidR="00B97A21">
        <w:t xml:space="preserve"> recorrente ressalta</w:t>
      </w:r>
      <w:r w:rsidR="00B97A21" w:rsidRPr="00DC736D">
        <w:t xml:space="preserve">, desde já, que os dispositivos legais </w:t>
      </w:r>
      <w:r w:rsidR="00B97A21">
        <w:t>violados</w:t>
      </w:r>
      <w:r w:rsidR="00B97A21" w:rsidRPr="00DC736D">
        <w:t xml:space="preserve"> foram prequestionados </w:t>
      </w:r>
      <w:r w:rsidR="007E6CB9">
        <w:t xml:space="preserve">nos últimos aclaratórios e </w:t>
      </w:r>
      <w:r w:rsidR="00B97A21" w:rsidRPr="006E6ACE">
        <w:t>nos r. acórdãos recorridos</w:t>
      </w:r>
      <w:r w:rsidR="00B97A21">
        <w:t xml:space="preserve"> </w:t>
      </w:r>
      <w:r w:rsidR="00B97A21" w:rsidRPr="00260110">
        <w:rPr>
          <w:sz w:val="20"/>
          <w:szCs w:val="18"/>
        </w:rPr>
        <w:t>(eventos</w:t>
      </w:r>
      <w:r w:rsidR="007E6CB9">
        <w:rPr>
          <w:sz w:val="20"/>
          <w:szCs w:val="18"/>
        </w:rPr>
        <w:t xml:space="preserve"> 7, 29 e 71</w:t>
      </w:r>
      <w:r w:rsidR="00B97A21" w:rsidRPr="00260110">
        <w:rPr>
          <w:sz w:val="20"/>
          <w:szCs w:val="18"/>
        </w:rPr>
        <w:t>)</w:t>
      </w:r>
      <w:r w:rsidR="00B97A21">
        <w:t xml:space="preserve"> e</w:t>
      </w:r>
      <w:r w:rsidR="00AA4DEA">
        <w:t xml:space="preserve"> a matéria é eminentemente de direito, porquanto trata </w:t>
      </w:r>
      <w:r w:rsidR="00A71A4A">
        <w:t xml:space="preserve">somente </w:t>
      </w:r>
      <w:r w:rsidR="00AA4DEA">
        <w:t xml:space="preserve">sobre </w:t>
      </w:r>
      <w:r w:rsidR="00AE4556">
        <w:t xml:space="preserve">os honorários de sucumbência, que, diga-se, </w:t>
      </w:r>
      <w:r w:rsidR="00AE4556" w:rsidRPr="005A0D12">
        <w:rPr>
          <w:b/>
          <w:bCs/>
        </w:rPr>
        <w:t>constituem matéria de ordem pública e podem ser revistas a qualquer momento, inclusive de ofício</w:t>
      </w:r>
      <w:r w:rsidR="00AE4556">
        <w:t>, conforme</w:t>
      </w:r>
      <w:r w:rsidR="00A36A7C">
        <w:t xml:space="preserve"> sedimentado </w:t>
      </w:r>
      <w:r w:rsidR="005A0D12">
        <w:t xml:space="preserve">pela </w:t>
      </w:r>
      <w:r w:rsidR="00A36A7C">
        <w:t xml:space="preserve">Colenda Corte da Cidadania </w:t>
      </w:r>
      <w:r w:rsidR="00A36A7C" w:rsidRPr="006C566F">
        <w:rPr>
          <w:sz w:val="20"/>
          <w:szCs w:val="18"/>
        </w:rPr>
        <w:t>(</w:t>
      </w:r>
      <w:r w:rsidR="00007D12" w:rsidRPr="006C566F">
        <w:rPr>
          <w:sz w:val="20"/>
          <w:szCs w:val="18"/>
        </w:rPr>
        <w:t>AgInt no EDs no AREsp n. 1.33</w:t>
      </w:r>
      <w:r w:rsidR="00CD1123" w:rsidRPr="006C566F">
        <w:rPr>
          <w:sz w:val="20"/>
          <w:szCs w:val="18"/>
        </w:rPr>
        <w:t xml:space="preserve">6.265/SP, rel. Min. </w:t>
      </w:r>
      <w:r w:rsidR="006C566F" w:rsidRPr="006C566F">
        <w:rPr>
          <w:sz w:val="20"/>
          <w:szCs w:val="18"/>
        </w:rPr>
        <w:t xml:space="preserve">Marco Aurélio </w:t>
      </w:r>
      <w:proofErr w:type="spellStart"/>
      <w:r w:rsidR="006C566F" w:rsidRPr="006C566F">
        <w:rPr>
          <w:sz w:val="20"/>
          <w:szCs w:val="18"/>
        </w:rPr>
        <w:t>Belizze</w:t>
      </w:r>
      <w:proofErr w:type="spellEnd"/>
      <w:r w:rsidR="006C566F" w:rsidRPr="006C566F">
        <w:rPr>
          <w:sz w:val="20"/>
          <w:szCs w:val="18"/>
        </w:rPr>
        <w:t>, 3ª Turma, j. em 25.3.2019)</w:t>
      </w:r>
      <w:r w:rsidR="00B97A21" w:rsidRPr="009A1B3B">
        <w:t>.</w:t>
      </w:r>
    </w:p>
    <w:p w14:paraId="3F2430CA" w14:textId="77777777" w:rsidR="00B97A21" w:rsidRPr="004A3F4E" w:rsidRDefault="00B97A21" w:rsidP="00B97A21">
      <w:pPr>
        <w:pStyle w:val="SemEspaamento"/>
      </w:pPr>
      <w:r w:rsidRPr="007039F9">
        <w:t xml:space="preserve">Desse modo, </w:t>
      </w:r>
      <w:r>
        <w:t>uma vez preenchidos os requisitos legais autorizadores, o conhecimento e a admissão do presente recurso é medida que se impõe</w:t>
      </w:r>
      <w:r w:rsidRPr="007039F9">
        <w:t>.</w:t>
      </w:r>
    </w:p>
    <w:p w14:paraId="224D5F84" w14:textId="77777777" w:rsidR="00B97A21" w:rsidRDefault="00B97A21" w:rsidP="001633B3">
      <w:pPr>
        <w:pStyle w:val="SemEspaamento"/>
        <w:numPr>
          <w:ilvl w:val="0"/>
          <w:numId w:val="0"/>
        </w:numPr>
      </w:pPr>
    </w:p>
    <w:p w14:paraId="01900FD4" w14:textId="39300D63" w:rsidR="0095388A" w:rsidRDefault="0095388A" w:rsidP="0095388A">
      <w:pPr>
        <w:pStyle w:val="Ttulo"/>
      </w:pPr>
      <w:r w:rsidRPr="007039F9">
        <w:t>I</w:t>
      </w:r>
      <w:r>
        <w:t>II</w:t>
      </w:r>
      <w:r w:rsidRPr="007039F9">
        <w:t xml:space="preserve"> –</w:t>
      </w:r>
      <w:r>
        <w:t xml:space="preserve"> RAZÕES</w:t>
      </w:r>
      <w:r w:rsidRPr="00136102">
        <w:t xml:space="preserve"> JURÍDIC</w:t>
      </w:r>
      <w:r>
        <w:t>A</w:t>
      </w:r>
      <w:r w:rsidRPr="00136102">
        <w:t>S</w:t>
      </w:r>
      <w:r>
        <w:t xml:space="preserve"> DO RECURSO FUNDAMENTADO NO ART. 105, III, “A”</w:t>
      </w:r>
      <w:r w:rsidR="005708C6">
        <w:t xml:space="preserve"> e “C”</w:t>
      </w:r>
      <w:r>
        <w:t>, DA CF</w:t>
      </w:r>
      <w:r w:rsidR="001C2102">
        <w:t>/88.</w:t>
      </w:r>
    </w:p>
    <w:p w14:paraId="0EBBE8A6" w14:textId="5FB7CCE1" w:rsidR="0095388A" w:rsidRDefault="0095388A" w:rsidP="0095388A">
      <w:pPr>
        <w:pStyle w:val="Ttulo"/>
      </w:pPr>
      <w:r w:rsidRPr="00136102">
        <w:t>I</w:t>
      </w:r>
      <w:r>
        <w:t>I</w:t>
      </w:r>
      <w:r w:rsidRPr="00136102">
        <w:t>I</w:t>
      </w:r>
      <w:r>
        <w:t>.1</w:t>
      </w:r>
      <w:r w:rsidRPr="00136102">
        <w:t xml:space="preserve"> –</w:t>
      </w:r>
      <w:r>
        <w:t xml:space="preserve"> Arestos recorridos que afrontaram diretamente o art. 85 do CPC</w:t>
      </w:r>
      <w:r w:rsidR="00E749C8">
        <w:t>, o que é reforçado</w:t>
      </w:r>
      <w:r>
        <w:t xml:space="preserve"> </w:t>
      </w:r>
      <w:r w:rsidR="00E749C8">
        <w:t>diante do desrespeito a</w:t>
      </w:r>
      <w:r w:rsidR="006D7D6E">
        <w:t>o</w:t>
      </w:r>
      <w:r w:rsidR="00EE4A7B">
        <w:t xml:space="preserve"> Tema n. 1.229/STJ </w:t>
      </w:r>
    </w:p>
    <w:p w14:paraId="51F57A47" w14:textId="77777777" w:rsidR="005706E3" w:rsidRPr="00E73AEE" w:rsidRDefault="005706E3" w:rsidP="00213209">
      <w:pPr>
        <w:pStyle w:val="SemEspaamento"/>
        <w:numPr>
          <w:ilvl w:val="0"/>
          <w:numId w:val="0"/>
        </w:numPr>
        <w:ind w:left="1701"/>
        <w:rPr>
          <w:sz w:val="20"/>
          <w:szCs w:val="18"/>
          <w:highlight w:val="yellow"/>
        </w:rPr>
      </w:pPr>
    </w:p>
    <w:p w14:paraId="3845CEA8" w14:textId="4A26779E" w:rsidR="00EE4A7B" w:rsidRDefault="00EE4A7B" w:rsidP="009669C7">
      <w:pPr>
        <w:pStyle w:val="SemEspaamento"/>
      </w:pPr>
      <w:r w:rsidRPr="006829CF">
        <w:t xml:space="preserve">Dispensando maiores digressões, Excelência, </w:t>
      </w:r>
      <w:r w:rsidR="00F550A7" w:rsidRPr="006829CF">
        <w:t>não há dúvida de que</w:t>
      </w:r>
      <w:r w:rsidR="004C4B85">
        <w:t xml:space="preserve">, ao </w:t>
      </w:r>
      <w:r w:rsidR="004C4B85" w:rsidRPr="00636ABA">
        <w:t>condenarem a parte vencedora ao</w:t>
      </w:r>
      <w:r w:rsidR="00636ABA" w:rsidRPr="00636ABA">
        <w:t>s</w:t>
      </w:r>
      <w:r w:rsidR="004C4B85">
        <w:t xml:space="preserve"> ônus sucumbenciais,</w:t>
      </w:r>
      <w:r w:rsidR="00F550A7" w:rsidRPr="006829CF">
        <w:t xml:space="preserve"> os arestos recorridos infringiram frontalmente o art. 85 do CPC</w:t>
      </w:r>
      <w:r w:rsidR="00D72792">
        <w:t>, inclusive</w:t>
      </w:r>
      <w:r w:rsidR="00F550A7" w:rsidRPr="006829CF">
        <w:t xml:space="preserve"> </w:t>
      </w:r>
      <w:r w:rsidR="00D72792">
        <w:t>por</w:t>
      </w:r>
      <w:r w:rsidR="0089267E">
        <w:t>que</w:t>
      </w:r>
      <w:r w:rsidR="00D72792">
        <w:t xml:space="preserve"> </w:t>
      </w:r>
      <w:r w:rsidR="00C43F84">
        <w:t xml:space="preserve">também </w:t>
      </w:r>
      <w:r w:rsidR="00245923" w:rsidRPr="006829CF">
        <w:t>utilizar</w:t>
      </w:r>
      <w:r w:rsidR="0089267E">
        <w:t>a</w:t>
      </w:r>
      <w:r w:rsidR="00B4459B">
        <w:t>m</w:t>
      </w:r>
      <w:r w:rsidR="00245923" w:rsidRPr="006829CF">
        <w:t xml:space="preserve"> o Tema n. 1.229/STJ como </w:t>
      </w:r>
      <w:r w:rsidR="00B4459B">
        <w:t>razões</w:t>
      </w:r>
      <w:r w:rsidR="00245923" w:rsidRPr="006829CF">
        <w:t xml:space="preserve"> de decidir,</w:t>
      </w:r>
      <w:r w:rsidR="004C4B85">
        <w:t xml:space="preserve"> </w:t>
      </w:r>
      <w:r w:rsidR="00245923" w:rsidRPr="006829CF">
        <w:t>mas</w:t>
      </w:r>
      <w:r w:rsidR="00F4530D">
        <w:t xml:space="preserve">, </w:t>
      </w:r>
      <w:r w:rsidR="00C43F84">
        <w:t>em contrassenso</w:t>
      </w:r>
      <w:r w:rsidR="00F4530D">
        <w:t>,</w:t>
      </w:r>
      <w:r w:rsidR="00245923" w:rsidRPr="006829CF">
        <w:t xml:space="preserve"> mant</w:t>
      </w:r>
      <w:r w:rsidR="0089267E">
        <w:t>iveram</w:t>
      </w:r>
      <w:r w:rsidR="00245923" w:rsidRPr="006829CF">
        <w:t xml:space="preserve"> a condenação da recorrente ao</w:t>
      </w:r>
      <w:r w:rsidR="009669C7">
        <w:t xml:space="preserve"> pagamento de</w:t>
      </w:r>
      <w:r w:rsidR="00245923" w:rsidRPr="006829CF">
        <w:t xml:space="preserve"> honorários </w:t>
      </w:r>
      <w:r w:rsidR="0089267E">
        <w:t>de sucumbência</w:t>
      </w:r>
      <w:r w:rsidR="00245923" w:rsidRPr="006829CF">
        <w:t xml:space="preserve">, </w:t>
      </w:r>
      <w:r w:rsidR="00A640D2" w:rsidRPr="006829CF">
        <w:t>o que impõe o provimento deste reclamo extremo</w:t>
      </w:r>
      <w:r w:rsidR="00BB1963">
        <w:t>,</w:t>
      </w:r>
      <w:r w:rsidR="00A640D2" w:rsidRPr="006829CF">
        <w:t xml:space="preserve"> </w:t>
      </w:r>
      <w:r w:rsidR="00F4530D">
        <w:t xml:space="preserve">como forma de </w:t>
      </w:r>
      <w:r w:rsidR="00A640D2" w:rsidRPr="006829CF">
        <w:t>assegurar</w:t>
      </w:r>
      <w:r w:rsidR="00F4530D">
        <w:t>, também,</w:t>
      </w:r>
      <w:r w:rsidR="00A640D2" w:rsidRPr="006829CF">
        <w:t xml:space="preserve"> a observância de entendimento </w:t>
      </w:r>
      <w:r w:rsidR="006829CF" w:rsidRPr="006829CF">
        <w:t>vinculante oriundo desse Egrégio Tribunal Superior.</w:t>
      </w:r>
    </w:p>
    <w:p w14:paraId="21F1CC10" w14:textId="691149A2" w:rsidR="006B25DA" w:rsidRPr="003D0FDC" w:rsidRDefault="006B25DA" w:rsidP="006B25DA">
      <w:pPr>
        <w:pStyle w:val="SemEspaamento"/>
        <w:rPr>
          <w:highlight w:val="white"/>
        </w:rPr>
      </w:pPr>
      <w:r>
        <w:rPr>
          <w:highlight w:val="white"/>
        </w:rPr>
        <w:t xml:space="preserve">Ora, como se sabe, </w:t>
      </w:r>
      <w:r>
        <w:t xml:space="preserve">o </w:t>
      </w:r>
      <w:r w:rsidRPr="006E4D25">
        <w:t>art. 85 do CPC</w:t>
      </w:r>
      <w:r>
        <w:t xml:space="preserve"> estabelece que </w:t>
      </w:r>
      <w:r>
        <w:rPr>
          <w:b/>
        </w:rPr>
        <w:t xml:space="preserve">a PARTE VENCIDA </w:t>
      </w:r>
      <w:r>
        <w:t xml:space="preserve">poderá ser condenada ao pagamento de honorários sucumbenciais, que são </w:t>
      </w:r>
      <w:r w:rsidRPr="0050515A">
        <w:rPr>
          <w:b/>
        </w:rPr>
        <w:t xml:space="preserve">direito </w:t>
      </w:r>
      <w:r w:rsidRPr="00FA7158">
        <w:rPr>
          <w:b/>
          <w:u w:val="single"/>
        </w:rPr>
        <w:t>do</w:t>
      </w:r>
      <w:r w:rsidRPr="0050515A">
        <w:rPr>
          <w:b/>
        </w:rPr>
        <w:t xml:space="preserve"> </w:t>
      </w:r>
      <w:r w:rsidRPr="0050515A">
        <w:rPr>
          <w:b/>
          <w:u w:val="single"/>
        </w:rPr>
        <w:t>advogado</w:t>
      </w:r>
      <w:r w:rsidRPr="0050515A">
        <w:rPr>
          <w:b/>
        </w:rPr>
        <w:t xml:space="preserve"> da </w:t>
      </w:r>
      <w:r w:rsidR="00C96A41" w:rsidRPr="00FA7158">
        <w:rPr>
          <w:b/>
          <w:u w:val="single"/>
        </w:rPr>
        <w:t>PARTE</w:t>
      </w:r>
      <w:r w:rsidR="00C96A41" w:rsidRPr="0050515A">
        <w:rPr>
          <w:b/>
        </w:rPr>
        <w:t xml:space="preserve"> </w:t>
      </w:r>
      <w:r w:rsidRPr="00FA7158">
        <w:rPr>
          <w:b/>
          <w:u w:val="single"/>
        </w:rPr>
        <w:t>VENCEDORA</w:t>
      </w:r>
      <w:r>
        <w:t xml:space="preserve"> </w:t>
      </w:r>
      <w:r w:rsidRPr="00B93623">
        <w:rPr>
          <w:sz w:val="20"/>
          <w:szCs w:val="18"/>
        </w:rPr>
        <w:t xml:space="preserve">(art. 85, </w:t>
      </w:r>
      <w:r w:rsidRPr="00B93623">
        <w:rPr>
          <w:i/>
          <w:iCs/>
          <w:sz w:val="20"/>
          <w:szCs w:val="18"/>
        </w:rPr>
        <w:t xml:space="preserve">caput </w:t>
      </w:r>
      <w:r w:rsidRPr="00B93623">
        <w:rPr>
          <w:sz w:val="20"/>
          <w:szCs w:val="18"/>
        </w:rPr>
        <w:t>e §14º, do CPC)</w:t>
      </w:r>
      <w:r>
        <w:t xml:space="preserve"> e, portanto, representam remuneração destinada aos advogados que venceram a causa </w:t>
      </w:r>
      <w:r w:rsidRPr="00A54240">
        <w:rPr>
          <w:sz w:val="22"/>
          <w:szCs w:val="20"/>
        </w:rPr>
        <w:t xml:space="preserve">– e não aos </w:t>
      </w:r>
      <w:r w:rsidR="00233949">
        <w:rPr>
          <w:sz w:val="22"/>
          <w:szCs w:val="20"/>
        </w:rPr>
        <w:t xml:space="preserve">procuradores </w:t>
      </w:r>
      <w:r w:rsidRPr="00A54240">
        <w:rPr>
          <w:sz w:val="22"/>
          <w:szCs w:val="20"/>
        </w:rPr>
        <w:t>que foram vencidos</w:t>
      </w:r>
      <w:r>
        <w:t xml:space="preserve">. </w:t>
      </w:r>
    </w:p>
    <w:p w14:paraId="61088F02" w14:textId="6386D92F" w:rsidR="00B4459B" w:rsidRDefault="00233949" w:rsidP="00A107E4">
      <w:pPr>
        <w:pStyle w:val="SemEspaamento"/>
      </w:pPr>
      <w:r>
        <w:t xml:space="preserve">E </w:t>
      </w:r>
      <w:r w:rsidR="00B4459B">
        <w:t>o Tema n. 1.229/STJ é categórico em firmar que, “</w:t>
      </w:r>
      <w:r w:rsidR="00B4459B" w:rsidRPr="009669C7">
        <w:rPr>
          <w:i/>
          <w:iCs/>
        </w:rPr>
        <w:t xml:space="preserve">À luz do princípio da causalidade, </w:t>
      </w:r>
      <w:r w:rsidR="00B4459B" w:rsidRPr="00B4459B">
        <w:rPr>
          <w:b/>
          <w:bCs/>
          <w:i/>
          <w:iCs/>
        </w:rPr>
        <w:t>não cabe fixação de honorários</w:t>
      </w:r>
      <w:r w:rsidR="00B4459B" w:rsidRPr="009669C7">
        <w:rPr>
          <w:i/>
          <w:iCs/>
        </w:rPr>
        <w:t xml:space="preserve"> </w:t>
      </w:r>
      <w:r w:rsidR="00B4459B" w:rsidRPr="008E219E">
        <w:rPr>
          <w:b/>
          <w:bCs/>
          <w:i/>
          <w:iCs/>
        </w:rPr>
        <w:t>advocatícios quando a exceção de pré-executividade é acolhida para extinguir a execução fiscal em razão do reconhecimento da prescrição intercorrente</w:t>
      </w:r>
      <w:r w:rsidR="00B4459B" w:rsidRPr="009669C7">
        <w:rPr>
          <w:i/>
          <w:iCs/>
        </w:rPr>
        <w:t>, prevista no art. 40 da Lei n. 6.830/1980</w:t>
      </w:r>
      <w:r w:rsidR="00B4459B">
        <w:t>“</w:t>
      </w:r>
      <w:r w:rsidR="008E219E">
        <w:t>, que é exatamente o caso dos autos</w:t>
      </w:r>
      <w:r w:rsidR="00B4459B">
        <w:t>.</w:t>
      </w:r>
    </w:p>
    <w:p w14:paraId="441E4C26" w14:textId="1F35F097" w:rsidR="006829CF" w:rsidRDefault="00233949" w:rsidP="00A107E4">
      <w:pPr>
        <w:pStyle w:val="SemEspaamento"/>
      </w:pPr>
      <w:r>
        <w:t xml:space="preserve">No mais, cumpre expor, também, que </w:t>
      </w:r>
      <w:r w:rsidR="00BC603F">
        <w:t>“</w:t>
      </w:r>
      <w:r w:rsidR="00BC603F" w:rsidRPr="00BC603F">
        <w:rPr>
          <w:i/>
          <w:iCs/>
        </w:rPr>
        <w:t xml:space="preserve">A jurisprudência desta Corte Superior </w:t>
      </w:r>
      <w:proofErr w:type="gramStart"/>
      <w:r w:rsidR="00BC603F" w:rsidRPr="00BC603F">
        <w:rPr>
          <w:i/>
          <w:iCs/>
        </w:rPr>
        <w:t>firmou-se</w:t>
      </w:r>
      <w:proofErr w:type="gramEnd"/>
      <w:r w:rsidR="00BC603F" w:rsidRPr="00BC603F">
        <w:rPr>
          <w:i/>
          <w:iCs/>
        </w:rPr>
        <w:t xml:space="preserve"> no sentido de que </w:t>
      </w:r>
      <w:r w:rsidR="00BC603F" w:rsidRPr="00233949">
        <w:rPr>
          <w:b/>
          <w:bCs/>
          <w:i/>
          <w:iCs/>
        </w:rPr>
        <w:t>os honorários advocatícios, enquanto consectários legais da condenação principal,</w:t>
      </w:r>
      <w:r w:rsidR="00BC603F" w:rsidRPr="00BC603F">
        <w:rPr>
          <w:i/>
          <w:iCs/>
        </w:rPr>
        <w:t xml:space="preserve"> </w:t>
      </w:r>
      <w:r w:rsidR="00BC603F" w:rsidRPr="00BC603F">
        <w:rPr>
          <w:b/>
          <w:bCs/>
          <w:i/>
          <w:iCs/>
        </w:rPr>
        <w:t xml:space="preserve">possuem natureza de ordem pública, podendo ser revistos a qualquer momento e </w:t>
      </w:r>
      <w:r w:rsidR="00BC603F" w:rsidRPr="00026ED1">
        <w:rPr>
          <w:b/>
          <w:bCs/>
          <w:i/>
          <w:iCs/>
          <w:u w:val="single"/>
        </w:rPr>
        <w:t>até</w:t>
      </w:r>
      <w:r w:rsidR="00BC603F" w:rsidRPr="00BC603F">
        <w:rPr>
          <w:b/>
          <w:bCs/>
          <w:i/>
          <w:iCs/>
        </w:rPr>
        <w:t xml:space="preserve"> </w:t>
      </w:r>
      <w:r w:rsidR="00BC603F" w:rsidRPr="00026ED1">
        <w:rPr>
          <w:b/>
          <w:bCs/>
          <w:i/>
          <w:iCs/>
          <w:u w:val="single"/>
        </w:rPr>
        <w:t>mesmo</w:t>
      </w:r>
      <w:r w:rsidR="00BC603F" w:rsidRPr="00BC603F">
        <w:rPr>
          <w:b/>
          <w:bCs/>
          <w:i/>
          <w:iCs/>
        </w:rPr>
        <w:t xml:space="preserve"> </w:t>
      </w:r>
      <w:r w:rsidR="00BC603F" w:rsidRPr="00BC603F">
        <w:rPr>
          <w:b/>
          <w:bCs/>
          <w:i/>
          <w:iCs/>
          <w:u w:val="single"/>
        </w:rPr>
        <w:t>de</w:t>
      </w:r>
      <w:r w:rsidR="00BC603F" w:rsidRPr="00BC603F">
        <w:rPr>
          <w:b/>
          <w:bCs/>
          <w:i/>
          <w:iCs/>
        </w:rPr>
        <w:t xml:space="preserve"> </w:t>
      </w:r>
      <w:r w:rsidR="00BC603F" w:rsidRPr="00BC603F">
        <w:rPr>
          <w:b/>
          <w:bCs/>
          <w:i/>
          <w:iCs/>
          <w:u w:val="single"/>
        </w:rPr>
        <w:t>ofício</w:t>
      </w:r>
      <w:r w:rsidR="00BC603F" w:rsidRPr="00BC603F">
        <w:rPr>
          <w:i/>
          <w:iCs/>
        </w:rPr>
        <w:t>, sem que isso configure reformatio in pejus</w:t>
      </w:r>
      <w:r w:rsidR="00BC603F">
        <w:t xml:space="preserve">” </w:t>
      </w:r>
      <w:r w:rsidR="00BC603F" w:rsidRPr="00BC603F">
        <w:rPr>
          <w:sz w:val="20"/>
          <w:szCs w:val="18"/>
        </w:rPr>
        <w:t>(</w:t>
      </w:r>
      <w:r>
        <w:rPr>
          <w:sz w:val="20"/>
          <w:szCs w:val="18"/>
        </w:rPr>
        <w:t xml:space="preserve">STJ, </w:t>
      </w:r>
      <w:r w:rsidR="00BC603F" w:rsidRPr="00BC603F">
        <w:rPr>
          <w:sz w:val="20"/>
          <w:szCs w:val="18"/>
        </w:rPr>
        <w:t>AgInt nos EDs no AREsp n. 1.336.265/SP)</w:t>
      </w:r>
      <w:r w:rsidR="00BC603F">
        <w:t>.</w:t>
      </w:r>
    </w:p>
    <w:p w14:paraId="68BFB4A3" w14:textId="02CE45CF" w:rsidR="0077210B" w:rsidRDefault="0077210B" w:rsidP="00A107E4">
      <w:pPr>
        <w:pStyle w:val="SemEspaamento"/>
      </w:pPr>
      <w:r>
        <w:t>Pois bem.</w:t>
      </w:r>
    </w:p>
    <w:p w14:paraId="6CE21EAE" w14:textId="6C7303B5" w:rsidR="0077210B" w:rsidRDefault="0077210B" w:rsidP="00A107E4">
      <w:pPr>
        <w:pStyle w:val="SemEspaamento"/>
      </w:pPr>
      <w:r>
        <w:t xml:space="preserve">No caso concreto, </w:t>
      </w:r>
      <w:r w:rsidR="004E6124">
        <w:t xml:space="preserve">a recorrente interpôs apelação antes da existência do Tema n. 1.229/STJ, motivo pelo qual deduziu o pedido que, até então, era possível à época, de inversão </w:t>
      </w:r>
      <w:r w:rsidR="00ED1D66">
        <w:t>do</w:t>
      </w:r>
      <w:r w:rsidR="004E6124">
        <w:t xml:space="preserve"> ônus sucumbenciais para </w:t>
      </w:r>
      <w:r w:rsidR="00712C1D">
        <w:t>que fossem suportados pel</w:t>
      </w:r>
      <w:r w:rsidR="004E6124">
        <w:t xml:space="preserve">o exequente, em razão do acolhimento da exceção de pré-executividade </w:t>
      </w:r>
      <w:r w:rsidR="00712C1D">
        <w:t xml:space="preserve">e extinção da execução fiscal pelo reconhecimento da prescrição intercorrente. </w:t>
      </w:r>
    </w:p>
    <w:p w14:paraId="7E36C11A" w14:textId="77777777" w:rsidR="004A181D" w:rsidRDefault="007A0FB5" w:rsidP="00A107E4">
      <w:pPr>
        <w:pStyle w:val="SemEspaamento"/>
      </w:pPr>
      <w:r>
        <w:t xml:space="preserve">Ao julgar a apelação, o primeiro aresto recorrido </w:t>
      </w:r>
      <w:r w:rsidR="0016712D">
        <w:t>firmou a premissa de que</w:t>
      </w:r>
      <w:r w:rsidR="002302DB">
        <w:t xml:space="preserve"> </w:t>
      </w:r>
      <w:r w:rsidR="0016712D">
        <w:t>“</w:t>
      </w:r>
      <w:r w:rsidR="002302DB" w:rsidRPr="002302DB">
        <w:rPr>
          <w:i/>
          <w:iCs/>
        </w:rPr>
        <w:t>o Superior Tribunal de Justiça, ao apreciar o </w:t>
      </w:r>
      <w:r w:rsidR="002302DB" w:rsidRPr="002302DB">
        <w:rPr>
          <w:b/>
          <w:bCs/>
          <w:i/>
          <w:iCs/>
          <w:u w:val="single"/>
        </w:rPr>
        <w:t>Tema Repetitivo 1229</w:t>
      </w:r>
      <w:r w:rsidR="002302DB" w:rsidRPr="002302DB">
        <w:rPr>
          <w:i/>
          <w:iCs/>
        </w:rPr>
        <w:t xml:space="preserve">, firmou entendimento no sentido </w:t>
      </w:r>
      <w:r w:rsidR="00C728CE">
        <w:rPr>
          <w:i/>
          <w:iCs/>
        </w:rPr>
        <w:t xml:space="preserve">de </w:t>
      </w:r>
      <w:r w:rsidR="00C728CE" w:rsidRPr="00C728CE">
        <w:rPr>
          <w:b/>
          <w:bCs/>
          <w:i/>
          <w:iCs/>
        </w:rPr>
        <w:t xml:space="preserve">não ser cabível a </w:t>
      </w:r>
      <w:r w:rsidR="002302DB" w:rsidRPr="00C728CE">
        <w:rPr>
          <w:b/>
          <w:bCs/>
          <w:i/>
          <w:iCs/>
        </w:rPr>
        <w:t>fixação de honorários advocatício</w:t>
      </w:r>
      <w:r w:rsidR="002302DB" w:rsidRPr="00026ED1">
        <w:rPr>
          <w:b/>
          <w:bCs/>
          <w:i/>
          <w:iCs/>
        </w:rPr>
        <w:t>s quando a exceção de pré-executividade é acolhida para extinguir a execução fiscal em razão do reconhecimento da prescrição intercorrente</w:t>
      </w:r>
      <w:r w:rsidR="002302DB" w:rsidRPr="002302DB">
        <w:rPr>
          <w:i/>
          <w:iCs/>
        </w:rPr>
        <w:t>, prevista no art. 40 da Lei n. 6.830/1980</w:t>
      </w:r>
      <w:r w:rsidR="002302DB">
        <w:rPr>
          <w:i/>
          <w:iCs/>
        </w:rPr>
        <w:t xml:space="preserve">” </w:t>
      </w:r>
      <w:r w:rsidR="002302DB" w:rsidRPr="002302DB">
        <w:rPr>
          <w:sz w:val="20"/>
          <w:szCs w:val="18"/>
        </w:rPr>
        <w:t>(evento 7)</w:t>
      </w:r>
      <w:r w:rsidR="002302DB" w:rsidRPr="002302DB">
        <w:rPr>
          <w:i/>
          <w:iCs/>
        </w:rPr>
        <w:t>.</w:t>
      </w:r>
      <w:r w:rsidR="00171803">
        <w:t xml:space="preserve"> </w:t>
      </w:r>
    </w:p>
    <w:p w14:paraId="1D284220" w14:textId="40E3CCDB" w:rsidR="007A0FB5" w:rsidRDefault="00171803" w:rsidP="00A107E4">
      <w:pPr>
        <w:pStyle w:val="SemEspaamento"/>
      </w:pPr>
      <w:r>
        <w:t>No entanto, ao final, concluiu que seria o caso de “</w:t>
      </w:r>
      <w:r w:rsidRPr="00171803">
        <w:rPr>
          <w:i/>
          <w:iCs/>
        </w:rPr>
        <w:t xml:space="preserve">manutenção da sentença hostilizada, </w:t>
      </w:r>
      <w:r w:rsidRPr="00ED1D66">
        <w:rPr>
          <w:b/>
          <w:bCs/>
          <w:i/>
          <w:iCs/>
        </w:rPr>
        <w:t>com a majoração dos honorários recursais em favor dos procuradores do exequente</w:t>
      </w:r>
      <w:r w:rsidRPr="00171803">
        <w:rPr>
          <w:i/>
          <w:iCs/>
        </w:rPr>
        <w:t>, nos termos do art. 85, §11, do CPC, para 11% sobre o valor da causa</w:t>
      </w:r>
      <w:r>
        <w:t xml:space="preserve">” </w:t>
      </w:r>
      <w:r w:rsidRPr="00171803">
        <w:rPr>
          <w:sz w:val="20"/>
          <w:szCs w:val="18"/>
        </w:rPr>
        <w:t>(evento 7)</w:t>
      </w:r>
      <w:r>
        <w:t>.</w:t>
      </w:r>
    </w:p>
    <w:p w14:paraId="1CE5F9FE" w14:textId="37074852" w:rsidR="00F550A7" w:rsidRDefault="00ED1D66" w:rsidP="008B01F5">
      <w:pPr>
        <w:pStyle w:val="SemEspaamento"/>
      </w:pPr>
      <w:r>
        <w:t>Diante desse contexto</w:t>
      </w:r>
      <w:r w:rsidR="00F550A7">
        <w:t xml:space="preserve">, a recorrente </w:t>
      </w:r>
      <w:r>
        <w:t xml:space="preserve">opôs os primeiros embargos de declaração, apontando, em síntese, </w:t>
      </w:r>
      <w:r w:rsidR="004B604E">
        <w:t xml:space="preserve">as omissões e contradição interna do </w:t>
      </w:r>
      <w:r w:rsidR="00F31876">
        <w:t xml:space="preserve">aresto objeto de complementação, relativas à impossibilidade de fixação dos honorários sucumbenciais </w:t>
      </w:r>
      <w:r w:rsidR="008C0C3C">
        <w:t>no caso</w:t>
      </w:r>
      <w:r w:rsidR="007C6410">
        <w:t>,</w:t>
      </w:r>
      <w:r w:rsidR="008C0C3C">
        <w:t xml:space="preserve"> por conta do entendimento vinculante do Tema n. 1.229/STJ.</w:t>
      </w:r>
    </w:p>
    <w:p w14:paraId="45599EC2" w14:textId="089F1989" w:rsidR="008C0C3C" w:rsidRDefault="00331145" w:rsidP="00A107E4">
      <w:pPr>
        <w:pStyle w:val="SemEspaamento"/>
      </w:pPr>
      <w:r>
        <w:t xml:space="preserve">Contudo, </w:t>
      </w:r>
      <w:r w:rsidR="00C0590E">
        <w:t xml:space="preserve">o segundo aresto recorrido </w:t>
      </w:r>
      <w:r w:rsidR="00C0590E" w:rsidRPr="00C0590E">
        <w:rPr>
          <w:sz w:val="20"/>
          <w:szCs w:val="18"/>
        </w:rPr>
        <w:t>(Evento 29)</w:t>
      </w:r>
      <w:r w:rsidR="00C0590E">
        <w:t xml:space="preserve"> rejeitou esses </w:t>
      </w:r>
      <w:r>
        <w:t>aclaratórios</w:t>
      </w:r>
      <w:r w:rsidR="00C0590E">
        <w:t>, ao argumento</w:t>
      </w:r>
      <w:r w:rsidR="0066021C">
        <w:t>, em síntese,</w:t>
      </w:r>
      <w:r w:rsidR="00C0590E">
        <w:t xml:space="preserve"> de </w:t>
      </w:r>
      <w:r>
        <w:t>que</w:t>
      </w:r>
      <w:r w:rsidR="00C0590E">
        <w:t>,</w:t>
      </w:r>
      <w:r>
        <w:t xml:space="preserve"> “</w:t>
      </w:r>
      <w:r w:rsidR="00C0590E" w:rsidRPr="00C0590E">
        <w:rPr>
          <w:i/>
          <w:iCs/>
        </w:rPr>
        <w:t>Diversamente do que alega a parte embargante, o acórdão encontra-se fundamentado, sem omissões ou contradição e não se enquadra em quaisquer das hipóteses que dão ensejo à oposição de embargos de declaração, pretendendo a parte, em suma, provocar a revisão da decisão de mérito</w:t>
      </w:r>
      <w:r w:rsidR="00C0590E">
        <w:t>”.</w:t>
      </w:r>
    </w:p>
    <w:p w14:paraId="510633A0" w14:textId="17435E4F" w:rsidR="008936B4" w:rsidRDefault="0066021C" w:rsidP="00A107E4">
      <w:pPr>
        <w:pStyle w:val="SemEspaamento"/>
      </w:pPr>
      <w:r>
        <w:t>Diante disso, a recorrente opôs novo recurso integrativo</w:t>
      </w:r>
      <w:r w:rsidR="009164D6">
        <w:t xml:space="preserve"> </w:t>
      </w:r>
      <w:r w:rsidR="009164D6" w:rsidRPr="009164D6">
        <w:rPr>
          <w:sz w:val="20"/>
          <w:szCs w:val="18"/>
        </w:rPr>
        <w:t>(evento 39)</w:t>
      </w:r>
      <w:r>
        <w:t xml:space="preserve">, </w:t>
      </w:r>
      <w:r w:rsidR="006D45D7">
        <w:t>ocasião em que fo</w:t>
      </w:r>
      <w:r w:rsidR="002F0973">
        <w:t xml:space="preserve">ram prequestionados os dispositivos legais elencados anteriormente, além de ter sido </w:t>
      </w:r>
      <w:r w:rsidR="006D45D7">
        <w:t>reafirmad</w:t>
      </w:r>
      <w:r w:rsidR="002F0973">
        <w:t>a</w:t>
      </w:r>
      <w:r w:rsidR="007C53C9">
        <w:t xml:space="preserve"> a persistência de vícios apontados </w:t>
      </w:r>
      <w:r w:rsidR="002F0973">
        <w:t xml:space="preserve">nos aclaratórios anteriores e </w:t>
      </w:r>
      <w:r w:rsidR="005B0BD2">
        <w:t>o equívoco na</w:t>
      </w:r>
      <w:r w:rsidR="002F0973">
        <w:t xml:space="preserve"> aplicação </w:t>
      </w:r>
      <w:r w:rsidR="007C53C9">
        <w:t>do Tema n. 1.229/STJ</w:t>
      </w:r>
      <w:r w:rsidR="000A781D">
        <w:t xml:space="preserve"> </w:t>
      </w:r>
      <w:r w:rsidR="002F0973">
        <w:t xml:space="preserve">ao </w:t>
      </w:r>
      <w:r w:rsidR="007C6410">
        <w:t xml:space="preserve">presente </w:t>
      </w:r>
      <w:r w:rsidR="002F0973">
        <w:t xml:space="preserve">caso. </w:t>
      </w:r>
    </w:p>
    <w:p w14:paraId="4D1E25BA" w14:textId="146C8F43" w:rsidR="00FA31EE" w:rsidRPr="00FA31EE" w:rsidRDefault="005B0BD2" w:rsidP="00FA31EE">
      <w:pPr>
        <w:pStyle w:val="SemEspaamento"/>
      </w:pPr>
      <w:r>
        <w:t xml:space="preserve">Ocorre que, uma vez mais, sobreveio </w:t>
      </w:r>
      <w:r>
        <w:rPr>
          <w:i/>
          <w:iCs/>
        </w:rPr>
        <w:t xml:space="preserve">decisum </w:t>
      </w:r>
      <w:r>
        <w:t>que rejeitou os aclaratórios opostos</w:t>
      </w:r>
      <w:r w:rsidR="00F15730">
        <w:t xml:space="preserve"> </w:t>
      </w:r>
      <w:r w:rsidR="00F15730" w:rsidRPr="00F15730">
        <w:rPr>
          <w:sz w:val="20"/>
          <w:szCs w:val="18"/>
        </w:rPr>
        <w:t>(evento 71)</w:t>
      </w:r>
      <w:r>
        <w:t>, argumentando</w:t>
      </w:r>
      <w:r w:rsidR="00853B91">
        <w:t>, em resumo,</w:t>
      </w:r>
      <w:r>
        <w:t xml:space="preserve"> que “</w:t>
      </w:r>
      <w:r w:rsidR="00FA31EE" w:rsidRPr="007C6410">
        <w:rPr>
          <w:b/>
          <w:bCs/>
          <w:i/>
          <w:iCs/>
        </w:rPr>
        <w:t>a condenação da parte executada ao pagamento de honorários sucumbenciais decorre do princípio da causalidade, inexistindo omissão ou contradição no acórdão quanto ao ponto ou ofensa ao entendimento do e. STJ</w:t>
      </w:r>
      <w:r w:rsidR="00853B91" w:rsidRPr="00853B91">
        <w:rPr>
          <w:i/>
          <w:iCs/>
        </w:rPr>
        <w:t>”</w:t>
      </w:r>
      <w:r w:rsidR="001F07DE">
        <w:rPr>
          <w:i/>
          <w:iCs/>
        </w:rPr>
        <w:t xml:space="preserve"> </w:t>
      </w:r>
      <w:r w:rsidR="001F07DE" w:rsidRPr="001F07DE">
        <w:rPr>
          <w:sz w:val="20"/>
          <w:szCs w:val="18"/>
        </w:rPr>
        <w:t>(evento 71)</w:t>
      </w:r>
      <w:r w:rsidR="00FA31EE" w:rsidRPr="00FA31EE">
        <w:t>. </w:t>
      </w:r>
    </w:p>
    <w:p w14:paraId="1F582FA3" w14:textId="7128A020" w:rsidR="00F15730" w:rsidRPr="00F15730" w:rsidRDefault="00F15730" w:rsidP="00F15730">
      <w:pPr>
        <w:pStyle w:val="SemEspaamento"/>
      </w:pPr>
      <w:r>
        <w:t>Na sequência, o aresto recorrido afirmou que, “</w:t>
      </w:r>
      <w:r w:rsidRPr="005F4C92">
        <w:rPr>
          <w:i/>
          <w:iCs/>
        </w:rPr>
        <w:t xml:space="preserve">nos termos do recente entendimento do STJ, à luz do princípio da causalidade, a extinção da execução ante o reconhecimento da prescrição intercorrente ‘não infirma a existência das premissas que autorizavam o ajuizamento da execução fiscal, relacionadas com a presunção de certeza e liquidez do título executivo e com a inadimplência do executado’, </w:t>
      </w:r>
      <w:r w:rsidRPr="005F4C92">
        <w:rPr>
          <w:b/>
          <w:bCs/>
          <w:i/>
          <w:iCs/>
        </w:rPr>
        <w:t>o que, por conseguinte, permite seja atribuído o pagamento da verba honorária sucumbencial à parte executada, a despeito da extinção do feito executivo</w:t>
      </w:r>
      <w:r>
        <w:t xml:space="preserve">” </w:t>
      </w:r>
      <w:r w:rsidRPr="00F15730">
        <w:rPr>
          <w:sz w:val="20"/>
          <w:szCs w:val="18"/>
        </w:rPr>
        <w:t>(evento 71)</w:t>
      </w:r>
      <w:r w:rsidRPr="00F15730">
        <w:t>.</w:t>
      </w:r>
    </w:p>
    <w:p w14:paraId="06C7474B" w14:textId="2C55C523" w:rsidR="00E92A81" w:rsidRDefault="005F4C92" w:rsidP="002F2B85">
      <w:pPr>
        <w:pStyle w:val="SemEspaamento"/>
      </w:pPr>
      <w:r>
        <w:t xml:space="preserve">Como visto, Excelência, </w:t>
      </w:r>
      <w:r w:rsidR="002F2B85">
        <w:t xml:space="preserve">os arestos recorridos </w:t>
      </w:r>
      <w:r w:rsidR="00F328E3">
        <w:t xml:space="preserve">infringiram, de forma direta, o </w:t>
      </w:r>
      <w:r w:rsidR="002F2B85">
        <w:t xml:space="preserve">art. 85 do CPC, que </w:t>
      </w:r>
      <w:r w:rsidR="007423B8">
        <w:t>é categórico em autorizar</w:t>
      </w:r>
      <w:r w:rsidR="002F2B85">
        <w:t xml:space="preserve"> somente a condenação do VENCIDO ao pagamento dos honorários de sucumbência, ou seja, segundo o </w:t>
      </w:r>
      <w:r w:rsidR="00F328E3">
        <w:t xml:space="preserve">próprio </w:t>
      </w:r>
      <w:r w:rsidR="002F2B85">
        <w:t>dispositivo legal, somente a parte vencida, que sucumbiu, pode suportar os “honorários ao advogado DO VENCEDOR”</w:t>
      </w:r>
      <w:r w:rsidR="0099548A">
        <w:t xml:space="preserve">. </w:t>
      </w:r>
    </w:p>
    <w:p w14:paraId="65965F67" w14:textId="3A94D889" w:rsidR="00BC0C70" w:rsidRDefault="0099548A" w:rsidP="002F2B85">
      <w:pPr>
        <w:pStyle w:val="SemEspaamento"/>
      </w:pPr>
      <w:r>
        <w:t>E essa afronta, já se viu, é reforçada pela insistência dos arestos recorridos em desrespeitarem a tese firmada no Tema Repetitivo n. 1.229/STJ</w:t>
      </w:r>
      <w:r w:rsidR="007423B8">
        <w:t>, que impede a fixação de honorários de sucumbência em casos como o dos autos</w:t>
      </w:r>
      <w:r w:rsidR="002F2B85">
        <w:t>.</w:t>
      </w:r>
      <w:r w:rsidR="00BC0C70">
        <w:t xml:space="preserve"> </w:t>
      </w:r>
    </w:p>
    <w:p w14:paraId="65AEB3B8" w14:textId="77777777" w:rsidR="007423B8" w:rsidRDefault="00BC0C70" w:rsidP="00497004">
      <w:pPr>
        <w:pStyle w:val="SemEspaamento"/>
      </w:pPr>
      <w:r>
        <w:t>Não há, portanto, permissão legal</w:t>
      </w:r>
      <w:r w:rsidR="0099548A">
        <w:t xml:space="preserve"> </w:t>
      </w:r>
      <w:r w:rsidR="0099548A" w:rsidRPr="0099548A">
        <w:rPr>
          <w:sz w:val="22"/>
          <w:szCs w:val="20"/>
        </w:rPr>
        <w:t>– ou jurisprudencial –</w:t>
      </w:r>
      <w:r w:rsidR="0099548A">
        <w:t xml:space="preserve"> </w:t>
      </w:r>
      <w:r>
        <w:t>para condenar a parte vencedora ao pagamento dos honorários sucumbenciais</w:t>
      </w:r>
      <w:r w:rsidR="00FD3899">
        <w:t xml:space="preserve"> quando extinta execução fiscal pela prescrição intercorrente</w:t>
      </w:r>
      <w:r>
        <w:t>, como ocorre</w:t>
      </w:r>
      <w:r w:rsidR="00BE7991">
        <w:t>u</w:t>
      </w:r>
      <w:r>
        <w:t xml:space="preserve"> no presente caso, </w:t>
      </w:r>
      <w:r w:rsidR="006D7C8B">
        <w:t>o que comprova a negativa de vigência ao art. 85 do CPC</w:t>
      </w:r>
      <w:r w:rsidR="007423B8">
        <w:t>.</w:t>
      </w:r>
      <w:r w:rsidR="006D7C8B">
        <w:t xml:space="preserve"> </w:t>
      </w:r>
    </w:p>
    <w:p w14:paraId="63266063" w14:textId="727642CB" w:rsidR="00497004" w:rsidRDefault="007423B8" w:rsidP="00497004">
      <w:pPr>
        <w:pStyle w:val="SemEspaamento"/>
      </w:pPr>
      <w:r>
        <w:t xml:space="preserve">Aliás, </w:t>
      </w:r>
      <w:r w:rsidR="00BC0C70">
        <w:t xml:space="preserve">o princípio da causalidade </w:t>
      </w:r>
      <w:r w:rsidR="00562EC3">
        <w:t xml:space="preserve">é </w:t>
      </w:r>
      <w:r w:rsidR="00BC0C70">
        <w:t xml:space="preserve">admitido para </w:t>
      </w:r>
      <w:r w:rsidR="00BC0C70" w:rsidRPr="00FD3899">
        <w:t xml:space="preserve">evitar que </w:t>
      </w:r>
      <w:r w:rsidR="00EC70D1" w:rsidRPr="00FD3899">
        <w:t>a parte vencida suporte esse ônus</w:t>
      </w:r>
      <w:r w:rsidR="00562EC3">
        <w:t>,</w:t>
      </w:r>
      <w:r w:rsidR="00413F06">
        <w:t xml:space="preserve"> sendo que essa lógica serve, também, como fundamento do Tema n. 1.229/STJ</w:t>
      </w:r>
      <w:r w:rsidR="00EC70D1">
        <w:t>,</w:t>
      </w:r>
      <w:r w:rsidR="006D7C8B">
        <w:t xml:space="preserve"> e</w:t>
      </w:r>
      <w:r w:rsidR="00EC70D1">
        <w:t xml:space="preserve"> não </w:t>
      </w:r>
      <w:r w:rsidR="00FD3899">
        <w:t xml:space="preserve">para </w:t>
      </w:r>
      <w:r w:rsidR="00EC70D1">
        <w:t xml:space="preserve">que </w:t>
      </w:r>
      <w:r w:rsidR="0037391E">
        <w:t xml:space="preserve">os seus advogados da parte </w:t>
      </w:r>
      <w:r w:rsidR="00EC70D1">
        <w:t xml:space="preserve">derrotada na causa ainda </w:t>
      </w:r>
      <w:r w:rsidR="0099548A">
        <w:t xml:space="preserve">sejam premiados e </w:t>
      </w:r>
      <w:r w:rsidR="00EC70D1">
        <w:t>receba</w:t>
      </w:r>
      <w:r w:rsidR="0099548A">
        <w:t>m</w:t>
      </w:r>
      <w:r w:rsidR="00EC70D1">
        <w:t xml:space="preserve"> honorários</w:t>
      </w:r>
      <w:r w:rsidR="00CF5132">
        <w:t>,</w:t>
      </w:r>
      <w:r w:rsidR="00EC70D1">
        <w:t xml:space="preserve"> como se tivesse</w:t>
      </w:r>
      <w:r w:rsidR="00CF5132">
        <w:t>m</w:t>
      </w:r>
      <w:r w:rsidR="00EC70D1">
        <w:t xml:space="preserve"> se sagrado vencedor</w:t>
      </w:r>
      <w:r w:rsidR="00CF5132">
        <w:t>es</w:t>
      </w:r>
      <w:r w:rsidR="00EC70D1">
        <w:t>.</w:t>
      </w:r>
    </w:p>
    <w:p w14:paraId="1D5A2424" w14:textId="77777777" w:rsidR="000C019E" w:rsidRDefault="000C019E" w:rsidP="000C019E">
      <w:pPr>
        <w:pStyle w:val="SemEspaamento"/>
      </w:pPr>
      <w:r>
        <w:t>Há, aqui, claro dissídio jurisprudencial com o julgado do REsp n. 2.046.269/PR, que, à luz do princípio do princípio da causalidade – como no caso concreto, decidiu que “</w:t>
      </w:r>
      <w:r w:rsidRPr="00E576DC">
        <w:rPr>
          <w:i/>
          <w:iCs/>
        </w:rPr>
        <w:t>não cabe fixação de honorários quando a exceção de pré-executividade é acolhida para extinguir a execução fiscal em razão do reconhecimento da prescrição intercorre</w:t>
      </w:r>
      <w:r>
        <w:rPr>
          <w:i/>
          <w:iCs/>
        </w:rPr>
        <w:t>nte</w:t>
      </w:r>
      <w:r w:rsidRPr="00E576DC">
        <w:rPr>
          <w:i/>
          <w:iCs/>
        </w:rPr>
        <w:t xml:space="preserve"> (...)</w:t>
      </w:r>
      <w:r>
        <w:t xml:space="preserve">”. </w:t>
      </w:r>
    </w:p>
    <w:p w14:paraId="26293074" w14:textId="77777777" w:rsidR="000C019E" w:rsidRDefault="000C019E" w:rsidP="000C019E">
      <w:pPr>
        <w:pStyle w:val="SemEspaamento"/>
      </w:pPr>
      <w:r>
        <w:t>Ora, ambos os julgados que compõem este dissidio e deram soluções jurídicas divergentes, foram analisados sob a ótica da causalidade, independente, portanto, de quem é exequente e executado.</w:t>
      </w:r>
    </w:p>
    <w:p w14:paraId="15348E89" w14:textId="55353D45" w:rsidR="000C019E" w:rsidRDefault="000C019E" w:rsidP="000C019E">
      <w:pPr>
        <w:pStyle w:val="SemEspaamento"/>
      </w:pPr>
      <w:r>
        <w:t xml:space="preserve">De forma ainda mais clara, apresenta-se o respectivo cotejo analítico entre os acórdãos recorridos e o </w:t>
      </w:r>
      <w:r w:rsidR="00EE063E">
        <w:t xml:space="preserve">aresto </w:t>
      </w:r>
      <w:r>
        <w:t xml:space="preserve">paradigma </w:t>
      </w:r>
      <w:r w:rsidRPr="00AC2311">
        <w:rPr>
          <w:sz w:val="20"/>
          <w:szCs w:val="18"/>
        </w:rPr>
        <w:t>(</w:t>
      </w:r>
      <w:r w:rsidRPr="00AC2311">
        <w:rPr>
          <w:b/>
          <w:bCs/>
          <w:sz w:val="20"/>
          <w:szCs w:val="18"/>
        </w:rPr>
        <w:t>doc. 1</w:t>
      </w:r>
      <w:r w:rsidRPr="00AC2311">
        <w:rPr>
          <w:sz w:val="20"/>
          <w:szCs w:val="18"/>
        </w:rPr>
        <w:t>)</w:t>
      </w:r>
      <w:r>
        <w:t xml:space="preserve">: </w:t>
      </w:r>
    </w:p>
    <w:p w14:paraId="1C4CE0AF" w14:textId="77777777" w:rsidR="000C019E" w:rsidRDefault="000C019E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F4DA568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FABFA92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9CDA7BD" w14:textId="13B59FBE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  <w:r>
        <w:rPr>
          <w:noProof/>
          <w:sz w:val="20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BDE948" wp14:editId="205F5844">
                <wp:simplePos x="0" y="0"/>
                <wp:positionH relativeFrom="column">
                  <wp:posOffset>2374398</wp:posOffset>
                </wp:positionH>
                <wp:positionV relativeFrom="paragraph">
                  <wp:posOffset>112114</wp:posOffset>
                </wp:positionV>
                <wp:extent cx="616688" cy="1201479"/>
                <wp:effectExtent l="19050" t="0" r="31115" b="36830"/>
                <wp:wrapNone/>
                <wp:docPr id="819290934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688" cy="1201479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99312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" o:spid="_x0000_s1026" type="#_x0000_t67" style="position:absolute;margin-left:186.95pt;margin-top:8.85pt;width:48.55pt;height:94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" adj="16057" fillcolor="#deeaf6 [664]" strokecolor="black [3213]" strokeweight="1pt"/>
            </w:pict>
          </mc:Fallback>
        </mc:AlternateContent>
      </w:r>
    </w:p>
    <w:p w14:paraId="54ED2058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168E8FD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DF30253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B1DBFE0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C4C7288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16DE8451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DEE9163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1F58C79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2ECD4C4" w14:textId="77777777" w:rsid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FC19030" w14:textId="77777777" w:rsidR="00A01418" w:rsidRPr="00A01418" w:rsidRDefault="00A01418" w:rsidP="000C019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tbl>
      <w:tblPr>
        <w:tblW w:w="977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35"/>
        <w:gridCol w:w="4536"/>
      </w:tblGrid>
      <w:tr w:rsidR="000C019E" w:rsidRPr="00052BBA" w14:paraId="797C1399" w14:textId="77777777" w:rsidTr="0011446B">
        <w:trPr>
          <w:trHeight w:val="315"/>
        </w:trPr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14:paraId="4C5454EB" w14:textId="77777777" w:rsidR="000C019E" w:rsidRPr="00052BBA" w:rsidRDefault="000C019E" w:rsidP="001144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</w:pPr>
            <w:r w:rsidRPr="00052BBA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>Acórdãos recorridos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330BFC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(eventos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7, 29 e 71</w:t>
            </w:r>
            <w:r w:rsidRPr="00330BFC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453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5A4A8FD0" w14:textId="77777777" w:rsidR="000C019E" w:rsidRPr="00052BBA" w:rsidRDefault="000C019E" w:rsidP="001144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052BBA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>Aresto paradigma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251501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(doc.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2</w:t>
            </w:r>
            <w:r w:rsidRPr="00251501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</w:tr>
      <w:tr w:rsidR="000C019E" w:rsidRPr="00052BBA" w14:paraId="41AC3599" w14:textId="77777777" w:rsidTr="0011446B">
        <w:trPr>
          <w:trHeight w:val="8100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CA25" w14:textId="77777777" w:rsidR="000C019E" w:rsidRPr="00437F68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437F68">
              <w:rPr>
                <w:rFonts w:ascii="Aptos" w:eastAsia="Times New Roman" w:hAnsi="Aptos" w:cs="Times New Roman"/>
                <w:color w:val="000000"/>
                <w:lang w:eastAsia="pt-BR"/>
              </w:rPr>
              <w:t>Assim, </w:t>
            </w:r>
            <w:r w:rsidRPr="00437F68">
              <w:rPr>
                <w:rFonts w:ascii="Aptos" w:eastAsia="Times New Roman" w:hAnsi="Aptos" w:cs="Times New Roman"/>
                <w:color w:val="000000"/>
                <w:u w:val="single"/>
                <w:lang w:eastAsia="pt-BR"/>
              </w:rPr>
              <w:t>na hipótese dos autos, descabida eventual condenação do exequente ao pagamento de honorários advocatícios</w:t>
            </w:r>
            <w:r w:rsidRPr="00437F68">
              <w:rPr>
                <w:rFonts w:ascii="Aptos" w:eastAsia="Times New Roman" w:hAnsi="Aptos" w:cs="Times New Roman"/>
                <w:color w:val="000000"/>
                <w:lang w:eastAsia="pt-BR"/>
              </w:rPr>
              <w:t> em face do acolhimento da exceção de pré-executividade apresentada, considerando que a execução fiscal foi extinta em razão da ocorrência da prescrição intercorrente.</w:t>
            </w:r>
          </w:p>
          <w:p w14:paraId="743FC721" w14:textId="77777777" w:rsidR="000C019E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437F68">
              <w:rPr>
                <w:rFonts w:ascii="Aptos" w:eastAsia="Times New Roman" w:hAnsi="Aptos" w:cs="Times New Roman"/>
                <w:color w:val="000000"/>
                <w:lang w:eastAsia="pt-BR"/>
              </w:rPr>
              <w:t>Isso porque, nos termos do recente entendimento do STJ, à luz do princípio da causalidade, a extinção da execução ante o reconhecimento da prescrição intercorrente "</w:t>
            </w:r>
            <w:r w:rsidRPr="00437F68">
              <w:rPr>
                <w:rFonts w:ascii="Aptos" w:eastAsia="Times New Roman" w:hAnsi="Aptos" w:cs="Times New Roman"/>
                <w:i/>
                <w:iCs/>
                <w:color w:val="000000"/>
                <w:lang w:eastAsia="pt-BR"/>
              </w:rPr>
              <w:t>não infirma a existência das premissas que autorizavam o ajuizamento da execução fiscal, relacionadas com a presunção de certeza e liquidez do título executivo e com a inadimplência do executado</w:t>
            </w:r>
            <w:r w:rsidRPr="00437F68">
              <w:rPr>
                <w:rFonts w:ascii="Aptos" w:eastAsia="Times New Roman" w:hAnsi="Aptos" w:cs="Times New Roman"/>
                <w:color w:val="000000"/>
                <w:lang w:eastAsia="pt-BR"/>
              </w:rPr>
              <w:t>", afastando o cabimento de eventual responsabilidade do exequente pela verba sucumbencial.</w:t>
            </w:r>
          </w:p>
          <w:p w14:paraId="4DC72716" w14:textId="77777777" w:rsidR="000C019E" w:rsidRPr="00433FB2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</w:pP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Com tais considerações, impõe-se a </w:t>
            </w:r>
            <w:proofErr w:type="gramStart"/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>manutenção </w:t>
            </w:r>
            <w:r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>da</w:t>
            </w:r>
            <w:proofErr w:type="gramEnd"/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sentença hostilizada,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com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a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majoração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dos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honorários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recursais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em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favor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dos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procuradores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do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 xml:space="preserve"> 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exequente</w:t>
            </w:r>
            <w:r w:rsidRPr="00433FB2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>, nos termos do art. 85, §11, do CPC, para 11% sobre o valor da causa. </w:t>
            </w:r>
          </w:p>
          <w:p w14:paraId="6C33589F" w14:textId="77777777" w:rsidR="000C019E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08DBBF9B" w14:textId="77777777" w:rsidR="000C019E" w:rsidRDefault="000C019E" w:rsidP="0011446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>ACÓRDÃO RECORRIDO DO EVENTO 29</w:t>
            </w:r>
          </w:p>
          <w:p w14:paraId="715249E3" w14:textId="77777777" w:rsidR="000C019E" w:rsidRDefault="000C019E" w:rsidP="0011446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</w:pPr>
          </w:p>
          <w:p w14:paraId="7CE98C96" w14:textId="77777777" w:rsidR="000C019E" w:rsidRPr="002C1BAB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2C1BAB">
              <w:rPr>
                <w:rFonts w:ascii="Aptos" w:eastAsia="Times New Roman" w:hAnsi="Aptos" w:cs="Times New Roman"/>
                <w:color w:val="000000"/>
                <w:lang w:eastAsia="pt-BR"/>
              </w:rPr>
              <w:t>Cumpre salientar que a pretensão esboçada nos autos do recurso de apelação dizia respeito, única e exclusivamente, à reforma da sentença para </w:t>
            </w:r>
            <w:r w:rsidRPr="002C1BAB">
              <w:rPr>
                <w:rFonts w:ascii="Aptos" w:eastAsia="Times New Roman" w:hAnsi="Aptos" w:cs="Times New Roman"/>
                <w:color w:val="000000"/>
                <w:u w:val="single"/>
                <w:lang w:eastAsia="pt-BR"/>
              </w:rPr>
              <w:t>"condenar o apelado/exequente ao pagamento das custas e dos honorários sucumbenciais" (fl. 05, </w:t>
            </w:r>
            <w:hyperlink r:id="rId8" w:tgtFrame="_blank" w:history="1">
              <w:r w:rsidRPr="002C1BAB">
                <w:rPr>
                  <w:rStyle w:val="Hyperlink"/>
                  <w:rFonts w:ascii="Aptos" w:eastAsia="Times New Roman" w:hAnsi="Aptos" w:cs="Times New Roman"/>
                  <w:b/>
                  <w:bCs/>
                  <w:lang w:eastAsia="pt-BR"/>
                </w:rPr>
                <w:t>evento 88, APELAÇÃO1</w:t>
              </w:r>
            </w:hyperlink>
            <w:r w:rsidRPr="002C1BAB">
              <w:rPr>
                <w:rFonts w:ascii="Aptos" w:eastAsia="Times New Roman" w:hAnsi="Aptos" w:cs="Times New Roman"/>
                <w:color w:val="000000"/>
                <w:u w:val="single"/>
                <w:lang w:eastAsia="pt-BR"/>
              </w:rPr>
              <w:t>)</w:t>
            </w:r>
            <w:r w:rsidRPr="002C1BAB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>,</w:t>
            </w:r>
            <w:r w:rsidRPr="002C1BAB">
              <w:rPr>
                <w:rFonts w:ascii="Aptos" w:eastAsia="Times New Roman" w:hAnsi="Aptos" w:cs="Times New Roman"/>
                <w:color w:val="000000"/>
                <w:lang w:eastAsia="pt-BR"/>
              </w:rPr>
              <w:t> o que não se afigura possível justamente em razão da aplicação do Tema Repetitivo n. 1.229/STJ delineada no </w:t>
            </w:r>
            <w:r w:rsidRPr="002C1BAB">
              <w:rPr>
                <w:rFonts w:ascii="Aptos" w:eastAsia="Times New Roman" w:hAnsi="Aptos" w:cs="Times New Roman"/>
                <w:i/>
                <w:iCs/>
                <w:color w:val="000000"/>
                <w:lang w:eastAsia="pt-BR"/>
              </w:rPr>
              <w:t>decisum</w:t>
            </w:r>
            <w:r w:rsidRPr="002C1BAB">
              <w:rPr>
                <w:rFonts w:ascii="Aptos" w:eastAsia="Times New Roman" w:hAnsi="Aptos" w:cs="Times New Roman"/>
                <w:color w:val="000000"/>
                <w:lang w:eastAsia="pt-BR"/>
              </w:rPr>
              <w:t>, que impede a fixação de honorários advocatícios em favor da parte executada quando a exceção de pré-executividade é acolhida para extinguir a execução fiscal em razão do reconhecimento da prescrição intercorrente.</w:t>
            </w:r>
          </w:p>
          <w:p w14:paraId="26C351E7" w14:textId="77777777" w:rsidR="000C019E" w:rsidRPr="002C1BAB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2C1BAB">
              <w:rPr>
                <w:rFonts w:ascii="Aptos" w:eastAsia="Times New Roman" w:hAnsi="Aptos" w:cs="Times New Roman"/>
                <w:color w:val="000000"/>
                <w:lang w:eastAsia="pt-BR"/>
              </w:rPr>
              <w:t>O acórdão hostilizado deu a correta interpretação aos fatos, aplicando o melhor direito ao caso concreto, tendo as questões fundamentais sido amplamente debatidas, inexistindo qualquer omissão ou contradição a ser sanada, sendo oportuno transcrever o excerto do </w:t>
            </w:r>
            <w:r w:rsidRPr="002C1BAB">
              <w:rPr>
                <w:rFonts w:ascii="Aptos" w:eastAsia="Times New Roman" w:hAnsi="Aptos" w:cs="Times New Roman"/>
                <w:i/>
                <w:iCs/>
                <w:color w:val="000000"/>
                <w:lang w:eastAsia="pt-BR"/>
              </w:rPr>
              <w:t>decisum </w:t>
            </w:r>
            <w:r w:rsidRPr="002C1BAB">
              <w:rPr>
                <w:rFonts w:ascii="Aptos" w:eastAsia="Times New Roman" w:hAnsi="Aptos" w:cs="Times New Roman"/>
                <w:color w:val="000000"/>
                <w:lang w:eastAsia="pt-BR"/>
              </w:rPr>
              <w:t>no que pertine à controvérsia:</w:t>
            </w:r>
          </w:p>
          <w:p w14:paraId="2E29C4B0" w14:textId="77777777" w:rsidR="000C019E" w:rsidRDefault="000C019E" w:rsidP="0011446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lang w:eastAsia="pt-BR"/>
              </w:rPr>
              <w:t>[...]</w:t>
            </w:r>
          </w:p>
          <w:p w14:paraId="136B6F81" w14:textId="77777777" w:rsidR="000C019E" w:rsidRPr="00B83438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</w:pPr>
            <w:r w:rsidRPr="00B83438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>Por todo exposto, não há como acolher os presentes embargos, cumprindo manter hígido o pronunciamento colegiado anterior.</w:t>
            </w:r>
          </w:p>
          <w:p w14:paraId="1BA159FE" w14:textId="77777777" w:rsidR="000C019E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A790757" w14:textId="77777777" w:rsidR="003B575C" w:rsidRDefault="003B575C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7D119BE7" w14:textId="77777777" w:rsidR="003B575C" w:rsidRDefault="003B575C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63335A18" w14:textId="77777777" w:rsidR="003B575C" w:rsidRDefault="003B575C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18062C9C" w14:textId="77777777" w:rsidR="000C019E" w:rsidRDefault="000C019E" w:rsidP="0011446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>ACÓRDÃO RECORRIDO DO EVENTO 71</w:t>
            </w:r>
          </w:p>
          <w:p w14:paraId="3FEA0D27" w14:textId="77777777" w:rsidR="000C019E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110758A7" w14:textId="77777777" w:rsidR="000C019E" w:rsidRPr="00B733B3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  <w:r w:rsidRPr="00B733B3">
              <w:rPr>
                <w:rFonts w:ascii="Aptos" w:eastAsia="Times New Roman" w:hAnsi="Aptos" w:cs="Times New Roman"/>
                <w:color w:val="000000"/>
                <w:lang w:eastAsia="pt-BR"/>
              </w:rPr>
              <w:t>Os dois acórdãos proferidos já examinaram, </w:t>
            </w:r>
            <w:r w:rsidRPr="00B733B3">
              <w:rPr>
                <w:rFonts w:ascii="Aptos" w:eastAsia="Times New Roman" w:hAnsi="Aptos" w:cs="Times New Roman"/>
                <w:b/>
                <w:bCs/>
                <w:color w:val="000000"/>
                <w:lang w:eastAsia="pt-BR"/>
              </w:rPr>
              <w:t>de forma clara e fundamentada</w:t>
            </w:r>
            <w:r w:rsidRPr="00B733B3">
              <w:rPr>
                <w:rFonts w:ascii="Aptos" w:eastAsia="Times New Roman" w:hAnsi="Aptos" w:cs="Times New Roman"/>
                <w:color w:val="000000"/>
                <w:u w:val="single"/>
                <w:lang w:eastAsia="pt-BR"/>
              </w:rPr>
              <w:t>,</w:t>
            </w:r>
            <w:r w:rsidRPr="00B733B3">
              <w:rPr>
                <w:rFonts w:ascii="Aptos" w:eastAsia="Times New Roman" w:hAnsi="Aptos" w:cs="Times New Roman"/>
                <w:color w:val="000000"/>
                <w:lang w:eastAsia="pt-BR"/>
              </w:rPr>
              <w:t> a pretensão da embargante, deduzida em sede de apelação, de condenar o exequente (Estado do Rio Grande do Sul) ao pagamento de honorários advocatícios com fundamento no Tema 1.229 do STJ e de afastar a sua condenação à verba honorária sucumbencial, consignando, </w:t>
            </w:r>
            <w:r w:rsidRPr="00B733B3">
              <w:rPr>
                <w:rFonts w:ascii="Aptos" w:eastAsia="Times New Roman" w:hAnsi="Aptos" w:cs="Times New Roman"/>
                <w:color w:val="000000"/>
                <w:u w:val="single"/>
                <w:lang w:eastAsia="pt-BR"/>
              </w:rPr>
              <w:t>à luz do princípio da causalidade</w:t>
            </w:r>
            <w:r w:rsidRPr="00B733B3">
              <w:rPr>
                <w:rFonts w:ascii="Aptos" w:eastAsia="Times New Roman" w:hAnsi="Aptos" w:cs="Times New Roman"/>
                <w:color w:val="000000"/>
                <w:lang w:eastAsia="pt-BR"/>
              </w:rPr>
              <w:t>, a impossibilidade fixação de honorários advocatícios, em favor da parte executada, quando a exceção de pré-executividade é acolhida para extinguir a execução fiscal em razão do reconhecimento da prescrição intercorrente, que era o que a embargante pretendia em sua apelação. </w:t>
            </w:r>
            <w:r w:rsidRPr="00B733B3">
              <w:rPr>
                <w:rFonts w:ascii="Aptos" w:eastAsia="Times New Roman" w:hAnsi="Aptos" w:cs="Times New Roman"/>
                <w:b/>
                <w:bCs/>
                <w:color w:val="000000"/>
                <w:u w:val="single"/>
                <w:lang w:eastAsia="pt-BR"/>
              </w:rPr>
              <w:t>E, justamente, com fundamento no princípio da causalidade, a r. sentença, confirmada no julgamento dos recursos de apelação, fixou honorários em favor do exequente, não estando configurada omissão ou contradição interna.</w:t>
            </w:r>
          </w:p>
          <w:p w14:paraId="61E0BD15" w14:textId="77777777" w:rsidR="000C019E" w:rsidRDefault="000C019E" w:rsidP="0011446B">
            <w:pPr>
              <w:spacing w:after="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  <w:p w14:paraId="05C2B43C" w14:textId="77777777" w:rsidR="000C019E" w:rsidRPr="00052BBA" w:rsidRDefault="000C019E" w:rsidP="0011446B">
            <w:pPr>
              <w:spacing w:after="240" w:line="240" w:lineRule="auto"/>
              <w:jc w:val="both"/>
              <w:rPr>
                <w:rFonts w:ascii="Aptos" w:eastAsia="Times New Roman" w:hAnsi="Aptos" w:cs="Times New Roman"/>
                <w:color w:val="000000"/>
                <w:lang w:eastAsia="pt-BR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8920F7" w14:textId="1BFEBD9D" w:rsidR="000C019E" w:rsidRDefault="000C019E" w:rsidP="0011446B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AC2311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É exatamente sob essa perspectiva – </w:t>
            </w:r>
            <w:r w:rsidRPr="003B575C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>aplicação do princípio da sucumbência e/ou da causalidade – que deve ser examinado o cabimento, ou não, da fixação da verba honorária nos casos em que, após a apresentação de exceção de pré-executividade pelo executado, a execução fiscal é extinta em razão da ocorrência da prescrição intercorrente</w:t>
            </w:r>
            <w:r w:rsidR="003B575C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>.</w:t>
            </w:r>
          </w:p>
          <w:p w14:paraId="3CC25BED" w14:textId="77777777" w:rsidR="000C019E" w:rsidRDefault="000C019E" w:rsidP="001144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pt-BR"/>
              </w:rPr>
              <w:t>[...]</w:t>
            </w:r>
          </w:p>
          <w:p w14:paraId="074D75C8" w14:textId="77777777" w:rsidR="000C019E" w:rsidRPr="00052BBA" w:rsidRDefault="000C019E" w:rsidP="0011446B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lang w:eastAsia="pt-BR"/>
              </w:rPr>
            </w:pPr>
            <w:r w:rsidRPr="006F4303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Assim, ponderados esses elementos, para os fins previstos no art. 1.039 do CPC/2015, proponho a definição da seguinte tese: "</w:t>
            </w:r>
            <w:r w:rsidRPr="006F4303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 xml:space="preserve">À luz do princípio da causalidade, </w:t>
            </w:r>
            <w:bookmarkStart w:id="1" w:name="_Hlk215090112"/>
            <w:r w:rsidRPr="006F4303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>não cabe fixação de honorários advocatícios quando a exceção de pré-executividade é acolhida para extinguir a execução fiscal em razão do reconhecimento da prescrição intercorrente, prevista no art. 40 da Lei n. 6.830/1980</w:t>
            </w:r>
            <w:bookmarkEnd w:id="1"/>
            <w:r w:rsidRPr="006F4303">
              <w:rPr>
                <w:rFonts w:ascii="Aptos Narrow" w:eastAsia="Times New Roman" w:hAnsi="Aptos Narrow" w:cs="Times New Roman"/>
                <w:b/>
                <w:bCs/>
                <w:color w:val="000000"/>
                <w:lang w:eastAsia="pt-BR"/>
              </w:rPr>
              <w:t>."</w:t>
            </w:r>
          </w:p>
        </w:tc>
      </w:tr>
    </w:tbl>
    <w:p w14:paraId="0691146A" w14:textId="77777777" w:rsidR="000C019E" w:rsidRDefault="000C019E" w:rsidP="000C019E">
      <w:pPr>
        <w:pStyle w:val="SemEspaamento"/>
        <w:numPr>
          <w:ilvl w:val="0"/>
          <w:numId w:val="0"/>
        </w:numPr>
        <w:ind w:firstLine="1701"/>
      </w:pPr>
    </w:p>
    <w:p w14:paraId="34978BF1" w14:textId="02E0B6BE" w:rsidR="000C019E" w:rsidRDefault="000C019E" w:rsidP="000C019E">
      <w:pPr>
        <w:pStyle w:val="SemEspaamento"/>
      </w:pPr>
      <w:r>
        <w:t xml:space="preserve">Desse modo, a divergência entre a conclusão dos acórdãos recorridos e o paradigma da Corte Superior também evidencia a necessidade provimento do recurso especial para afastar a condenação da recorrente aos honorários de sucumbência e uniformizar a interpretação jurídica a respeito </w:t>
      </w:r>
      <w:r w:rsidR="00FC4C2F">
        <w:t xml:space="preserve">da impossibilidade de </w:t>
      </w:r>
      <w:r w:rsidR="00FC4C2F" w:rsidRPr="00FC4C2F">
        <w:t>fixação de honorários advocatícios quando a exceção de pré-executividade é acolhida para extinguir a execução fiscal em razão do reconhecimento da prescrição intercorrente, prevista no art. 40 da Lei n. 6.830/1980</w:t>
      </w:r>
      <w:r>
        <w:t>.</w:t>
      </w:r>
    </w:p>
    <w:p w14:paraId="3121889D" w14:textId="7CC1CEDB" w:rsidR="008564E8" w:rsidRDefault="008564E8" w:rsidP="00525E37">
      <w:pPr>
        <w:pStyle w:val="SemEspaamento"/>
      </w:pPr>
      <w:r>
        <w:t xml:space="preserve">Vale registrar, por oportuno, que </w:t>
      </w:r>
      <w:r w:rsidRPr="00931A83">
        <w:rPr>
          <w:b/>
          <w:bCs/>
        </w:rPr>
        <w:t>a recorrente não deu causa ao ajuizamento da demanda</w:t>
      </w:r>
      <w:r>
        <w:t xml:space="preserve">, </w:t>
      </w:r>
      <w:r w:rsidR="002452EA">
        <w:t>pois, inicialmente,</w:t>
      </w:r>
      <w:r w:rsidR="001E0EC5">
        <w:t xml:space="preserve"> figurava </w:t>
      </w:r>
      <w:r>
        <w:t xml:space="preserve">apenas a empresa </w:t>
      </w:r>
      <w:r w:rsidRPr="004D76F0">
        <w:t xml:space="preserve">LORINGO COMÉRCIO IMPORTAÇÃO E EXPORTAÇÃO LTDA. </w:t>
      </w:r>
      <w:r>
        <w:t xml:space="preserve">como executada, </w:t>
      </w:r>
      <w:r w:rsidR="00932C1D">
        <w:t xml:space="preserve">ou seja, não se trata </w:t>
      </w:r>
      <w:r w:rsidRPr="00323DB5">
        <w:t xml:space="preserve">de </w:t>
      </w:r>
      <w:r w:rsidR="00932C1D">
        <w:t xml:space="preserve">débito </w:t>
      </w:r>
      <w:r w:rsidRPr="00323DB5">
        <w:t xml:space="preserve">não </w:t>
      </w:r>
      <w:r w:rsidR="00932C1D">
        <w:t xml:space="preserve">quitado </w:t>
      </w:r>
      <w:r w:rsidRPr="00323DB5">
        <w:t xml:space="preserve">pela própria </w:t>
      </w:r>
      <w:proofErr w:type="spellStart"/>
      <w:r>
        <w:t>Mariannina</w:t>
      </w:r>
      <w:proofErr w:type="spellEnd"/>
      <w:r w:rsidR="005D533C">
        <w:t xml:space="preserve"> </w:t>
      </w:r>
      <w:r w:rsidR="005D533C" w:rsidRPr="00931A83">
        <w:rPr>
          <w:sz w:val="22"/>
          <w:szCs w:val="20"/>
        </w:rPr>
        <w:t>– que só foi incluída após o redirecionamento do feito executivo –</w:t>
      </w:r>
      <w:r w:rsidRPr="00323DB5">
        <w:t xml:space="preserve">, </w:t>
      </w:r>
      <w:r w:rsidR="00932C1D">
        <w:t xml:space="preserve">como exposto nos primeiros aclaratórios </w:t>
      </w:r>
      <w:r w:rsidR="00996394" w:rsidRPr="00931A83">
        <w:rPr>
          <w:sz w:val="20"/>
          <w:szCs w:val="18"/>
        </w:rPr>
        <w:t>(evento 13)</w:t>
      </w:r>
      <w:r w:rsidR="000716D1">
        <w:t>.</w:t>
      </w:r>
      <w:r w:rsidR="00931A83">
        <w:t xml:space="preserve"> </w:t>
      </w:r>
      <w:r w:rsidR="000716D1">
        <w:t>E</w:t>
      </w:r>
      <w:r w:rsidR="00931A83">
        <w:t xml:space="preserve"> e</w:t>
      </w:r>
      <w:r w:rsidR="000716D1">
        <w:t xml:space="preserve">sse fato </w:t>
      </w:r>
      <w:r w:rsidR="00932C1D">
        <w:t xml:space="preserve">afasta a </w:t>
      </w:r>
      <w:r w:rsidR="005D533C">
        <w:t xml:space="preserve">possibilidade de utilização </w:t>
      </w:r>
      <w:r w:rsidR="00996394">
        <w:t xml:space="preserve">do princípio da causalidade </w:t>
      </w:r>
      <w:r w:rsidR="005D533C">
        <w:t>para condená-la ao pagamento dos honorários sucumbenciais</w:t>
      </w:r>
      <w:r>
        <w:t>,</w:t>
      </w:r>
      <w:r w:rsidRPr="00323DB5">
        <w:t xml:space="preserve"> </w:t>
      </w:r>
      <w:r w:rsidR="005D533C">
        <w:t xml:space="preserve">como </w:t>
      </w:r>
      <w:r w:rsidR="008A294B">
        <w:t xml:space="preserve">foi </w:t>
      </w:r>
      <w:r w:rsidR="005D533C">
        <w:t>feito pelos arestos recorridos</w:t>
      </w:r>
      <w:r>
        <w:t>.</w:t>
      </w:r>
    </w:p>
    <w:p w14:paraId="207F0E39" w14:textId="63E05B34" w:rsidR="002F0973" w:rsidRDefault="002F2B85" w:rsidP="00A107E4">
      <w:pPr>
        <w:pStyle w:val="SemEspaamento"/>
      </w:pPr>
      <w:r>
        <w:t>Assim</w:t>
      </w:r>
      <w:r w:rsidR="00F328E3">
        <w:t xml:space="preserve"> sendo, uma vez constatad</w:t>
      </w:r>
      <w:r w:rsidR="004520D9">
        <w:t>o que os arestos recorridos incorreram em</w:t>
      </w:r>
      <w:r w:rsidR="00F328E3">
        <w:t xml:space="preserve"> afronta </w:t>
      </w:r>
      <w:r w:rsidR="004520D9">
        <w:t xml:space="preserve">direta </w:t>
      </w:r>
      <w:r w:rsidR="00F328E3">
        <w:t>ao art. 85 do CPC</w:t>
      </w:r>
      <w:r w:rsidR="00E1155B">
        <w:t xml:space="preserve"> e destoaram d</w:t>
      </w:r>
      <w:r w:rsidR="00C36492">
        <w:t xml:space="preserve">a conclusão do </w:t>
      </w:r>
      <w:r w:rsidR="00E1155B">
        <w:t xml:space="preserve">aresto paradigma </w:t>
      </w:r>
      <w:r w:rsidR="00E1155B" w:rsidRPr="00E1155B">
        <w:rPr>
          <w:sz w:val="20"/>
          <w:szCs w:val="18"/>
        </w:rPr>
        <w:t>(</w:t>
      </w:r>
      <w:r w:rsidR="00E1155B" w:rsidRPr="00E1155B">
        <w:rPr>
          <w:b/>
          <w:bCs/>
          <w:sz w:val="20"/>
          <w:szCs w:val="18"/>
        </w:rPr>
        <w:t>doc. 2</w:t>
      </w:r>
      <w:r w:rsidR="00E1155B" w:rsidRPr="00E1155B">
        <w:rPr>
          <w:sz w:val="20"/>
          <w:szCs w:val="18"/>
        </w:rPr>
        <w:t>)</w:t>
      </w:r>
      <w:r w:rsidR="00102F1F">
        <w:t xml:space="preserve">, o que </w:t>
      </w:r>
      <w:r w:rsidR="00E1155B">
        <w:t>caracteriza</w:t>
      </w:r>
      <w:r w:rsidR="00102F1F">
        <w:t xml:space="preserve"> </w:t>
      </w:r>
      <w:r w:rsidR="00EC70D1">
        <w:t xml:space="preserve">flagrante </w:t>
      </w:r>
      <w:r w:rsidR="00F328E3">
        <w:t>desrespeito ao</w:t>
      </w:r>
      <w:r w:rsidR="00EC70D1">
        <w:t xml:space="preserve"> Tema</w:t>
      </w:r>
      <w:r w:rsidR="000F6433">
        <w:t xml:space="preserve"> Repetitivo</w:t>
      </w:r>
      <w:r w:rsidR="00EC70D1">
        <w:t xml:space="preserve"> n. 1.229/STJ, </w:t>
      </w:r>
      <w:r w:rsidR="006D3724">
        <w:t xml:space="preserve">de eficácia vinculante e </w:t>
      </w:r>
      <w:r w:rsidR="00EC70D1">
        <w:t>que impede a fixação de honorários de sucumbenciais</w:t>
      </w:r>
      <w:r w:rsidR="00102F1F">
        <w:t>, para qualquer das partes,</w:t>
      </w:r>
      <w:r w:rsidR="00931A83">
        <w:t xml:space="preserve"> </w:t>
      </w:r>
      <w:r w:rsidR="004520D9">
        <w:t>o provimento deste recurso especial</w:t>
      </w:r>
      <w:r w:rsidR="00C45701">
        <w:t xml:space="preserve"> para </w:t>
      </w:r>
      <w:r w:rsidR="006D3724">
        <w:t xml:space="preserve">afastar </w:t>
      </w:r>
      <w:r w:rsidR="00C45701">
        <w:t>a condenação ao pagamento dos ônus sucumbenciais</w:t>
      </w:r>
      <w:r w:rsidR="006D3724">
        <w:t xml:space="preserve"> impost</w:t>
      </w:r>
      <w:r w:rsidR="00931A83">
        <w:t>os</w:t>
      </w:r>
      <w:r w:rsidR="006D3724">
        <w:t xml:space="preserve"> à recorrente é medida de Justiça.</w:t>
      </w:r>
    </w:p>
    <w:p w14:paraId="158C62FA" w14:textId="77777777" w:rsidR="00A34B85" w:rsidRPr="006829CF" w:rsidRDefault="00A34B85" w:rsidP="00A34B85">
      <w:pPr>
        <w:pStyle w:val="SemEspaamento"/>
        <w:numPr>
          <w:ilvl w:val="0"/>
          <w:numId w:val="0"/>
        </w:numPr>
        <w:ind w:left="1701"/>
      </w:pPr>
    </w:p>
    <w:p w14:paraId="33DA39EB" w14:textId="58E412A5" w:rsidR="00C6652C" w:rsidRDefault="00C6652C" w:rsidP="00C6652C">
      <w:pPr>
        <w:pStyle w:val="Ttulo"/>
      </w:pPr>
      <w:r w:rsidRPr="00136102">
        <w:t>I</w:t>
      </w:r>
      <w:r>
        <w:t>I</w:t>
      </w:r>
      <w:r w:rsidRPr="00136102">
        <w:t>I</w:t>
      </w:r>
      <w:r>
        <w:t>.2</w:t>
      </w:r>
      <w:r w:rsidRPr="00136102">
        <w:t xml:space="preserve"> –</w:t>
      </w:r>
      <w:r>
        <w:t xml:space="preserve"> Acórdãos recorridos que infringiram diretamente o</w:t>
      </w:r>
      <w:r w:rsidR="00C3605F">
        <w:t>s</w:t>
      </w:r>
      <w:r>
        <w:t xml:space="preserve"> art</w:t>
      </w:r>
      <w:r w:rsidR="00C3605F">
        <w:t>s</w:t>
      </w:r>
      <w:r>
        <w:t xml:space="preserve">. 489, §1º, IV, e 1.022, I e II, do CPC </w:t>
      </w:r>
    </w:p>
    <w:p w14:paraId="04554A4C" w14:textId="77777777" w:rsidR="00C6652C" w:rsidRPr="007D49CD" w:rsidRDefault="00C6652C" w:rsidP="009F5F15">
      <w:pPr>
        <w:rPr>
          <w:sz w:val="18"/>
          <w:szCs w:val="18"/>
        </w:rPr>
      </w:pPr>
    </w:p>
    <w:p w14:paraId="1B914A22" w14:textId="0D9A06A8" w:rsidR="00C6652C" w:rsidRDefault="005E14A0" w:rsidP="009F5F15">
      <w:pPr>
        <w:pStyle w:val="SemEspaamento"/>
      </w:pPr>
      <w:r>
        <w:t xml:space="preserve">Em um segundo momento, Excelência, </w:t>
      </w:r>
      <w:r w:rsidR="00C3605F">
        <w:t>o aresto que julgou os primeiros aclaratórios opostos</w:t>
      </w:r>
      <w:r w:rsidR="00762F80">
        <w:t xml:space="preserve"> </w:t>
      </w:r>
      <w:r w:rsidR="00762F80" w:rsidRPr="00762F80">
        <w:rPr>
          <w:sz w:val="20"/>
          <w:szCs w:val="18"/>
        </w:rPr>
        <w:t>(evento 29)</w:t>
      </w:r>
      <w:r w:rsidR="00C3605F">
        <w:t xml:space="preserve"> incorreu em afronta direta aos arts. 489, §1º, IV, e 1.022, I e II, do CPC, na medida em que </w:t>
      </w:r>
      <w:r w:rsidR="004845B8">
        <w:t>não esclareceu os vícios apontados no recurso integrativo.</w:t>
      </w:r>
    </w:p>
    <w:p w14:paraId="4F491073" w14:textId="04CB0A61" w:rsidR="004845B8" w:rsidRDefault="004845B8" w:rsidP="009F5F15">
      <w:pPr>
        <w:pStyle w:val="SemEspaamento"/>
      </w:pPr>
      <w:r>
        <w:t>Ora, nos primeiros aclaratórios</w:t>
      </w:r>
      <w:r w:rsidR="00D333AA">
        <w:t xml:space="preserve"> </w:t>
      </w:r>
      <w:r w:rsidR="00D333AA" w:rsidRPr="00D333AA">
        <w:rPr>
          <w:sz w:val="20"/>
          <w:szCs w:val="18"/>
        </w:rPr>
        <w:t>(evento 13)</w:t>
      </w:r>
      <w:r>
        <w:t>, a recorrente expôs que</w:t>
      </w:r>
      <w:r w:rsidR="00087838">
        <w:t xml:space="preserve"> o aresto que julgou as apelações </w:t>
      </w:r>
      <w:r w:rsidR="00087838" w:rsidRPr="00D333AA">
        <w:rPr>
          <w:b/>
          <w:bCs/>
        </w:rPr>
        <w:t>omitiu-se</w:t>
      </w:r>
      <w:r w:rsidR="00087838">
        <w:t xml:space="preserve"> na correta aplicação do Tema n. 1.229/ST</w:t>
      </w:r>
      <w:r w:rsidR="00C85D1B">
        <w:t>J</w:t>
      </w:r>
      <w:r w:rsidR="00D333AA">
        <w:t>, que impede condenação a honorários sucumbenciais</w:t>
      </w:r>
      <w:r w:rsidR="0087191F">
        <w:t xml:space="preserve"> em casos como o dos autos</w:t>
      </w:r>
      <w:r w:rsidR="00D333AA">
        <w:t>,</w:t>
      </w:r>
      <w:r w:rsidR="00087838">
        <w:t xml:space="preserve"> e</w:t>
      </w:r>
      <w:r w:rsidR="00C85D1B">
        <w:t xml:space="preserve"> </w:t>
      </w:r>
      <w:r w:rsidR="00C85D1B" w:rsidRPr="00D333AA">
        <w:rPr>
          <w:b/>
          <w:bCs/>
        </w:rPr>
        <w:t>incorreu em contradição interna</w:t>
      </w:r>
      <w:r w:rsidR="00C85D1B">
        <w:t xml:space="preserve"> porque</w:t>
      </w:r>
      <w:r w:rsidR="00F9312D">
        <w:t>, mesmo seguindo o posicionamento</w:t>
      </w:r>
      <w:r w:rsidR="008D472C">
        <w:t xml:space="preserve"> do</w:t>
      </w:r>
      <w:r w:rsidR="00F9312D">
        <w:t xml:space="preserve"> Tema </w:t>
      </w:r>
      <w:r w:rsidR="008D472C">
        <w:t xml:space="preserve">n. 1.229/STJ </w:t>
      </w:r>
      <w:r w:rsidR="00F9312D">
        <w:t>e firmando que não são cabíveis honorários advocatícios quando a</w:t>
      </w:r>
      <w:r w:rsidR="00C85D1B">
        <w:t>colhida</w:t>
      </w:r>
      <w:r w:rsidR="00F9312D">
        <w:t xml:space="preserve"> exceção de pré-executividade</w:t>
      </w:r>
      <w:r w:rsidR="00C85D1B">
        <w:t xml:space="preserve"> pela prescrição intercorrente, </w:t>
      </w:r>
      <w:r w:rsidR="00762F80">
        <w:t>manteve a condenação da recorrente a suportar os honorários sucumbenciais</w:t>
      </w:r>
      <w:r w:rsidR="008D472C">
        <w:t>, em evidente contrassenso</w:t>
      </w:r>
      <w:r w:rsidR="00762F80">
        <w:t>.</w:t>
      </w:r>
    </w:p>
    <w:p w14:paraId="780625CC" w14:textId="561FDDB2" w:rsidR="00762F80" w:rsidRDefault="00762F80" w:rsidP="009F5F15">
      <w:pPr>
        <w:pStyle w:val="SemEspaamento"/>
      </w:pPr>
      <w:r>
        <w:t>N</w:t>
      </w:r>
      <w:r w:rsidR="001E0EC5">
        <w:t>esse</w:t>
      </w:r>
      <w:r>
        <w:t>s embargos de declaração</w:t>
      </w:r>
      <w:r w:rsidR="001E0EC5">
        <w:t xml:space="preserve"> </w:t>
      </w:r>
      <w:r w:rsidR="001E0EC5" w:rsidRPr="00D333AA">
        <w:rPr>
          <w:sz w:val="20"/>
          <w:szCs w:val="18"/>
        </w:rPr>
        <w:t>(evento 13)</w:t>
      </w:r>
      <w:r>
        <w:t xml:space="preserve"> também foi </w:t>
      </w:r>
      <w:r w:rsidR="004D76F0">
        <w:t xml:space="preserve">registrado que </w:t>
      </w:r>
      <w:r w:rsidR="004D76F0" w:rsidRPr="004D76F0">
        <w:t xml:space="preserve">o </w:t>
      </w:r>
      <w:r w:rsidR="00154F34">
        <w:t xml:space="preserve">primeiro </w:t>
      </w:r>
      <w:r w:rsidR="004D76F0" w:rsidRPr="004D76F0">
        <w:t xml:space="preserve">aresto embargado também </w:t>
      </w:r>
      <w:r w:rsidR="004D76F0" w:rsidRPr="004D76F0">
        <w:rPr>
          <w:b/>
          <w:bCs/>
        </w:rPr>
        <w:t xml:space="preserve">não considerou </w:t>
      </w:r>
      <w:r w:rsidR="004D76F0" w:rsidRPr="004D76F0">
        <w:rPr>
          <w:b/>
          <w:bCs/>
          <w:sz w:val="20"/>
          <w:szCs w:val="18"/>
        </w:rPr>
        <w:t>(omissão)</w:t>
      </w:r>
      <w:r w:rsidR="004D76F0" w:rsidRPr="004D76F0">
        <w:t xml:space="preserve"> o fato de que a execução fiscal originária foi proposta em razão de débito da empresa LORINGO COMÉRCIO IMPORTAÇÃO E EXPORTAÇÃO LTDA. e, somente durante o seu curso, foi acolhido o pedido de </w:t>
      </w:r>
      <w:r w:rsidR="004D76F0" w:rsidRPr="001F078F">
        <w:rPr>
          <w:u w:val="single"/>
        </w:rPr>
        <w:t>redirecionamento</w:t>
      </w:r>
      <w:r w:rsidR="004D76F0" w:rsidRPr="004D76F0">
        <w:t xml:space="preserve"> </w:t>
      </w:r>
      <w:r w:rsidR="004D76F0" w:rsidRPr="001F078F">
        <w:rPr>
          <w:u w:val="single"/>
        </w:rPr>
        <w:t>do</w:t>
      </w:r>
      <w:r w:rsidR="004D76F0" w:rsidRPr="004D76F0">
        <w:t xml:space="preserve"> </w:t>
      </w:r>
      <w:r w:rsidR="004D76F0" w:rsidRPr="001F078F">
        <w:rPr>
          <w:u w:val="single"/>
        </w:rPr>
        <w:t>feito</w:t>
      </w:r>
      <w:r w:rsidR="004D76F0" w:rsidRPr="004D76F0">
        <w:t xml:space="preserve"> executivo, feito pelo exequente/apelado </w:t>
      </w:r>
      <w:r w:rsidR="004D76F0" w:rsidRPr="004D76F0">
        <w:rPr>
          <w:sz w:val="20"/>
          <w:szCs w:val="18"/>
        </w:rPr>
        <w:t>(evento 3, PROCJUDIC4, p. 11)</w:t>
      </w:r>
      <w:r w:rsidR="004D76F0" w:rsidRPr="004D76F0">
        <w:t xml:space="preserve">, ocasião em que a </w:t>
      </w:r>
      <w:r w:rsidR="004D76F0">
        <w:t>recorrente</w:t>
      </w:r>
      <w:r w:rsidR="004D76F0" w:rsidRPr="004D76F0">
        <w:t xml:space="preserve"> </w:t>
      </w:r>
      <w:proofErr w:type="spellStart"/>
      <w:r w:rsidR="004D76F0" w:rsidRPr="004D76F0">
        <w:t>Mariannina</w:t>
      </w:r>
      <w:proofErr w:type="spellEnd"/>
      <w:r w:rsidR="004D76F0" w:rsidRPr="004D76F0">
        <w:t xml:space="preserve"> foi envolvida na demanda.</w:t>
      </w:r>
    </w:p>
    <w:p w14:paraId="5D46334E" w14:textId="78B0CE1C" w:rsidR="00762F80" w:rsidRDefault="00323DB5" w:rsidP="00C6307B">
      <w:pPr>
        <w:pStyle w:val="SemEspaamento"/>
      </w:pPr>
      <w:r>
        <w:t xml:space="preserve">Aliás, </w:t>
      </w:r>
      <w:r w:rsidR="004D3BBE">
        <w:t>a recorrente ainda argumentou</w:t>
      </w:r>
      <w:r>
        <w:t xml:space="preserve"> ess</w:t>
      </w:r>
      <w:r w:rsidR="001B2350">
        <w:t>e</w:t>
      </w:r>
      <w:r w:rsidR="008D472C">
        <w:t xml:space="preserve"> </w:t>
      </w:r>
      <w:r w:rsidR="001B2350">
        <w:t xml:space="preserve">fato </w:t>
      </w:r>
      <w:r>
        <w:t xml:space="preserve">comprova que não </w:t>
      </w:r>
      <w:r w:rsidRPr="00323DB5">
        <w:t xml:space="preserve">se </w:t>
      </w:r>
      <w:r w:rsidR="004D3BBE">
        <w:t xml:space="preserve">está diante </w:t>
      </w:r>
      <w:r w:rsidRPr="00323DB5">
        <w:t xml:space="preserve">de dívida não paga pela própria </w:t>
      </w:r>
      <w:proofErr w:type="spellStart"/>
      <w:r w:rsidR="004D3BBE">
        <w:t>Mariannina</w:t>
      </w:r>
      <w:proofErr w:type="spellEnd"/>
      <w:r w:rsidR="007D49CD">
        <w:t xml:space="preserve">, o que também foi ignorado, em </w:t>
      </w:r>
      <w:r w:rsidR="007D49CD" w:rsidRPr="007D49CD">
        <w:rPr>
          <w:b/>
          <w:bCs/>
        </w:rPr>
        <w:t>nova omissão</w:t>
      </w:r>
      <w:r w:rsidR="007D49CD">
        <w:t>, pelo acórdão que julgou os primeiros aclaratórios</w:t>
      </w:r>
      <w:r w:rsidR="001B2350">
        <w:t>.</w:t>
      </w:r>
      <w:r w:rsidR="007D49CD">
        <w:t xml:space="preserve"> </w:t>
      </w:r>
      <w:r w:rsidR="001B2350">
        <w:t xml:space="preserve">Portanto, é óbvio que a recorrente </w:t>
      </w:r>
      <w:r w:rsidRPr="00323DB5">
        <w:t xml:space="preserve">não deu causa ao ajuizamento da demanda e </w:t>
      </w:r>
      <w:r w:rsidR="004D3BBE">
        <w:t xml:space="preserve">isso </w:t>
      </w:r>
      <w:r w:rsidRPr="00323DB5">
        <w:t>afasta, inclusive, a possibilidade de aplicação do princípio da causalidade</w:t>
      </w:r>
      <w:r w:rsidR="004379D5">
        <w:t xml:space="preserve"> no presente caso</w:t>
      </w:r>
      <w:r w:rsidR="001F078F">
        <w:t xml:space="preserve">, </w:t>
      </w:r>
      <w:r w:rsidR="001B2350">
        <w:t xml:space="preserve">derruindo </w:t>
      </w:r>
      <w:r w:rsidR="004379D5">
        <w:t xml:space="preserve">o argumento </w:t>
      </w:r>
      <w:r w:rsidR="001F078F">
        <w:t>utilizado pelo acórdão que julgou as apelações</w:t>
      </w:r>
      <w:r w:rsidRPr="00323DB5">
        <w:t xml:space="preserve"> para </w:t>
      </w:r>
      <w:r w:rsidR="001B2350">
        <w:t xml:space="preserve">manter </w:t>
      </w:r>
      <w:r w:rsidRPr="00323DB5">
        <w:t xml:space="preserve">o dever de arcar com </w:t>
      </w:r>
      <w:r w:rsidR="00154F34">
        <w:t xml:space="preserve">os </w:t>
      </w:r>
      <w:r w:rsidRPr="00323DB5">
        <w:t>ônus sucumbenciais</w:t>
      </w:r>
      <w:r w:rsidR="001B2350" w:rsidRPr="001B2350">
        <w:t xml:space="preserve"> </w:t>
      </w:r>
      <w:r w:rsidR="001B2350" w:rsidRPr="00323DB5">
        <w:t xml:space="preserve">à </w:t>
      </w:r>
      <w:proofErr w:type="spellStart"/>
      <w:r w:rsidR="001B2350" w:rsidRPr="00323DB5">
        <w:t>Mariannina</w:t>
      </w:r>
      <w:proofErr w:type="spellEnd"/>
      <w:r w:rsidR="004D3BBE">
        <w:t>.</w:t>
      </w:r>
    </w:p>
    <w:p w14:paraId="42C85826" w14:textId="365B01A3" w:rsidR="004D3BBE" w:rsidRDefault="00154F34" w:rsidP="009F5F15">
      <w:pPr>
        <w:pStyle w:val="SemEspaamento"/>
      </w:pPr>
      <w:r>
        <w:t>Logo</w:t>
      </w:r>
      <w:r w:rsidR="00036E99">
        <w:t>, ao não enfrentarem, de forma devida, esses vícios apontados</w:t>
      </w:r>
      <w:r w:rsidR="004D3BBE">
        <w:t>,</w:t>
      </w:r>
      <w:r w:rsidR="00036E99">
        <w:t xml:space="preserve"> </w:t>
      </w:r>
      <w:r w:rsidR="00B37CE1">
        <w:t xml:space="preserve">o aresto que julgou esses aclaratórios </w:t>
      </w:r>
      <w:r w:rsidR="00B37CE1" w:rsidRPr="00B37CE1">
        <w:rPr>
          <w:sz w:val="20"/>
          <w:szCs w:val="18"/>
        </w:rPr>
        <w:t>(evento 29)</w:t>
      </w:r>
      <w:r w:rsidR="00B37CE1">
        <w:t xml:space="preserve"> violou frontalmente os </w:t>
      </w:r>
      <w:r w:rsidR="00B37CE1" w:rsidRPr="00B37CE1">
        <w:t>arts. 489, §1º, IV, e 1.022, I e II, do CPC</w:t>
      </w:r>
      <w:r w:rsidR="00B37CE1">
        <w:t>.</w:t>
      </w:r>
    </w:p>
    <w:p w14:paraId="73343455" w14:textId="75A5B92F" w:rsidR="00B37CE1" w:rsidRDefault="00B37CE1" w:rsidP="009F5F15">
      <w:pPr>
        <w:pStyle w:val="SemEspaamento"/>
      </w:pPr>
      <w:r>
        <w:t>Isso porque, sobre os primeiros vícios indicados, o aresto</w:t>
      </w:r>
      <w:r w:rsidR="00456812">
        <w:t xml:space="preserve"> do evento 29,</w:t>
      </w:r>
      <w:r w:rsidR="009F3DA5">
        <w:t xml:space="preserve"> incidindo em erro de premissa,</w:t>
      </w:r>
      <w:r>
        <w:t xml:space="preserve"> </w:t>
      </w:r>
      <w:r w:rsidR="00456812">
        <w:t xml:space="preserve">sustentou </w:t>
      </w:r>
      <w:r>
        <w:t xml:space="preserve">que </w:t>
      </w:r>
      <w:r w:rsidR="009F3DA5">
        <w:t xml:space="preserve">seria mera tentativa de rediscussão e </w:t>
      </w:r>
      <w:r>
        <w:t>“</w:t>
      </w:r>
      <w:r w:rsidR="00822B0A" w:rsidRPr="00822B0A">
        <w:rPr>
          <w:i/>
          <w:iCs/>
        </w:rPr>
        <w:t>que a pretensão esboçada nos autos do recurso de apelação dizia respeito, única e exclusivamente, à reforma da sentença para </w:t>
      </w:r>
      <w:r w:rsidR="008B4D63">
        <w:rPr>
          <w:i/>
          <w:iCs/>
        </w:rPr>
        <w:t>“</w:t>
      </w:r>
      <w:r w:rsidR="00822B0A" w:rsidRPr="00822B0A">
        <w:rPr>
          <w:i/>
          <w:iCs/>
          <w:u w:val="single"/>
        </w:rPr>
        <w:t>condenar o apelado/exequente ao pagamento das custas e dos honorários sucumbenciais" (fl. 05, </w:t>
      </w:r>
      <w:hyperlink r:id="rId9" w:tgtFrame="_blank" w:history="1">
        <w:r w:rsidR="00822B0A" w:rsidRPr="00822B0A">
          <w:rPr>
            <w:rStyle w:val="Hyperlink"/>
            <w:b/>
            <w:bCs/>
            <w:i/>
            <w:iCs/>
          </w:rPr>
          <w:t>evento 88, APELAÇÃO1</w:t>
        </w:r>
      </w:hyperlink>
      <w:r w:rsidR="00822B0A" w:rsidRPr="00822B0A">
        <w:rPr>
          <w:i/>
          <w:iCs/>
          <w:u w:val="single"/>
        </w:rPr>
        <w:t>)</w:t>
      </w:r>
      <w:r w:rsidR="00822B0A" w:rsidRPr="00822B0A">
        <w:rPr>
          <w:b/>
          <w:bCs/>
          <w:i/>
          <w:iCs/>
        </w:rPr>
        <w:t>,</w:t>
      </w:r>
      <w:r w:rsidR="00822B0A" w:rsidRPr="00822B0A">
        <w:rPr>
          <w:i/>
          <w:iCs/>
        </w:rPr>
        <w:t> o que não se afigura possível justamente em razão da aplicação do Tema Repetitivo n. 1.229/STJ delineada no decisum, que impede a fixação de honorários advocatícios em favor da parte executada quando a exceção de pré-executividade é acolhida para extinguir a execução fiscal em razão do reconhecimento da prescrição intercorrente</w:t>
      </w:r>
      <w:r w:rsidR="008B4D63">
        <w:t>”</w:t>
      </w:r>
      <w:r w:rsidR="00333005">
        <w:t xml:space="preserve"> </w:t>
      </w:r>
      <w:r w:rsidR="00333005" w:rsidRPr="00333005">
        <w:rPr>
          <w:sz w:val="20"/>
          <w:szCs w:val="18"/>
        </w:rPr>
        <w:t>(evento 29)</w:t>
      </w:r>
      <w:r w:rsidR="00822B0A">
        <w:t>.</w:t>
      </w:r>
    </w:p>
    <w:p w14:paraId="648C8654" w14:textId="09B28D96" w:rsidR="00822B0A" w:rsidRDefault="00822B0A" w:rsidP="009F5F15">
      <w:pPr>
        <w:pStyle w:val="SemEspaamento"/>
      </w:pPr>
      <w:r>
        <w:t xml:space="preserve">Como visto, Excelência, </w:t>
      </w:r>
      <w:r w:rsidR="006F75E8">
        <w:t xml:space="preserve">esse posicionamento não enfrentou os vícios de omissão e contradição interna apontados, que dizem respeito à impossibilidade de fixação de honorários sucumbenciais também contra a recorrente no presente caso, o que já comprova que esse aresto desrespeitou, de forma manifesta, os arts. </w:t>
      </w:r>
      <w:r w:rsidR="006F75E8" w:rsidRPr="00B37CE1">
        <w:t>489, §1º, IV, e 1.022, I e II, do CPC</w:t>
      </w:r>
      <w:r w:rsidR="006F75E8">
        <w:t>.</w:t>
      </w:r>
    </w:p>
    <w:p w14:paraId="5349FA3F" w14:textId="30D7CA0B" w:rsidR="006F75E8" w:rsidRDefault="001F078F" w:rsidP="009F5F15">
      <w:pPr>
        <w:pStyle w:val="SemEspaamento"/>
      </w:pPr>
      <w:r>
        <w:t>Mas não é só.</w:t>
      </w:r>
    </w:p>
    <w:p w14:paraId="3B63FB77" w14:textId="36F8CE05" w:rsidR="008568E0" w:rsidRPr="008568E0" w:rsidRDefault="001F078F" w:rsidP="00F63422">
      <w:pPr>
        <w:pStyle w:val="SemEspaamento"/>
      </w:pPr>
      <w:r>
        <w:t>Quanto</w:t>
      </w:r>
      <w:r w:rsidR="004379D5">
        <w:t xml:space="preserve"> ao argumento </w:t>
      </w:r>
      <w:r w:rsidR="00240FAB">
        <w:t xml:space="preserve">de que </w:t>
      </w:r>
      <w:r w:rsidR="0045524A">
        <w:t>a recorrente</w:t>
      </w:r>
      <w:r w:rsidR="00240FAB">
        <w:t xml:space="preserve"> não deu causa ao ajuizamento da ação executiva e só foi incluída após o redirecionamento do feito executivo,</w:t>
      </w:r>
      <w:r w:rsidR="00F76B0D">
        <w:t xml:space="preserve"> o que afasta a possibilidade de condenação com base no princípio da causalidade</w:t>
      </w:r>
      <w:r w:rsidR="008568E0">
        <w:t>, mais uma vez sem enfrentar devidamente omissão apontada,</w:t>
      </w:r>
      <w:r w:rsidR="00F76B0D">
        <w:t xml:space="preserve"> </w:t>
      </w:r>
      <w:r w:rsidR="008568E0">
        <w:t xml:space="preserve">o acórdão que julgou os primeiros aclaratórios </w:t>
      </w:r>
      <w:r w:rsidR="00F76B0D">
        <w:t xml:space="preserve">alegou que </w:t>
      </w:r>
      <w:r w:rsidR="008568E0">
        <w:t>“</w:t>
      </w:r>
      <w:r w:rsidR="008568E0" w:rsidRPr="008568E0">
        <w:rPr>
          <w:i/>
          <w:iCs/>
        </w:rPr>
        <w:t>tal argumento não foi suscitado nas razões de apelação. Não houve, portanto, qualquer alegação prévia no sentido de que a sócia-administradora não deveria ser condenada ao pagamento de honorários advocatícios, por não ter dado causa ao ajuizamento da demanda, tratando-se de inovação recursal trazida apenas nos embargos de declaração, o que não é admissível</w:t>
      </w:r>
      <w:r w:rsidR="008568E0">
        <w:t>”</w:t>
      </w:r>
      <w:r w:rsidR="008568E0" w:rsidRPr="008568E0">
        <w:t>.</w:t>
      </w:r>
    </w:p>
    <w:p w14:paraId="72EF4209" w14:textId="2BD00439" w:rsidR="001F078F" w:rsidRDefault="008568E0" w:rsidP="008568E0">
      <w:pPr>
        <w:pStyle w:val="SemEspaamento"/>
      </w:pPr>
      <w:r>
        <w:t xml:space="preserve">Como visto, Excelência, mesmo os honorários sucumbenciais </w:t>
      </w:r>
      <w:r w:rsidR="004057DB">
        <w:t xml:space="preserve">constituindo </w:t>
      </w:r>
      <w:r>
        <w:t xml:space="preserve">matéria de ordem pública, </w:t>
      </w:r>
      <w:r w:rsidR="004057DB">
        <w:t xml:space="preserve">o acórdão recorrido que julgou os primeiros embargos de declaração </w:t>
      </w:r>
      <w:r w:rsidR="004057DB" w:rsidRPr="009B5D40">
        <w:rPr>
          <w:sz w:val="20"/>
          <w:szCs w:val="18"/>
        </w:rPr>
        <w:t>(evento 29)</w:t>
      </w:r>
      <w:r w:rsidR="004057DB">
        <w:t xml:space="preserve"> incorreu em nova violação frontal aos arts. </w:t>
      </w:r>
      <w:r w:rsidR="004057DB" w:rsidRPr="00B37CE1">
        <w:t>489, §1º, IV, e 1.022, I e II, do CPC</w:t>
      </w:r>
      <w:r w:rsidR="004057DB">
        <w:t xml:space="preserve"> </w:t>
      </w:r>
      <w:r w:rsidR="001B4962">
        <w:t xml:space="preserve">ao </w:t>
      </w:r>
      <w:r>
        <w:t>não enfrent</w:t>
      </w:r>
      <w:r w:rsidR="001B4962">
        <w:t>ar</w:t>
      </w:r>
      <w:r>
        <w:t xml:space="preserve"> o </w:t>
      </w:r>
      <w:r w:rsidR="00E12218">
        <w:t>vício apontado que</w:t>
      </w:r>
      <w:r w:rsidR="00C605A0">
        <w:t>,</w:t>
      </w:r>
      <w:r w:rsidR="00E12218">
        <w:t xml:space="preserve"> </w:t>
      </w:r>
      <w:r w:rsidR="00C605A0">
        <w:t xml:space="preserve">invariavelmente, </w:t>
      </w:r>
      <w:r w:rsidR="001B4962">
        <w:t xml:space="preserve">infirma </w:t>
      </w:r>
      <w:r w:rsidR="00E12218">
        <w:t>a premissa</w:t>
      </w:r>
      <w:r w:rsidR="00C733C6">
        <w:t xml:space="preserve"> </w:t>
      </w:r>
      <w:r w:rsidR="00C733C6" w:rsidRPr="00C733C6">
        <w:rPr>
          <w:sz w:val="22"/>
          <w:szCs w:val="20"/>
        </w:rPr>
        <w:t>– equivocada –</w:t>
      </w:r>
      <w:r w:rsidR="00E12218">
        <w:t xml:space="preserve"> adotada</w:t>
      </w:r>
      <w:r w:rsidR="009B5D40">
        <w:t xml:space="preserve"> pelos arestos recorridos,</w:t>
      </w:r>
      <w:r w:rsidR="00E12218">
        <w:t xml:space="preserve"> de que </w:t>
      </w:r>
      <w:proofErr w:type="spellStart"/>
      <w:r w:rsidR="00E12218">
        <w:t>Mariannina</w:t>
      </w:r>
      <w:proofErr w:type="spellEnd"/>
      <w:r w:rsidR="00E12218">
        <w:t xml:space="preserve"> </w:t>
      </w:r>
      <w:r w:rsidR="00C733C6">
        <w:t xml:space="preserve">teria dado </w:t>
      </w:r>
      <w:r w:rsidR="00E12218">
        <w:t xml:space="preserve">causa à demanda </w:t>
      </w:r>
      <w:r w:rsidR="001B4962">
        <w:t>e seria aplicável o princípio da causalidade para manter/majorar honorários sucumbenciais</w:t>
      </w:r>
      <w:r w:rsidR="00C605A0">
        <w:t xml:space="preserve"> contra a recorrente</w:t>
      </w:r>
      <w:r w:rsidR="009B5D40">
        <w:t>.</w:t>
      </w:r>
    </w:p>
    <w:p w14:paraId="2F3AE82E" w14:textId="1E2E63A9" w:rsidR="004A5759" w:rsidRPr="004A5759" w:rsidRDefault="002E0F2F" w:rsidP="004A5759">
      <w:pPr>
        <w:pStyle w:val="SemEspaamento"/>
      </w:pPr>
      <w:r>
        <w:t xml:space="preserve">Não fosse isso tudo o suficiente, após a oposição de novos aclaratórios </w:t>
      </w:r>
      <w:r w:rsidRPr="005B3BA0">
        <w:rPr>
          <w:sz w:val="20"/>
          <w:szCs w:val="18"/>
        </w:rPr>
        <w:t>(evento 39)</w:t>
      </w:r>
      <w:r>
        <w:t xml:space="preserve">, apontando </w:t>
      </w:r>
      <w:r w:rsidR="005B3BA0">
        <w:t>a persistência da omissão e contradição interna apontadas anteriormente, ou seja, de que o Tema n. 1.229/STJ impede a fixação de honorários de sucumbência no presente caso,</w:t>
      </w:r>
      <w:r w:rsidR="00816BF4">
        <w:t xml:space="preserve"> </w:t>
      </w:r>
      <w:r w:rsidR="0071472B">
        <w:t xml:space="preserve">sobreveio acórdão que rejeitou o pleito recursal </w:t>
      </w:r>
      <w:r w:rsidR="0071472B" w:rsidRPr="004A5759">
        <w:rPr>
          <w:sz w:val="20"/>
          <w:szCs w:val="18"/>
        </w:rPr>
        <w:t>(evento 71)</w:t>
      </w:r>
      <w:r w:rsidR="0071472B">
        <w:t xml:space="preserve"> reafirmando que seria o caso de rediscussão da matéria já decidida e </w:t>
      </w:r>
      <w:r w:rsidR="004A5759">
        <w:t>sustentando</w:t>
      </w:r>
      <w:r w:rsidR="00EF2F65">
        <w:t>, em síntese,</w:t>
      </w:r>
      <w:r w:rsidR="004A5759">
        <w:t xml:space="preserve"> que justamente “</w:t>
      </w:r>
      <w:r w:rsidR="004A5759" w:rsidRPr="00EF2F65">
        <w:rPr>
          <w:i/>
          <w:iCs/>
        </w:rPr>
        <w:t>com fundamento no princípio da causalidade, a r. sentença, confirmada no julgamento dos recursos de apelação, fixou honorários em favor do exequente, não estando configurada omissão ou contradição interna</w:t>
      </w:r>
      <w:r w:rsidR="004A5759">
        <w:t xml:space="preserve">” </w:t>
      </w:r>
      <w:r w:rsidR="004A5759" w:rsidRPr="004A5759">
        <w:rPr>
          <w:sz w:val="20"/>
          <w:szCs w:val="18"/>
        </w:rPr>
        <w:t>(evento 71)</w:t>
      </w:r>
      <w:r w:rsidR="004A5759" w:rsidRPr="004A5759">
        <w:t>.</w:t>
      </w:r>
    </w:p>
    <w:p w14:paraId="64C56748" w14:textId="2E5065F2" w:rsidR="00C605A0" w:rsidRPr="009F5F15" w:rsidRDefault="00EF2F65" w:rsidP="008568E0">
      <w:pPr>
        <w:pStyle w:val="SemEspaamento"/>
      </w:pPr>
      <w:r>
        <w:t xml:space="preserve">Não há dúvida, portanto que o acórdão que julgou os segundos aclaratórios opostos também negou vigência aos arts. </w:t>
      </w:r>
      <w:r w:rsidRPr="00B37CE1">
        <w:t>489, §1º, IV, e 1.022, I e II, do CPC</w:t>
      </w:r>
      <w:r>
        <w:t>, pois não enfrentou de forma minimamente satisfatória os vícios indicados, desrespeitou de forma flagrante a tese vinculante firmada no Tema n. 1.229/STJ e</w:t>
      </w:r>
      <w:r w:rsidR="00D55E7F">
        <w:t xml:space="preserve"> perpetuou a grave injustiça que vem sendo cometida contra a recorrente, de modo que o provimento do presente reclamo, por ofensa direta aos dispositivos legais indicados, é medida que se impõe.</w:t>
      </w:r>
    </w:p>
    <w:p w14:paraId="65531E1E" w14:textId="77777777" w:rsidR="00C6652C" w:rsidRPr="007A42C9" w:rsidRDefault="00C6652C" w:rsidP="00D55E7F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4C90EFFC" w14:textId="159AF098" w:rsidR="000169F1" w:rsidRPr="00136102" w:rsidRDefault="004A181D" w:rsidP="0074005F">
      <w:pPr>
        <w:pStyle w:val="Ttulo"/>
      </w:pPr>
      <w:r>
        <w:t>I</w:t>
      </w:r>
      <w:r w:rsidR="00C6652C">
        <w:t xml:space="preserve">V </w:t>
      </w:r>
      <w:r w:rsidR="006353FC">
        <w:t>–</w:t>
      </w:r>
      <w:r w:rsidR="00B71DEA">
        <w:t xml:space="preserve"> </w:t>
      </w:r>
      <w:r w:rsidR="000169F1">
        <w:t xml:space="preserve">REQUERIMENTOS </w:t>
      </w:r>
    </w:p>
    <w:p w14:paraId="6F5384FD" w14:textId="77777777" w:rsidR="000169F1" w:rsidRPr="007A42C9" w:rsidRDefault="000169F1" w:rsidP="00326254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7221D412" w14:textId="35B7B891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020BAE">
        <w:t xml:space="preserve">a </w:t>
      </w:r>
      <w:r w:rsidR="004A181D">
        <w:t xml:space="preserve">recorrente </w:t>
      </w:r>
      <w:r w:rsidR="00020BAE">
        <w:t>requer</w:t>
      </w:r>
      <w:r w:rsidRPr="00136102">
        <w:t>:</w:t>
      </w:r>
    </w:p>
    <w:p w14:paraId="16D1A19D" w14:textId="77777777" w:rsidR="000169F1" w:rsidRPr="007A42C9" w:rsidRDefault="000169F1" w:rsidP="00EF110A">
      <w:pPr>
        <w:pStyle w:val="SemEspaamento"/>
        <w:numPr>
          <w:ilvl w:val="0"/>
          <w:numId w:val="0"/>
        </w:numPr>
        <w:ind w:left="1701"/>
        <w:rPr>
          <w:sz w:val="8"/>
          <w:szCs w:val="6"/>
        </w:rPr>
      </w:pPr>
    </w:p>
    <w:p w14:paraId="0331CD3E" w14:textId="2C242543" w:rsidR="000169F1" w:rsidRDefault="00D80C14" w:rsidP="000169F1">
      <w:pPr>
        <w:pStyle w:val="SemEspaamento"/>
        <w:numPr>
          <w:ilvl w:val="0"/>
          <w:numId w:val="2"/>
        </w:numPr>
        <w:ind w:left="0" w:firstLine="1418"/>
      </w:pPr>
      <w:r>
        <w:t>o recebimento e o processamento dest</w:t>
      </w:r>
      <w:r w:rsidR="004F72BF">
        <w:t xml:space="preserve">e recurso </w:t>
      </w:r>
      <w:r w:rsidR="004A181D">
        <w:t>especial, pois preenchidos os pressupostos de admissibilidade</w:t>
      </w:r>
      <w:r w:rsidR="000169F1">
        <w:t>;</w:t>
      </w:r>
    </w:p>
    <w:p w14:paraId="289B88C2" w14:textId="6DDFBFCC" w:rsidR="000169F1" w:rsidRDefault="00D80C14" w:rsidP="000169F1">
      <w:pPr>
        <w:pStyle w:val="SemEspaamento"/>
        <w:numPr>
          <w:ilvl w:val="0"/>
          <w:numId w:val="2"/>
        </w:numPr>
        <w:ind w:left="0" w:firstLine="1418"/>
      </w:pPr>
      <w:r>
        <w:t>a intimação d</w:t>
      </w:r>
      <w:r w:rsidR="004F72BF">
        <w:t xml:space="preserve">o </w:t>
      </w:r>
      <w:r w:rsidR="004A181D">
        <w:t xml:space="preserve">recorrido </w:t>
      </w:r>
      <w:r>
        <w:t xml:space="preserve">para, querendo, </w:t>
      </w:r>
      <w:r w:rsidR="004F72BF">
        <w:t>apresentar contrarrazões</w:t>
      </w:r>
      <w:r w:rsidR="000169F1">
        <w:t>;</w:t>
      </w:r>
    </w:p>
    <w:p w14:paraId="7BC358BD" w14:textId="402A3CEC" w:rsidR="007C2F91" w:rsidRDefault="0029056D" w:rsidP="00CA1DBE">
      <w:pPr>
        <w:pStyle w:val="SemEspaamento"/>
        <w:numPr>
          <w:ilvl w:val="0"/>
          <w:numId w:val="2"/>
        </w:numPr>
        <w:ind w:left="0" w:firstLine="1418"/>
      </w:pPr>
      <w:r>
        <w:t>o provimento d</w:t>
      </w:r>
      <w:r w:rsidR="004A181D">
        <w:t>o reclamo</w:t>
      </w:r>
      <w:r w:rsidR="00611ACD">
        <w:t xml:space="preserve"> </w:t>
      </w:r>
      <w:r w:rsidR="004A181D">
        <w:t>interposto</w:t>
      </w:r>
      <w:r w:rsidR="00020BAE">
        <w:t xml:space="preserve"> para </w:t>
      </w:r>
      <w:r w:rsidR="00EC59C2">
        <w:t xml:space="preserve">reconhecer que </w:t>
      </w:r>
      <w:r w:rsidR="004A181D">
        <w:t xml:space="preserve">os arestos recorridos </w:t>
      </w:r>
      <w:r w:rsidR="00EC59C2">
        <w:t>infringiram frontalmente o art. 85 do CPC</w:t>
      </w:r>
      <w:r w:rsidR="00FA36F1">
        <w:t xml:space="preserve"> e destoaram da conclusão do aresto paradigma</w:t>
      </w:r>
      <w:r w:rsidR="00EC59C2">
        <w:t xml:space="preserve">, </w:t>
      </w:r>
      <w:r w:rsidR="00FA36F1">
        <w:t xml:space="preserve">ao aplicarem de forma </w:t>
      </w:r>
      <w:r w:rsidR="00EC59C2">
        <w:t xml:space="preserve">incorreta </w:t>
      </w:r>
      <w:r w:rsidR="00FA36F1">
        <w:t xml:space="preserve">a </w:t>
      </w:r>
      <w:r w:rsidR="00EC59C2">
        <w:t xml:space="preserve">tese vinculante firmada no Tema n. 1.229/STJ, </w:t>
      </w:r>
      <w:r w:rsidR="004A181D">
        <w:t xml:space="preserve">e afastar a condenação da recorrente </w:t>
      </w:r>
      <w:r w:rsidR="00EC59C2">
        <w:t>ao pagamento dos honorários sucumbenciais</w:t>
      </w:r>
      <w:r w:rsidR="00497004">
        <w:t xml:space="preserve">, tendo em vista que </w:t>
      </w:r>
      <w:r w:rsidR="00C47072">
        <w:t>se sagrou</w:t>
      </w:r>
      <w:r w:rsidR="00497004">
        <w:t xml:space="preserve"> vencedora </w:t>
      </w:r>
      <w:r w:rsidR="006F2A02">
        <w:t xml:space="preserve">após o reconhecimento da prescrição intercorrente da execução fiscal originária, por meio de exceção de pré-executividade, </w:t>
      </w:r>
      <w:r w:rsidR="00497004">
        <w:t>e porque não deu causa ao ajuizamento da ação executiva</w:t>
      </w:r>
      <w:r w:rsidR="006F2A02">
        <w:t>, já que não integrou o polo passivo inicial do feito executivo</w:t>
      </w:r>
      <w:r w:rsidR="00C47072">
        <w:t xml:space="preserve">, o que impede a aplicação do princípio da causalidade </w:t>
      </w:r>
      <w:r w:rsidR="006F2A02">
        <w:t xml:space="preserve">no </w:t>
      </w:r>
      <w:r w:rsidR="00C47072">
        <w:t>caso vertente;</w:t>
      </w:r>
    </w:p>
    <w:p w14:paraId="70471B47" w14:textId="295D4DEA" w:rsidR="00C47072" w:rsidRDefault="00C47072" w:rsidP="00CA1DBE">
      <w:pPr>
        <w:pStyle w:val="SemEspaamento"/>
        <w:numPr>
          <w:ilvl w:val="0"/>
          <w:numId w:val="2"/>
        </w:numPr>
        <w:ind w:left="0" w:firstLine="1418"/>
      </w:pPr>
      <w:r>
        <w:t xml:space="preserve">o provimento do recurso especial para reconhecer que os arestos recorridos </w:t>
      </w:r>
      <w:r w:rsidR="002D12C3">
        <w:t>negaram vigência a</w:t>
      </w:r>
      <w:r>
        <w:t xml:space="preserve">os arts. </w:t>
      </w:r>
      <w:r w:rsidRPr="00C47072">
        <w:t>489, §1º, IV, e 1.022, I e II, do CPC</w:t>
      </w:r>
      <w:r w:rsidR="00082C64">
        <w:t xml:space="preserve">, </w:t>
      </w:r>
      <w:r>
        <w:t xml:space="preserve">pois não enfrentaram de forma minimamente satisfatória os vícios apontados nos 2 embargos de declaração opostos, que comprovam </w:t>
      </w:r>
      <w:r w:rsidR="0032551B">
        <w:t xml:space="preserve">a </w:t>
      </w:r>
      <w:r>
        <w:t xml:space="preserve">aplicação equivocada do Tema n. 1.229/STJ </w:t>
      </w:r>
      <w:r w:rsidR="002D12C3">
        <w:t>pelos arestos</w:t>
      </w:r>
      <w:r w:rsidR="0032551B">
        <w:t xml:space="preserve">, ao manterem a condenação da recorrente a suportar os ônus </w:t>
      </w:r>
      <w:r w:rsidR="007A42C9">
        <w:t>sucumbenciais</w:t>
      </w:r>
      <w:r w:rsidR="0032551B">
        <w:t>,</w:t>
      </w:r>
      <w:r w:rsidR="002D12C3">
        <w:t xml:space="preserve"> </w:t>
      </w:r>
      <w:r w:rsidR="007A42C9">
        <w:t>diante d</w:t>
      </w:r>
      <w:r>
        <w:t xml:space="preserve">a impossibilidade de fixação dos honorários de sucumbência </w:t>
      </w:r>
      <w:r w:rsidR="007A42C9">
        <w:t>em casos como o dos autos</w:t>
      </w:r>
      <w:r w:rsidR="00026B25">
        <w:t>,</w:t>
      </w:r>
      <w:r w:rsidR="00026B25" w:rsidRPr="00026B25">
        <w:t xml:space="preserve"> </w:t>
      </w:r>
      <w:r w:rsidR="00026B25">
        <w:t xml:space="preserve">com a determinação de realização de novo julgamento, dessa vez enfrentando os vícios </w:t>
      </w:r>
      <w:r w:rsidR="00C87F9B">
        <w:t>indicados</w:t>
      </w:r>
      <w:r w:rsidR="007A42C9">
        <w:t xml:space="preserve"> de forma satisfatória</w:t>
      </w:r>
      <w:r w:rsidR="002D12C3">
        <w:t>.</w:t>
      </w:r>
    </w:p>
    <w:p w14:paraId="0A9C124E" w14:textId="77777777" w:rsidR="00FB696C" w:rsidRPr="007A42C9" w:rsidRDefault="00FB696C" w:rsidP="00FB696C">
      <w:pPr>
        <w:pStyle w:val="Ttulo"/>
        <w:rPr>
          <w:sz w:val="10"/>
          <w:szCs w:val="12"/>
        </w:rPr>
      </w:pPr>
    </w:p>
    <w:p w14:paraId="2F162256" w14:textId="743A70E9" w:rsidR="000169F1" w:rsidRDefault="00CA1DBE" w:rsidP="007C2F91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</w:t>
      </w:r>
      <w:r w:rsidR="0090226D" w:rsidRPr="00416D9D">
        <w:t xml:space="preserve"> advogad</w:t>
      </w:r>
      <w:r w:rsidR="0090226D">
        <w:t>o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>, 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204CB1DB" w14:textId="77777777" w:rsidR="00B83541" w:rsidRPr="007A42C9" w:rsidRDefault="00B83541" w:rsidP="00B83541">
      <w:pPr>
        <w:pStyle w:val="Qualificaodaspartes"/>
        <w:rPr>
          <w:sz w:val="10"/>
          <w:szCs w:val="8"/>
        </w:rPr>
      </w:pPr>
    </w:p>
    <w:p w14:paraId="7F301AF9" w14:textId="77777777" w:rsidR="000169F1" w:rsidRPr="00136102" w:rsidRDefault="000169F1" w:rsidP="008A0A79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387CB93" w14:textId="3B96482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C5062">
        <w:rPr>
          <w:rFonts w:ascii="Arial" w:eastAsia="Calibri" w:hAnsi="Arial" w:cs="Times New Roman"/>
          <w:noProof/>
          <w:sz w:val="24"/>
          <w:szCs w:val="24"/>
        </w:rPr>
        <w:t>26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1FB2160" w14:textId="77777777" w:rsidR="000169F1" w:rsidRPr="007A42C9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8"/>
          <w:szCs w:val="8"/>
          <w:lang w:val="pt"/>
        </w:rPr>
      </w:pPr>
    </w:p>
    <w:p w14:paraId="6A3C0CAE" w14:textId="77777777" w:rsidR="000169F1" w:rsidRPr="00FB696C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CBF60E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19FD1CA" w14:textId="62BDE007" w:rsidR="00131BEB" w:rsidRPr="000169F1" w:rsidRDefault="000169F1" w:rsidP="00CA1DBE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B92830">
      <w:headerReference w:type="default" r:id="rId10"/>
      <w:footerReference w:type="default" r:id="rId11"/>
      <w:pgSz w:w="11906" w:h="16838"/>
      <w:pgMar w:top="1701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1C4EA" w14:textId="77777777" w:rsidR="00D31125" w:rsidRDefault="00D31125" w:rsidP="00943258">
      <w:pPr>
        <w:spacing w:after="0" w:line="240" w:lineRule="auto"/>
      </w:pPr>
      <w:r>
        <w:separator/>
      </w:r>
    </w:p>
  </w:endnote>
  <w:endnote w:type="continuationSeparator" w:id="0">
    <w:p w14:paraId="078240DA" w14:textId="77777777" w:rsidR="00D31125" w:rsidRDefault="00D3112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1F777D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5348ECD" wp14:editId="3C572C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13542945" name="Imagem 11135429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BE456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7B52" w14:textId="77777777" w:rsidR="00D31125" w:rsidRDefault="00D31125" w:rsidP="00943258">
      <w:pPr>
        <w:spacing w:after="0" w:line="240" w:lineRule="auto"/>
      </w:pPr>
      <w:r>
        <w:separator/>
      </w:r>
    </w:p>
  </w:footnote>
  <w:footnote w:type="continuationSeparator" w:id="0">
    <w:p w14:paraId="724B47BF" w14:textId="77777777" w:rsidR="00D31125" w:rsidRDefault="00D3112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D52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AF1ACB4" wp14:editId="747B31D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3265286" name="Imagem 7326528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0B4E51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6C61AC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FDC8D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1614"/>
    <w:multiLevelType w:val="hybridMultilevel"/>
    <w:tmpl w:val="4CF6E4F2"/>
    <w:lvl w:ilvl="0" w:tplc="B8424178">
      <w:start w:val="1"/>
      <w:numFmt w:val="decimal"/>
      <w:pStyle w:val="FormataoPadro"/>
      <w:lvlText w:val="%1."/>
      <w:lvlJc w:val="left"/>
      <w:pPr>
        <w:ind w:left="1778" w:hanging="360"/>
      </w:pPr>
      <w:rPr>
        <w:rFonts w:hint="default"/>
        <w:b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4471857"/>
    <w:multiLevelType w:val="hybridMultilevel"/>
    <w:tmpl w:val="51C8C44C"/>
    <w:lvl w:ilvl="0" w:tplc="4AF03432">
      <w:start w:val="1"/>
      <w:numFmt w:val="lowerLetter"/>
      <w:pStyle w:val="Ttulo2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46536060">
    <w:abstractNumId w:val="1"/>
    <w:lvlOverride w:ilvl="0">
      <w:startOverride w:val="1"/>
    </w:lvlOverride>
  </w:num>
  <w:num w:numId="5" w16cid:durableId="943464521">
    <w:abstractNumId w:val="0"/>
  </w:num>
  <w:num w:numId="6" w16cid:durableId="19672641">
    <w:abstractNumId w:val="3"/>
  </w:num>
  <w:num w:numId="7" w16cid:durableId="1485588446">
    <w:abstractNumId w:val="1"/>
    <w:lvlOverride w:ilvl="0">
      <w:startOverride w:val="1"/>
    </w:lvlOverride>
  </w:num>
  <w:num w:numId="8" w16cid:durableId="55512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1A"/>
    <w:rsid w:val="00003F31"/>
    <w:rsid w:val="00004A6E"/>
    <w:rsid w:val="0000705F"/>
    <w:rsid w:val="00007D12"/>
    <w:rsid w:val="000158AC"/>
    <w:rsid w:val="000169F1"/>
    <w:rsid w:val="00020BAE"/>
    <w:rsid w:val="00026B25"/>
    <w:rsid w:val="00026ED1"/>
    <w:rsid w:val="000279DC"/>
    <w:rsid w:val="00033615"/>
    <w:rsid w:val="00033922"/>
    <w:rsid w:val="00034A99"/>
    <w:rsid w:val="00036B67"/>
    <w:rsid w:val="00036E99"/>
    <w:rsid w:val="0004298B"/>
    <w:rsid w:val="000533E7"/>
    <w:rsid w:val="00055A75"/>
    <w:rsid w:val="00056944"/>
    <w:rsid w:val="00066C15"/>
    <w:rsid w:val="000716D1"/>
    <w:rsid w:val="00081BA4"/>
    <w:rsid w:val="00081C76"/>
    <w:rsid w:val="00082C64"/>
    <w:rsid w:val="00083E3B"/>
    <w:rsid w:val="0008683D"/>
    <w:rsid w:val="00087838"/>
    <w:rsid w:val="00096127"/>
    <w:rsid w:val="00097661"/>
    <w:rsid w:val="000979B4"/>
    <w:rsid w:val="000A781D"/>
    <w:rsid w:val="000A7EEB"/>
    <w:rsid w:val="000B03A8"/>
    <w:rsid w:val="000B1F5D"/>
    <w:rsid w:val="000B7C60"/>
    <w:rsid w:val="000C019E"/>
    <w:rsid w:val="000C375E"/>
    <w:rsid w:val="000C5062"/>
    <w:rsid w:val="000D13F5"/>
    <w:rsid w:val="000D228C"/>
    <w:rsid w:val="000E485E"/>
    <w:rsid w:val="000E5FCC"/>
    <w:rsid w:val="000F1009"/>
    <w:rsid w:val="000F6433"/>
    <w:rsid w:val="00102F1F"/>
    <w:rsid w:val="0010565A"/>
    <w:rsid w:val="00105FEC"/>
    <w:rsid w:val="0010608E"/>
    <w:rsid w:val="00106F6F"/>
    <w:rsid w:val="00110C17"/>
    <w:rsid w:val="00114C98"/>
    <w:rsid w:val="00120DB3"/>
    <w:rsid w:val="001230EB"/>
    <w:rsid w:val="001270CC"/>
    <w:rsid w:val="00130C3A"/>
    <w:rsid w:val="00131BEB"/>
    <w:rsid w:val="001322FF"/>
    <w:rsid w:val="001405AC"/>
    <w:rsid w:val="0014146C"/>
    <w:rsid w:val="00143E84"/>
    <w:rsid w:val="00146453"/>
    <w:rsid w:val="00154F34"/>
    <w:rsid w:val="00162A19"/>
    <w:rsid w:val="00162C54"/>
    <w:rsid w:val="001633B3"/>
    <w:rsid w:val="001643AA"/>
    <w:rsid w:val="001654E0"/>
    <w:rsid w:val="001667B0"/>
    <w:rsid w:val="0016712D"/>
    <w:rsid w:val="00167B71"/>
    <w:rsid w:val="0017098E"/>
    <w:rsid w:val="00171803"/>
    <w:rsid w:val="00171AA3"/>
    <w:rsid w:val="001761C0"/>
    <w:rsid w:val="0017658C"/>
    <w:rsid w:val="00176BB9"/>
    <w:rsid w:val="001809B9"/>
    <w:rsid w:val="00183BE2"/>
    <w:rsid w:val="0018407F"/>
    <w:rsid w:val="00186E07"/>
    <w:rsid w:val="00187402"/>
    <w:rsid w:val="001B1A67"/>
    <w:rsid w:val="001B2350"/>
    <w:rsid w:val="001B2B98"/>
    <w:rsid w:val="001B2C35"/>
    <w:rsid w:val="001B2E75"/>
    <w:rsid w:val="001B4962"/>
    <w:rsid w:val="001B7491"/>
    <w:rsid w:val="001C1C17"/>
    <w:rsid w:val="001C2102"/>
    <w:rsid w:val="001C2E6E"/>
    <w:rsid w:val="001C53F6"/>
    <w:rsid w:val="001C72CE"/>
    <w:rsid w:val="001D04E3"/>
    <w:rsid w:val="001D4589"/>
    <w:rsid w:val="001D5DC7"/>
    <w:rsid w:val="001D6C41"/>
    <w:rsid w:val="001E0EC5"/>
    <w:rsid w:val="001E79B6"/>
    <w:rsid w:val="001F0417"/>
    <w:rsid w:val="001F06ED"/>
    <w:rsid w:val="001F078F"/>
    <w:rsid w:val="001F07DE"/>
    <w:rsid w:val="001F4854"/>
    <w:rsid w:val="001F4B4F"/>
    <w:rsid w:val="001F753A"/>
    <w:rsid w:val="00201C17"/>
    <w:rsid w:val="00201F45"/>
    <w:rsid w:val="00207BE4"/>
    <w:rsid w:val="00213209"/>
    <w:rsid w:val="00213BF9"/>
    <w:rsid w:val="00214E09"/>
    <w:rsid w:val="00216782"/>
    <w:rsid w:val="00220888"/>
    <w:rsid w:val="00223FB5"/>
    <w:rsid w:val="002302DB"/>
    <w:rsid w:val="00231594"/>
    <w:rsid w:val="00233949"/>
    <w:rsid w:val="00233B9F"/>
    <w:rsid w:val="00233EA8"/>
    <w:rsid w:val="00234D83"/>
    <w:rsid w:val="0023521F"/>
    <w:rsid w:val="00237C6F"/>
    <w:rsid w:val="00240FAB"/>
    <w:rsid w:val="00241EE4"/>
    <w:rsid w:val="002452EA"/>
    <w:rsid w:val="00245923"/>
    <w:rsid w:val="00246749"/>
    <w:rsid w:val="00247E99"/>
    <w:rsid w:val="002523F3"/>
    <w:rsid w:val="00257901"/>
    <w:rsid w:val="00270C36"/>
    <w:rsid w:val="00272BFB"/>
    <w:rsid w:val="00281AC5"/>
    <w:rsid w:val="00283A38"/>
    <w:rsid w:val="0029056D"/>
    <w:rsid w:val="00291A8C"/>
    <w:rsid w:val="00291F6C"/>
    <w:rsid w:val="00295F06"/>
    <w:rsid w:val="00297951"/>
    <w:rsid w:val="002A14AA"/>
    <w:rsid w:val="002A1BF9"/>
    <w:rsid w:val="002A1D71"/>
    <w:rsid w:val="002A1E4B"/>
    <w:rsid w:val="002B3526"/>
    <w:rsid w:val="002C09D4"/>
    <w:rsid w:val="002C0B28"/>
    <w:rsid w:val="002C16CB"/>
    <w:rsid w:val="002C1BAB"/>
    <w:rsid w:val="002C2796"/>
    <w:rsid w:val="002C2D7D"/>
    <w:rsid w:val="002C7AEF"/>
    <w:rsid w:val="002D12C3"/>
    <w:rsid w:val="002D3139"/>
    <w:rsid w:val="002E0F2F"/>
    <w:rsid w:val="002E51A2"/>
    <w:rsid w:val="002E588C"/>
    <w:rsid w:val="002E62CF"/>
    <w:rsid w:val="002F0973"/>
    <w:rsid w:val="002F2649"/>
    <w:rsid w:val="002F2B85"/>
    <w:rsid w:val="00302F7A"/>
    <w:rsid w:val="00304257"/>
    <w:rsid w:val="00304C8E"/>
    <w:rsid w:val="0032088C"/>
    <w:rsid w:val="00323DB5"/>
    <w:rsid w:val="0032551B"/>
    <w:rsid w:val="00326254"/>
    <w:rsid w:val="0032648E"/>
    <w:rsid w:val="00331145"/>
    <w:rsid w:val="00333005"/>
    <w:rsid w:val="00334B18"/>
    <w:rsid w:val="003406BF"/>
    <w:rsid w:val="0034166F"/>
    <w:rsid w:val="0035257A"/>
    <w:rsid w:val="00357288"/>
    <w:rsid w:val="003578E4"/>
    <w:rsid w:val="003646C9"/>
    <w:rsid w:val="00365F24"/>
    <w:rsid w:val="003714DE"/>
    <w:rsid w:val="0037391E"/>
    <w:rsid w:val="0037623B"/>
    <w:rsid w:val="00377A2E"/>
    <w:rsid w:val="003801CD"/>
    <w:rsid w:val="00380E7E"/>
    <w:rsid w:val="003823B9"/>
    <w:rsid w:val="00386091"/>
    <w:rsid w:val="00397552"/>
    <w:rsid w:val="003A74EB"/>
    <w:rsid w:val="003A78EB"/>
    <w:rsid w:val="003B575C"/>
    <w:rsid w:val="003B7478"/>
    <w:rsid w:val="003C439F"/>
    <w:rsid w:val="003C5E37"/>
    <w:rsid w:val="003D058D"/>
    <w:rsid w:val="003D0FDC"/>
    <w:rsid w:val="003D115D"/>
    <w:rsid w:val="003D7B5E"/>
    <w:rsid w:val="003E126B"/>
    <w:rsid w:val="003E46B9"/>
    <w:rsid w:val="003F0B23"/>
    <w:rsid w:val="003F7817"/>
    <w:rsid w:val="0040344E"/>
    <w:rsid w:val="004057DB"/>
    <w:rsid w:val="00413F06"/>
    <w:rsid w:val="00416064"/>
    <w:rsid w:val="004274C7"/>
    <w:rsid w:val="004318F5"/>
    <w:rsid w:val="00433FB2"/>
    <w:rsid w:val="004379D5"/>
    <w:rsid w:val="00437F68"/>
    <w:rsid w:val="004416D0"/>
    <w:rsid w:val="00444F0B"/>
    <w:rsid w:val="0044744D"/>
    <w:rsid w:val="004520D9"/>
    <w:rsid w:val="00454A35"/>
    <w:rsid w:val="0045524A"/>
    <w:rsid w:val="00456812"/>
    <w:rsid w:val="00456B89"/>
    <w:rsid w:val="004576BB"/>
    <w:rsid w:val="00463689"/>
    <w:rsid w:val="0046380C"/>
    <w:rsid w:val="00470818"/>
    <w:rsid w:val="00473FFB"/>
    <w:rsid w:val="004742DA"/>
    <w:rsid w:val="004778E5"/>
    <w:rsid w:val="00483E6B"/>
    <w:rsid w:val="004845B8"/>
    <w:rsid w:val="00485EEB"/>
    <w:rsid w:val="004938C8"/>
    <w:rsid w:val="004949AD"/>
    <w:rsid w:val="00494AA7"/>
    <w:rsid w:val="004969F5"/>
    <w:rsid w:val="00497004"/>
    <w:rsid w:val="004A181D"/>
    <w:rsid w:val="004A5759"/>
    <w:rsid w:val="004A7BD1"/>
    <w:rsid w:val="004B297C"/>
    <w:rsid w:val="004B453D"/>
    <w:rsid w:val="004B604E"/>
    <w:rsid w:val="004C1766"/>
    <w:rsid w:val="004C4B85"/>
    <w:rsid w:val="004C75BD"/>
    <w:rsid w:val="004C7F5E"/>
    <w:rsid w:val="004D068C"/>
    <w:rsid w:val="004D1F9E"/>
    <w:rsid w:val="004D3BBE"/>
    <w:rsid w:val="004D4EB3"/>
    <w:rsid w:val="004D76F0"/>
    <w:rsid w:val="004E0558"/>
    <w:rsid w:val="004E6124"/>
    <w:rsid w:val="004F160E"/>
    <w:rsid w:val="004F2B78"/>
    <w:rsid w:val="004F384D"/>
    <w:rsid w:val="004F412C"/>
    <w:rsid w:val="004F5007"/>
    <w:rsid w:val="004F57B0"/>
    <w:rsid w:val="004F70A8"/>
    <w:rsid w:val="004F716C"/>
    <w:rsid w:val="004F72BF"/>
    <w:rsid w:val="005005A9"/>
    <w:rsid w:val="00501398"/>
    <w:rsid w:val="00501A18"/>
    <w:rsid w:val="00502553"/>
    <w:rsid w:val="0050362C"/>
    <w:rsid w:val="0050515A"/>
    <w:rsid w:val="005065AF"/>
    <w:rsid w:val="0051450B"/>
    <w:rsid w:val="00516968"/>
    <w:rsid w:val="005220FE"/>
    <w:rsid w:val="00526B50"/>
    <w:rsid w:val="0053111C"/>
    <w:rsid w:val="00532186"/>
    <w:rsid w:val="005321DA"/>
    <w:rsid w:val="0055301A"/>
    <w:rsid w:val="005626B5"/>
    <w:rsid w:val="00562EC3"/>
    <w:rsid w:val="00564D21"/>
    <w:rsid w:val="00570116"/>
    <w:rsid w:val="005706E3"/>
    <w:rsid w:val="005708C6"/>
    <w:rsid w:val="005720A4"/>
    <w:rsid w:val="00581223"/>
    <w:rsid w:val="005819EE"/>
    <w:rsid w:val="0058219A"/>
    <w:rsid w:val="00583837"/>
    <w:rsid w:val="005A0D12"/>
    <w:rsid w:val="005A7655"/>
    <w:rsid w:val="005B016D"/>
    <w:rsid w:val="005B0BD2"/>
    <w:rsid w:val="005B3BA0"/>
    <w:rsid w:val="005B5845"/>
    <w:rsid w:val="005B67EA"/>
    <w:rsid w:val="005C17E1"/>
    <w:rsid w:val="005C3FDF"/>
    <w:rsid w:val="005C6645"/>
    <w:rsid w:val="005D1AA2"/>
    <w:rsid w:val="005D2413"/>
    <w:rsid w:val="005D533C"/>
    <w:rsid w:val="005D5DBA"/>
    <w:rsid w:val="005E128C"/>
    <w:rsid w:val="005E14A0"/>
    <w:rsid w:val="005E1941"/>
    <w:rsid w:val="005E4154"/>
    <w:rsid w:val="005E43D1"/>
    <w:rsid w:val="005E58E2"/>
    <w:rsid w:val="005F3970"/>
    <w:rsid w:val="005F4C92"/>
    <w:rsid w:val="005F5A69"/>
    <w:rsid w:val="006013D9"/>
    <w:rsid w:val="0060757D"/>
    <w:rsid w:val="00611ACD"/>
    <w:rsid w:val="00612232"/>
    <w:rsid w:val="0062494D"/>
    <w:rsid w:val="0062755E"/>
    <w:rsid w:val="00627743"/>
    <w:rsid w:val="006353FC"/>
    <w:rsid w:val="00636ABA"/>
    <w:rsid w:val="006400EF"/>
    <w:rsid w:val="00640478"/>
    <w:rsid w:val="00641B3C"/>
    <w:rsid w:val="00653372"/>
    <w:rsid w:val="0065508A"/>
    <w:rsid w:val="00657495"/>
    <w:rsid w:val="0066021C"/>
    <w:rsid w:val="0066039D"/>
    <w:rsid w:val="00660D69"/>
    <w:rsid w:val="00660E7E"/>
    <w:rsid w:val="00663F9F"/>
    <w:rsid w:val="00664DF2"/>
    <w:rsid w:val="0066688A"/>
    <w:rsid w:val="00667B71"/>
    <w:rsid w:val="00671B46"/>
    <w:rsid w:val="00673228"/>
    <w:rsid w:val="006737E1"/>
    <w:rsid w:val="006773CB"/>
    <w:rsid w:val="006829CF"/>
    <w:rsid w:val="00686FE6"/>
    <w:rsid w:val="00692A54"/>
    <w:rsid w:val="00693647"/>
    <w:rsid w:val="00693F8B"/>
    <w:rsid w:val="00695990"/>
    <w:rsid w:val="00695F85"/>
    <w:rsid w:val="00696295"/>
    <w:rsid w:val="00697C05"/>
    <w:rsid w:val="006A5D33"/>
    <w:rsid w:val="006A606B"/>
    <w:rsid w:val="006B25DA"/>
    <w:rsid w:val="006B2BBC"/>
    <w:rsid w:val="006B47D1"/>
    <w:rsid w:val="006C0DFC"/>
    <w:rsid w:val="006C3BCC"/>
    <w:rsid w:val="006C3D22"/>
    <w:rsid w:val="006C566F"/>
    <w:rsid w:val="006C6842"/>
    <w:rsid w:val="006C7827"/>
    <w:rsid w:val="006D2D6F"/>
    <w:rsid w:val="006D3724"/>
    <w:rsid w:val="006D45D7"/>
    <w:rsid w:val="006D553E"/>
    <w:rsid w:val="006D7C8B"/>
    <w:rsid w:val="006D7D6E"/>
    <w:rsid w:val="006E1FC4"/>
    <w:rsid w:val="006E4D25"/>
    <w:rsid w:val="006E62D2"/>
    <w:rsid w:val="006F012D"/>
    <w:rsid w:val="006F0964"/>
    <w:rsid w:val="006F2A02"/>
    <w:rsid w:val="006F4303"/>
    <w:rsid w:val="006F75E8"/>
    <w:rsid w:val="007017D9"/>
    <w:rsid w:val="00701CCB"/>
    <w:rsid w:val="0070354C"/>
    <w:rsid w:val="00706D09"/>
    <w:rsid w:val="00712C1D"/>
    <w:rsid w:val="0071472B"/>
    <w:rsid w:val="00715F79"/>
    <w:rsid w:val="00717F31"/>
    <w:rsid w:val="007213DA"/>
    <w:rsid w:val="00722DF5"/>
    <w:rsid w:val="007334E1"/>
    <w:rsid w:val="0074005F"/>
    <w:rsid w:val="00740909"/>
    <w:rsid w:val="00740F51"/>
    <w:rsid w:val="007423B8"/>
    <w:rsid w:val="00742662"/>
    <w:rsid w:val="00751453"/>
    <w:rsid w:val="00754B77"/>
    <w:rsid w:val="00761626"/>
    <w:rsid w:val="00762F80"/>
    <w:rsid w:val="0077210B"/>
    <w:rsid w:val="0077356A"/>
    <w:rsid w:val="00781011"/>
    <w:rsid w:val="007816AD"/>
    <w:rsid w:val="00787C0D"/>
    <w:rsid w:val="00795616"/>
    <w:rsid w:val="00797900"/>
    <w:rsid w:val="007A0BF6"/>
    <w:rsid w:val="007A0FB5"/>
    <w:rsid w:val="007A2B40"/>
    <w:rsid w:val="007A42C9"/>
    <w:rsid w:val="007A7D53"/>
    <w:rsid w:val="007B186B"/>
    <w:rsid w:val="007C2F91"/>
    <w:rsid w:val="007C36DB"/>
    <w:rsid w:val="007C53C9"/>
    <w:rsid w:val="007C6410"/>
    <w:rsid w:val="007D49CD"/>
    <w:rsid w:val="007D7ACA"/>
    <w:rsid w:val="007E4DB7"/>
    <w:rsid w:val="007E4F2A"/>
    <w:rsid w:val="007E6CB9"/>
    <w:rsid w:val="007F2D9C"/>
    <w:rsid w:val="007F32FD"/>
    <w:rsid w:val="007F7F38"/>
    <w:rsid w:val="00800EAF"/>
    <w:rsid w:val="00805F1E"/>
    <w:rsid w:val="00810D34"/>
    <w:rsid w:val="00812F95"/>
    <w:rsid w:val="00816BF4"/>
    <w:rsid w:val="00820BEF"/>
    <w:rsid w:val="00822B0A"/>
    <w:rsid w:val="0082442F"/>
    <w:rsid w:val="00852A60"/>
    <w:rsid w:val="00853B91"/>
    <w:rsid w:val="00855069"/>
    <w:rsid w:val="00856313"/>
    <w:rsid w:val="008564E8"/>
    <w:rsid w:val="008568E0"/>
    <w:rsid w:val="00857ADD"/>
    <w:rsid w:val="00860DF1"/>
    <w:rsid w:val="00865DC1"/>
    <w:rsid w:val="00866EE8"/>
    <w:rsid w:val="00867535"/>
    <w:rsid w:val="00870167"/>
    <w:rsid w:val="00870389"/>
    <w:rsid w:val="0087191F"/>
    <w:rsid w:val="00880155"/>
    <w:rsid w:val="00882C1E"/>
    <w:rsid w:val="00883B87"/>
    <w:rsid w:val="00884CA0"/>
    <w:rsid w:val="008925C7"/>
    <w:rsid w:val="0089267E"/>
    <w:rsid w:val="008936B4"/>
    <w:rsid w:val="008A0012"/>
    <w:rsid w:val="008A0A79"/>
    <w:rsid w:val="008A294B"/>
    <w:rsid w:val="008A4724"/>
    <w:rsid w:val="008A4A7D"/>
    <w:rsid w:val="008B4D63"/>
    <w:rsid w:val="008C0BC0"/>
    <w:rsid w:val="008C0C3C"/>
    <w:rsid w:val="008D09BF"/>
    <w:rsid w:val="008D4527"/>
    <w:rsid w:val="008D472C"/>
    <w:rsid w:val="008D6265"/>
    <w:rsid w:val="008E219E"/>
    <w:rsid w:val="008E31FF"/>
    <w:rsid w:val="008E377D"/>
    <w:rsid w:val="008E50E6"/>
    <w:rsid w:val="008F2218"/>
    <w:rsid w:val="008F53CE"/>
    <w:rsid w:val="008F588E"/>
    <w:rsid w:val="008F6CBB"/>
    <w:rsid w:val="008F7122"/>
    <w:rsid w:val="008F728E"/>
    <w:rsid w:val="008F7B29"/>
    <w:rsid w:val="0090226D"/>
    <w:rsid w:val="00910541"/>
    <w:rsid w:val="00912B28"/>
    <w:rsid w:val="009164D6"/>
    <w:rsid w:val="0092003E"/>
    <w:rsid w:val="009230DE"/>
    <w:rsid w:val="00923A96"/>
    <w:rsid w:val="00924163"/>
    <w:rsid w:val="00931A83"/>
    <w:rsid w:val="00932C1D"/>
    <w:rsid w:val="00934A2C"/>
    <w:rsid w:val="00941D22"/>
    <w:rsid w:val="00943258"/>
    <w:rsid w:val="0095388A"/>
    <w:rsid w:val="00956E02"/>
    <w:rsid w:val="009570BA"/>
    <w:rsid w:val="0095779A"/>
    <w:rsid w:val="00963C29"/>
    <w:rsid w:val="009669C7"/>
    <w:rsid w:val="00967658"/>
    <w:rsid w:val="00970314"/>
    <w:rsid w:val="00984399"/>
    <w:rsid w:val="00987F1C"/>
    <w:rsid w:val="00992133"/>
    <w:rsid w:val="0099548A"/>
    <w:rsid w:val="00996394"/>
    <w:rsid w:val="00996836"/>
    <w:rsid w:val="009A01FD"/>
    <w:rsid w:val="009A7B9C"/>
    <w:rsid w:val="009B1853"/>
    <w:rsid w:val="009B57FD"/>
    <w:rsid w:val="009B5D40"/>
    <w:rsid w:val="009C3A22"/>
    <w:rsid w:val="009C4117"/>
    <w:rsid w:val="009C4C2F"/>
    <w:rsid w:val="009C5C80"/>
    <w:rsid w:val="009C6C73"/>
    <w:rsid w:val="009D028F"/>
    <w:rsid w:val="009D3835"/>
    <w:rsid w:val="009D59A4"/>
    <w:rsid w:val="009D6899"/>
    <w:rsid w:val="009E1137"/>
    <w:rsid w:val="009E3C5B"/>
    <w:rsid w:val="009F07BE"/>
    <w:rsid w:val="009F0BEC"/>
    <w:rsid w:val="009F1574"/>
    <w:rsid w:val="009F3861"/>
    <w:rsid w:val="009F3DA5"/>
    <w:rsid w:val="009F46B5"/>
    <w:rsid w:val="009F5F15"/>
    <w:rsid w:val="00A01418"/>
    <w:rsid w:val="00A03A06"/>
    <w:rsid w:val="00A048B9"/>
    <w:rsid w:val="00A049FC"/>
    <w:rsid w:val="00A07B43"/>
    <w:rsid w:val="00A07BEF"/>
    <w:rsid w:val="00A107E4"/>
    <w:rsid w:val="00A123BA"/>
    <w:rsid w:val="00A22B37"/>
    <w:rsid w:val="00A25041"/>
    <w:rsid w:val="00A2625A"/>
    <w:rsid w:val="00A34B85"/>
    <w:rsid w:val="00A35110"/>
    <w:rsid w:val="00A36A7C"/>
    <w:rsid w:val="00A433FF"/>
    <w:rsid w:val="00A4693D"/>
    <w:rsid w:val="00A470F9"/>
    <w:rsid w:val="00A51CDD"/>
    <w:rsid w:val="00A52258"/>
    <w:rsid w:val="00A54240"/>
    <w:rsid w:val="00A558F3"/>
    <w:rsid w:val="00A60540"/>
    <w:rsid w:val="00A640D2"/>
    <w:rsid w:val="00A6725A"/>
    <w:rsid w:val="00A71A4A"/>
    <w:rsid w:val="00A71E1F"/>
    <w:rsid w:val="00A7359A"/>
    <w:rsid w:val="00A761E4"/>
    <w:rsid w:val="00A76CF1"/>
    <w:rsid w:val="00A84AB9"/>
    <w:rsid w:val="00A85E18"/>
    <w:rsid w:val="00A86064"/>
    <w:rsid w:val="00A8616D"/>
    <w:rsid w:val="00A92C6F"/>
    <w:rsid w:val="00A94410"/>
    <w:rsid w:val="00A96C5C"/>
    <w:rsid w:val="00AA0FB5"/>
    <w:rsid w:val="00AA466A"/>
    <w:rsid w:val="00AA4DEA"/>
    <w:rsid w:val="00AA7B46"/>
    <w:rsid w:val="00AB13C6"/>
    <w:rsid w:val="00AC2311"/>
    <w:rsid w:val="00AC3DA6"/>
    <w:rsid w:val="00AC718B"/>
    <w:rsid w:val="00AE38A1"/>
    <w:rsid w:val="00AE4556"/>
    <w:rsid w:val="00AE757F"/>
    <w:rsid w:val="00B0711F"/>
    <w:rsid w:val="00B07D8D"/>
    <w:rsid w:val="00B108F7"/>
    <w:rsid w:val="00B14A81"/>
    <w:rsid w:val="00B2379E"/>
    <w:rsid w:val="00B31000"/>
    <w:rsid w:val="00B33D44"/>
    <w:rsid w:val="00B34961"/>
    <w:rsid w:val="00B36016"/>
    <w:rsid w:val="00B37424"/>
    <w:rsid w:val="00B376DE"/>
    <w:rsid w:val="00B37CE1"/>
    <w:rsid w:val="00B40CB8"/>
    <w:rsid w:val="00B43380"/>
    <w:rsid w:val="00B4459B"/>
    <w:rsid w:val="00B5645B"/>
    <w:rsid w:val="00B6363E"/>
    <w:rsid w:val="00B65852"/>
    <w:rsid w:val="00B67ED1"/>
    <w:rsid w:val="00B7028B"/>
    <w:rsid w:val="00B71DEA"/>
    <w:rsid w:val="00B733B3"/>
    <w:rsid w:val="00B749AB"/>
    <w:rsid w:val="00B758DF"/>
    <w:rsid w:val="00B805FD"/>
    <w:rsid w:val="00B815B1"/>
    <w:rsid w:val="00B82B89"/>
    <w:rsid w:val="00B83438"/>
    <w:rsid w:val="00B83541"/>
    <w:rsid w:val="00B848B8"/>
    <w:rsid w:val="00B85146"/>
    <w:rsid w:val="00B92830"/>
    <w:rsid w:val="00B93623"/>
    <w:rsid w:val="00B93DB3"/>
    <w:rsid w:val="00B97A21"/>
    <w:rsid w:val="00BA0C40"/>
    <w:rsid w:val="00BA1DEB"/>
    <w:rsid w:val="00BA2544"/>
    <w:rsid w:val="00BA6AD6"/>
    <w:rsid w:val="00BB1963"/>
    <w:rsid w:val="00BB1A1B"/>
    <w:rsid w:val="00BB2D55"/>
    <w:rsid w:val="00BB6A73"/>
    <w:rsid w:val="00BB76AB"/>
    <w:rsid w:val="00BC0C70"/>
    <w:rsid w:val="00BC5002"/>
    <w:rsid w:val="00BC603F"/>
    <w:rsid w:val="00BD388D"/>
    <w:rsid w:val="00BD50E6"/>
    <w:rsid w:val="00BD6559"/>
    <w:rsid w:val="00BD693C"/>
    <w:rsid w:val="00BE1929"/>
    <w:rsid w:val="00BE7991"/>
    <w:rsid w:val="00BF112B"/>
    <w:rsid w:val="00C03B4C"/>
    <w:rsid w:val="00C0456B"/>
    <w:rsid w:val="00C0590E"/>
    <w:rsid w:val="00C05AE1"/>
    <w:rsid w:val="00C1075C"/>
    <w:rsid w:val="00C208D7"/>
    <w:rsid w:val="00C233D3"/>
    <w:rsid w:val="00C24AEE"/>
    <w:rsid w:val="00C24AFB"/>
    <w:rsid w:val="00C26EAF"/>
    <w:rsid w:val="00C271F1"/>
    <w:rsid w:val="00C2794E"/>
    <w:rsid w:val="00C30A35"/>
    <w:rsid w:val="00C313FC"/>
    <w:rsid w:val="00C3605F"/>
    <w:rsid w:val="00C36492"/>
    <w:rsid w:val="00C43F84"/>
    <w:rsid w:val="00C45701"/>
    <w:rsid w:val="00C47072"/>
    <w:rsid w:val="00C57DBB"/>
    <w:rsid w:val="00C605A0"/>
    <w:rsid w:val="00C612AA"/>
    <w:rsid w:val="00C6652C"/>
    <w:rsid w:val="00C7000E"/>
    <w:rsid w:val="00C728CE"/>
    <w:rsid w:val="00C733C6"/>
    <w:rsid w:val="00C751D0"/>
    <w:rsid w:val="00C83B2C"/>
    <w:rsid w:val="00C85D1B"/>
    <w:rsid w:val="00C86902"/>
    <w:rsid w:val="00C87F9B"/>
    <w:rsid w:val="00C946CE"/>
    <w:rsid w:val="00C95077"/>
    <w:rsid w:val="00C96A41"/>
    <w:rsid w:val="00C97A86"/>
    <w:rsid w:val="00C97E19"/>
    <w:rsid w:val="00CA1DBE"/>
    <w:rsid w:val="00CA5F5B"/>
    <w:rsid w:val="00CB1CB0"/>
    <w:rsid w:val="00CB5FC5"/>
    <w:rsid w:val="00CC1798"/>
    <w:rsid w:val="00CC62B8"/>
    <w:rsid w:val="00CC76E6"/>
    <w:rsid w:val="00CD1123"/>
    <w:rsid w:val="00CD186F"/>
    <w:rsid w:val="00CD43CC"/>
    <w:rsid w:val="00CE58C8"/>
    <w:rsid w:val="00CF0212"/>
    <w:rsid w:val="00CF4367"/>
    <w:rsid w:val="00CF5132"/>
    <w:rsid w:val="00CF766D"/>
    <w:rsid w:val="00D07EEC"/>
    <w:rsid w:val="00D140D0"/>
    <w:rsid w:val="00D22E88"/>
    <w:rsid w:val="00D24320"/>
    <w:rsid w:val="00D2566C"/>
    <w:rsid w:val="00D30909"/>
    <w:rsid w:val="00D31125"/>
    <w:rsid w:val="00D32740"/>
    <w:rsid w:val="00D32B9C"/>
    <w:rsid w:val="00D333AA"/>
    <w:rsid w:val="00D4317F"/>
    <w:rsid w:val="00D44093"/>
    <w:rsid w:val="00D441A7"/>
    <w:rsid w:val="00D44D83"/>
    <w:rsid w:val="00D45ADE"/>
    <w:rsid w:val="00D52732"/>
    <w:rsid w:val="00D546AA"/>
    <w:rsid w:val="00D55E7F"/>
    <w:rsid w:val="00D65743"/>
    <w:rsid w:val="00D7160B"/>
    <w:rsid w:val="00D716C1"/>
    <w:rsid w:val="00D71CD3"/>
    <w:rsid w:val="00D72792"/>
    <w:rsid w:val="00D74E94"/>
    <w:rsid w:val="00D80C14"/>
    <w:rsid w:val="00D90C5B"/>
    <w:rsid w:val="00DB47C5"/>
    <w:rsid w:val="00DC0F36"/>
    <w:rsid w:val="00DC30D3"/>
    <w:rsid w:val="00DC580D"/>
    <w:rsid w:val="00DC5BC2"/>
    <w:rsid w:val="00DD4B5E"/>
    <w:rsid w:val="00DD7973"/>
    <w:rsid w:val="00DE0162"/>
    <w:rsid w:val="00DE017B"/>
    <w:rsid w:val="00DE0552"/>
    <w:rsid w:val="00DE13B5"/>
    <w:rsid w:val="00DE1597"/>
    <w:rsid w:val="00DE4E77"/>
    <w:rsid w:val="00DE5915"/>
    <w:rsid w:val="00DE5EC9"/>
    <w:rsid w:val="00DE686D"/>
    <w:rsid w:val="00DF1FE4"/>
    <w:rsid w:val="00DF5478"/>
    <w:rsid w:val="00E05790"/>
    <w:rsid w:val="00E1155B"/>
    <w:rsid w:val="00E12218"/>
    <w:rsid w:val="00E3064C"/>
    <w:rsid w:val="00E31F98"/>
    <w:rsid w:val="00E339FF"/>
    <w:rsid w:val="00E372E9"/>
    <w:rsid w:val="00E41CAB"/>
    <w:rsid w:val="00E459FF"/>
    <w:rsid w:val="00E5496E"/>
    <w:rsid w:val="00E54ABE"/>
    <w:rsid w:val="00E57267"/>
    <w:rsid w:val="00E576DC"/>
    <w:rsid w:val="00E57EE5"/>
    <w:rsid w:val="00E63873"/>
    <w:rsid w:val="00E73AEE"/>
    <w:rsid w:val="00E749C8"/>
    <w:rsid w:val="00E80D22"/>
    <w:rsid w:val="00E86A0B"/>
    <w:rsid w:val="00E86E14"/>
    <w:rsid w:val="00E90F3C"/>
    <w:rsid w:val="00E9255E"/>
    <w:rsid w:val="00E92A81"/>
    <w:rsid w:val="00E968BB"/>
    <w:rsid w:val="00EA0F3E"/>
    <w:rsid w:val="00EA5363"/>
    <w:rsid w:val="00EB4346"/>
    <w:rsid w:val="00EB6AEC"/>
    <w:rsid w:val="00EC1D70"/>
    <w:rsid w:val="00EC3310"/>
    <w:rsid w:val="00EC59C2"/>
    <w:rsid w:val="00EC70D1"/>
    <w:rsid w:val="00ED1946"/>
    <w:rsid w:val="00ED1D66"/>
    <w:rsid w:val="00ED4B8E"/>
    <w:rsid w:val="00ED4C3E"/>
    <w:rsid w:val="00EE063E"/>
    <w:rsid w:val="00EE1140"/>
    <w:rsid w:val="00EE3903"/>
    <w:rsid w:val="00EE4A7B"/>
    <w:rsid w:val="00EE6351"/>
    <w:rsid w:val="00EF110A"/>
    <w:rsid w:val="00EF1A25"/>
    <w:rsid w:val="00EF2F65"/>
    <w:rsid w:val="00EF36EE"/>
    <w:rsid w:val="00F0309B"/>
    <w:rsid w:val="00F06E15"/>
    <w:rsid w:val="00F11B2C"/>
    <w:rsid w:val="00F15730"/>
    <w:rsid w:val="00F22B73"/>
    <w:rsid w:val="00F30FE3"/>
    <w:rsid w:val="00F31876"/>
    <w:rsid w:val="00F328E3"/>
    <w:rsid w:val="00F3333B"/>
    <w:rsid w:val="00F3510C"/>
    <w:rsid w:val="00F3705D"/>
    <w:rsid w:val="00F370C4"/>
    <w:rsid w:val="00F41F01"/>
    <w:rsid w:val="00F43BD4"/>
    <w:rsid w:val="00F450EC"/>
    <w:rsid w:val="00F4530D"/>
    <w:rsid w:val="00F45B46"/>
    <w:rsid w:val="00F46D49"/>
    <w:rsid w:val="00F47B46"/>
    <w:rsid w:val="00F550A7"/>
    <w:rsid w:val="00F56B97"/>
    <w:rsid w:val="00F60939"/>
    <w:rsid w:val="00F612C3"/>
    <w:rsid w:val="00F6212A"/>
    <w:rsid w:val="00F6769F"/>
    <w:rsid w:val="00F67B39"/>
    <w:rsid w:val="00F721E3"/>
    <w:rsid w:val="00F74A13"/>
    <w:rsid w:val="00F76785"/>
    <w:rsid w:val="00F76B0D"/>
    <w:rsid w:val="00F85EBC"/>
    <w:rsid w:val="00F9044B"/>
    <w:rsid w:val="00F9312D"/>
    <w:rsid w:val="00F95285"/>
    <w:rsid w:val="00F95D3F"/>
    <w:rsid w:val="00FA10FF"/>
    <w:rsid w:val="00FA23AF"/>
    <w:rsid w:val="00FA31EE"/>
    <w:rsid w:val="00FA36F1"/>
    <w:rsid w:val="00FA7158"/>
    <w:rsid w:val="00FA7943"/>
    <w:rsid w:val="00FB2B8C"/>
    <w:rsid w:val="00FB3A3F"/>
    <w:rsid w:val="00FB452A"/>
    <w:rsid w:val="00FB5FB9"/>
    <w:rsid w:val="00FB696C"/>
    <w:rsid w:val="00FB710D"/>
    <w:rsid w:val="00FC00BA"/>
    <w:rsid w:val="00FC4C2F"/>
    <w:rsid w:val="00FC63CA"/>
    <w:rsid w:val="00FD3899"/>
    <w:rsid w:val="00FD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3C601"/>
  <w15:chartTrackingRefBased/>
  <w15:docId w15:val="{53E4DD91-30FF-43E3-AA65-D1A36BE0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6275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PargrafodaLista"/>
    <w:next w:val="Normal"/>
    <w:link w:val="Ttulo2Char"/>
    <w:uiPriority w:val="9"/>
    <w:unhideWhenUsed/>
    <w:qFormat/>
    <w:rsid w:val="00956E02"/>
    <w:pPr>
      <w:numPr>
        <w:numId w:val="6"/>
      </w:numPr>
      <w:spacing w:after="0" w:line="240" w:lineRule="auto"/>
      <w:ind w:left="1418" w:firstLine="0"/>
      <w:jc w:val="both"/>
      <w:outlineLvl w:val="1"/>
    </w:pPr>
    <w:rPr>
      <w:rFonts w:ascii="Arial" w:hAnsi="Arial" w:cs="Arial"/>
      <w:bCs/>
      <w:iCs/>
      <w:color w:val="000000"/>
      <w:sz w:val="2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956E02"/>
    <w:rPr>
      <w:rFonts w:ascii="Arial" w:hAnsi="Arial" w:cs="Arial"/>
      <w:bCs/>
      <w:iCs/>
      <w:color w:val="000000"/>
      <w:sz w:val="20"/>
      <w:szCs w:val="24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74005F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74005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62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FD532E"/>
    <w:pPr>
      <w:ind w:left="720"/>
      <w:contextualSpacing/>
    </w:pPr>
  </w:style>
  <w:style w:type="paragraph" w:customStyle="1" w:styleId="FormataoPadro">
    <w:name w:val="Formatação Padrão"/>
    <w:basedOn w:val="PargrafodaLista"/>
    <w:link w:val="FormataoPadroChar"/>
    <w:qFormat/>
    <w:rsid w:val="00FD532E"/>
    <w:pPr>
      <w:numPr>
        <w:numId w:val="5"/>
      </w:numPr>
      <w:spacing w:after="0" w:line="360" w:lineRule="auto"/>
      <w:ind w:left="0" w:firstLine="1418"/>
      <w:jc w:val="both"/>
    </w:pPr>
    <w:rPr>
      <w:rFonts w:ascii="Arial" w:eastAsia="Calibri" w:hAnsi="Arial" w:cs="Times New Roman"/>
      <w:sz w:val="24"/>
      <w:szCs w:val="24"/>
    </w:rPr>
  </w:style>
  <w:style w:type="character" w:customStyle="1" w:styleId="FormataoPadroChar">
    <w:name w:val="Formatação Padrão Char"/>
    <w:link w:val="FormataoPadro"/>
    <w:rsid w:val="00FD532E"/>
    <w:rPr>
      <w:rFonts w:ascii="Arial" w:eastAsia="Calibri" w:hAnsi="Arial" w:cs="Times New Roman"/>
      <w:sz w:val="24"/>
      <w:szCs w:val="24"/>
    </w:rPr>
  </w:style>
  <w:style w:type="paragraph" w:customStyle="1" w:styleId="Tempestividade">
    <w:name w:val="Tempestividade"/>
    <w:basedOn w:val="Normal"/>
    <w:link w:val="TempestividadeChar"/>
    <w:qFormat/>
    <w:rsid w:val="005C17E1"/>
    <w:pPr>
      <w:spacing w:after="0" w:line="300" w:lineRule="auto"/>
      <w:contextualSpacing/>
      <w:jc w:val="both"/>
      <w:outlineLvl w:val="1"/>
    </w:pPr>
    <w:rPr>
      <w:rFonts w:ascii="Arial" w:eastAsia="Calibri" w:hAnsi="Arial" w:cs="Times New Roman"/>
    </w:rPr>
  </w:style>
  <w:style w:type="character" w:customStyle="1" w:styleId="TempestividadeChar">
    <w:name w:val="Tempestividade Char"/>
    <w:link w:val="Tempestividade"/>
    <w:rsid w:val="005C17E1"/>
    <w:rPr>
      <w:rFonts w:ascii="Arial" w:eastAsia="Calibri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9669C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936B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roc2g.tjrs.jus.br/eproc/controlador.php?acao=exibir_documento_evento&amp;StrNumProcesso=50002670620038210038&amp;is2g=false&amp;strSigUfProcesso=RS&amp;iddocumento=11728392804833485588709351347&amp;page=1&amp;hash=be91b5d6f5cdc8c166aede4d310b849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proc2g.tjrs.jus.br/eproc/controlador.php?acao=exibir_documento_evento&amp;StrNumProcesso=50002670620038210038&amp;is2g=false&amp;strSigUfProcesso=RS&amp;iddocumento=11728392804833485588709351347&amp;page=1&amp;hash=9534d3672dcda7a0c429401ce08ae385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1602</TotalTime>
  <Pages>13</Pages>
  <Words>4087</Words>
  <Characters>22603</Characters>
  <Application>Microsoft Office Word</Application>
  <DocSecurity>0</DocSecurity>
  <Lines>502</Lines>
  <Paragraphs>116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273</cp:revision>
  <cp:lastPrinted>2022-07-18T22:35:00Z</cp:lastPrinted>
  <dcterms:created xsi:type="dcterms:W3CDTF">2025-11-04T18:36:00Z</dcterms:created>
  <dcterms:modified xsi:type="dcterms:W3CDTF">2025-11-27T02:02:00Z</dcterms:modified>
</cp:coreProperties>
</file>