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3957" w14:textId="77777777" w:rsidR="00BD6DA4" w:rsidRDefault="00BD6DA4" w:rsidP="00BD6DA4">
      <w:pPr>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EXCELENTÍSSIMO SENHOR DESEMBARGADOR 2º VICE-PRESIDENTE DO TRIBUNAL DE JUSTIÇA DO ESTADO DE SANTA CATARINA</w:t>
      </w:r>
    </w:p>
    <w:p w14:paraId="2C7D6897" w14:textId="77777777" w:rsidR="000169F1" w:rsidRPr="00980061" w:rsidRDefault="000169F1" w:rsidP="000169F1">
      <w:pPr>
        <w:spacing w:after="0" w:line="360" w:lineRule="auto"/>
        <w:contextualSpacing/>
        <w:jc w:val="both"/>
        <w:rPr>
          <w:rFonts w:ascii="Arial" w:eastAsia="Calibri" w:hAnsi="Arial" w:cs="Times New Roman"/>
          <w:sz w:val="24"/>
          <w:szCs w:val="24"/>
        </w:rPr>
      </w:pPr>
    </w:p>
    <w:p w14:paraId="622234D5"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2943FDC3" w14:textId="77777777" w:rsidR="001B2A0F" w:rsidRPr="00136102" w:rsidRDefault="001B2A0F" w:rsidP="000169F1">
      <w:pPr>
        <w:spacing w:after="0" w:line="360" w:lineRule="auto"/>
        <w:ind w:left="1418"/>
        <w:contextualSpacing/>
        <w:jc w:val="both"/>
        <w:rPr>
          <w:rFonts w:ascii="Arial" w:eastAsia="Calibri" w:hAnsi="Arial" w:cs="Times New Roman"/>
          <w:sz w:val="24"/>
          <w:szCs w:val="24"/>
        </w:rPr>
      </w:pPr>
    </w:p>
    <w:p w14:paraId="5551B043" w14:textId="343EBC7F" w:rsidR="000169F1" w:rsidRPr="00297066" w:rsidRDefault="00297066" w:rsidP="00297066">
      <w:pPr>
        <w:spacing w:after="0" w:line="360" w:lineRule="auto"/>
        <w:contextualSpacing/>
        <w:jc w:val="both"/>
        <w:rPr>
          <w:rFonts w:ascii="Arial" w:eastAsia="Calibri" w:hAnsi="Arial" w:cs="Times New Roman"/>
        </w:rPr>
      </w:pPr>
      <w:r w:rsidRPr="00297066">
        <w:rPr>
          <w:rFonts w:ascii="Arial" w:eastAsia="Calibri" w:hAnsi="Arial" w:cs="Times New Roman"/>
        </w:rPr>
        <w:t>Autos n. 5000793-43.2023.8.24.0052</w:t>
      </w:r>
    </w:p>
    <w:p w14:paraId="39E3CEDC" w14:textId="77777777" w:rsidR="000169F1" w:rsidRDefault="000169F1" w:rsidP="000169F1">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12E45848" w14:textId="77777777" w:rsidR="001B2A0F" w:rsidRPr="00136102" w:rsidRDefault="001B2A0F" w:rsidP="000169F1">
      <w:pPr>
        <w:tabs>
          <w:tab w:val="left" w:pos="3944"/>
        </w:tabs>
        <w:spacing w:after="0" w:line="360" w:lineRule="auto"/>
        <w:ind w:left="1418"/>
        <w:contextualSpacing/>
        <w:jc w:val="both"/>
        <w:rPr>
          <w:rFonts w:ascii="Arial" w:eastAsia="Calibri" w:hAnsi="Arial" w:cs="Times New Roman"/>
          <w:sz w:val="24"/>
          <w:szCs w:val="24"/>
        </w:rPr>
      </w:pPr>
    </w:p>
    <w:p w14:paraId="15241241"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1D2510A2" w14:textId="17BEAD63" w:rsidR="00297066" w:rsidRPr="005F6C35" w:rsidRDefault="00297066" w:rsidP="001B2A0F">
      <w:pPr>
        <w:pStyle w:val="Qualificaodaspartes"/>
        <w:spacing w:line="360" w:lineRule="auto"/>
      </w:pPr>
      <w:r>
        <w:rPr>
          <w:b/>
        </w:rPr>
        <w:t>GEAN ALESSANDRO SILVEIRA BYLLER</w:t>
      </w:r>
      <w:r w:rsidR="000169F1" w:rsidRPr="00A814BD">
        <w:t xml:space="preserve">, </w:t>
      </w:r>
      <w:r>
        <w:t xml:space="preserve">já qualificado nos autos </w:t>
      </w:r>
      <w:r w:rsidR="00AA7733">
        <w:t xml:space="preserve">do recurso especial </w:t>
      </w:r>
      <w:r>
        <w:t xml:space="preserve">n. </w:t>
      </w:r>
      <w:r w:rsidRPr="00297066">
        <w:t>5000793-43.2023.8.24.0052</w:t>
      </w:r>
      <w:r>
        <w:t xml:space="preserve">, em que é </w:t>
      </w:r>
      <w:r w:rsidR="00AA7733">
        <w:t xml:space="preserve">recorrido </w:t>
      </w:r>
      <w:r>
        <w:t>o MINISTÉRIO PÚBLICO DE SANTA CATARINA,</w:t>
      </w:r>
      <w:r w:rsidRPr="00A814BD">
        <w:t xml:space="preserve"> vem, respeitosamente, </w:t>
      </w:r>
      <w:r>
        <w:t xml:space="preserve">à elevada presença de </w:t>
      </w:r>
      <w:r w:rsidRPr="00A814BD">
        <w:t xml:space="preserve">Vossa Excelência, </w:t>
      </w:r>
      <w:r>
        <w:t>por seus advogados abaixo signatários</w:t>
      </w:r>
      <w:r w:rsidRPr="00A814BD">
        <w:t xml:space="preserve">, </w:t>
      </w:r>
      <w:r>
        <w:t xml:space="preserve">em atenção à intimação do evento </w:t>
      </w:r>
      <w:r w:rsidR="00AA7733">
        <w:t>126</w:t>
      </w:r>
      <w:r>
        <w:t xml:space="preserve">, com fundamento no art. </w:t>
      </w:r>
      <w:r w:rsidR="00A267C7">
        <w:t xml:space="preserve">1.030, </w:t>
      </w:r>
      <w:r w:rsidR="00B24D00">
        <w:t>§1º, e 1.042 do CPC</w:t>
      </w:r>
      <w:r>
        <w:t xml:space="preserve">, interpor, a tempo e modo, </w:t>
      </w:r>
      <w:r w:rsidR="00B24D00">
        <w:rPr>
          <w:b/>
          <w:bCs w:val="0"/>
          <w:i/>
          <w:iCs/>
        </w:rPr>
        <w:t xml:space="preserve">AGRAVO </w:t>
      </w:r>
      <w:r>
        <w:t xml:space="preserve">contra </w:t>
      </w:r>
      <w:r w:rsidR="00B24D00">
        <w:t>a decisão</w:t>
      </w:r>
      <w:r w:rsidR="00F746E3">
        <w:t xml:space="preserve"> do evento 124, que inadmitiu o recurso especial interposto</w:t>
      </w:r>
      <w:r>
        <w:t>, pelas razões de fato e de direito expostas na peça em anexo.</w:t>
      </w:r>
    </w:p>
    <w:p w14:paraId="31FBE142" w14:textId="77777777" w:rsidR="00297066" w:rsidRDefault="00297066" w:rsidP="001B2A0F">
      <w:pPr>
        <w:pStyle w:val="Ttulo2"/>
        <w:rPr>
          <w:rFonts w:eastAsia="Calibri"/>
        </w:rPr>
      </w:pPr>
    </w:p>
    <w:p w14:paraId="26FD629E" w14:textId="77777777" w:rsidR="00297066" w:rsidRDefault="00297066" w:rsidP="00297066">
      <w:pPr>
        <w:tabs>
          <w:tab w:val="left" w:pos="8504"/>
        </w:tabs>
        <w:spacing w:after="0" w:line="276" w:lineRule="auto"/>
        <w:ind w:right="142"/>
        <w:contextualSpacing/>
        <w:rPr>
          <w:rFonts w:ascii="Arial" w:eastAsia="Times New Roman" w:hAnsi="Arial" w:cs="Times New Roman"/>
          <w:i/>
          <w:iCs/>
          <w:sz w:val="26"/>
          <w:szCs w:val="26"/>
          <w:lang w:eastAsia="pt-BR"/>
        </w:rPr>
      </w:pPr>
    </w:p>
    <w:p w14:paraId="672601E9" w14:textId="77777777" w:rsidR="004D6389" w:rsidRPr="00033A4C" w:rsidRDefault="004D6389" w:rsidP="004D6389">
      <w:pPr>
        <w:spacing w:after="0" w:line="360" w:lineRule="auto"/>
        <w:ind w:firstLine="2127"/>
        <w:jc w:val="both"/>
        <w:rPr>
          <w:rFonts w:ascii="Arial" w:hAnsi="Arial" w:cs="Arial"/>
          <w:sz w:val="24"/>
          <w:szCs w:val="24"/>
        </w:rPr>
      </w:pPr>
      <w:r w:rsidRPr="00033A4C">
        <w:rPr>
          <w:rFonts w:ascii="Arial" w:hAnsi="Arial" w:cs="Arial"/>
          <w:sz w:val="24"/>
          <w:szCs w:val="24"/>
        </w:rPr>
        <w:t xml:space="preserve">Requer, regularmente processado, </w:t>
      </w:r>
      <w:r>
        <w:rPr>
          <w:rFonts w:ascii="Arial" w:hAnsi="Arial" w:cs="Arial"/>
          <w:sz w:val="24"/>
          <w:szCs w:val="24"/>
        </w:rPr>
        <w:t xml:space="preserve">que Vossa Excelência proceda ao juízo de retratação ou, não sendo o caso, que sejam remetidos </w:t>
      </w:r>
      <w:r w:rsidRPr="00033A4C">
        <w:rPr>
          <w:rFonts w:ascii="Arial" w:hAnsi="Arial" w:cs="Arial"/>
          <w:sz w:val="24"/>
          <w:szCs w:val="24"/>
        </w:rPr>
        <w:t xml:space="preserve">os autos ao Egrégio Superior Tribunal de Justiça para que, reformada a decisão agravada, o recurso especial </w:t>
      </w:r>
      <w:r>
        <w:rPr>
          <w:rFonts w:ascii="Arial" w:hAnsi="Arial" w:cs="Arial"/>
          <w:sz w:val="24"/>
          <w:szCs w:val="24"/>
        </w:rPr>
        <w:t xml:space="preserve">seja </w:t>
      </w:r>
      <w:r w:rsidRPr="00033A4C">
        <w:rPr>
          <w:rFonts w:ascii="Arial" w:hAnsi="Arial" w:cs="Arial"/>
          <w:sz w:val="24"/>
          <w:szCs w:val="24"/>
        </w:rPr>
        <w:t>admitido e, a final, provido.</w:t>
      </w:r>
    </w:p>
    <w:p w14:paraId="2A9DAD4A" w14:textId="77777777" w:rsidR="00297066" w:rsidRDefault="00297066" w:rsidP="00297066">
      <w:pPr>
        <w:spacing w:after="0" w:line="360" w:lineRule="auto"/>
        <w:ind w:left="1418"/>
        <w:contextualSpacing/>
        <w:jc w:val="both"/>
        <w:rPr>
          <w:rFonts w:ascii="Arial" w:eastAsia="Calibri" w:hAnsi="Arial" w:cs="Times New Roman"/>
          <w:sz w:val="24"/>
          <w:szCs w:val="24"/>
        </w:rPr>
      </w:pPr>
    </w:p>
    <w:p w14:paraId="7E0DB82F" w14:textId="77777777"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F5FEE23" w14:textId="730A3AB3"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B2631">
        <w:rPr>
          <w:rFonts w:ascii="Arial" w:eastAsia="Calibri" w:hAnsi="Arial" w:cs="Times New Roman"/>
          <w:noProof/>
          <w:sz w:val="24"/>
          <w:szCs w:val="24"/>
        </w:rPr>
        <w:t>27 de janeiro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4E3FB9B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DC464D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25D7142"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05CED336" w14:textId="77777777" w:rsidR="00297066" w:rsidRPr="00D576AF" w:rsidRDefault="00297066" w:rsidP="00297066">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A897730" w14:textId="77777777" w:rsidR="00297066" w:rsidRPr="00C8474B" w:rsidRDefault="00297066" w:rsidP="00297066">
      <w:pPr>
        <w:spacing w:after="0" w:line="240" w:lineRule="auto"/>
        <w:ind w:right="-2"/>
        <w:jc w:val="center"/>
        <w:rPr>
          <w:rFonts w:ascii="Arial" w:eastAsia="Times New Roman" w:hAnsi="Arial" w:cs="Times New Roman"/>
          <w:sz w:val="24"/>
          <w:szCs w:val="24"/>
        </w:rPr>
      </w:pPr>
      <w:r w:rsidRPr="00B3282E">
        <w:rPr>
          <w:rFonts w:ascii="Arial" w:eastAsia="Times New Roman" w:hAnsi="Arial" w:cs="Times New Roman"/>
          <w:sz w:val="24"/>
          <w:szCs w:val="24"/>
        </w:rPr>
        <w:t xml:space="preserve">    </w:t>
      </w:r>
      <w:r w:rsidRPr="00C8474B">
        <w:rPr>
          <w:rFonts w:ascii="Arial" w:eastAsia="Times New Roman" w:hAnsi="Arial" w:cs="Times New Roman"/>
          <w:sz w:val="24"/>
          <w:szCs w:val="24"/>
        </w:rPr>
        <w:t>OAB/SC 36.591</w:t>
      </w:r>
      <w:r w:rsidRPr="00C8474B">
        <w:rPr>
          <w:rFonts w:ascii="Arial" w:eastAsia="Times New Roman" w:hAnsi="Arial" w:cs="Times New Roman"/>
          <w:sz w:val="24"/>
          <w:szCs w:val="24"/>
        </w:rPr>
        <w:tab/>
      </w:r>
      <w:r w:rsidRPr="00C8474B">
        <w:rPr>
          <w:rFonts w:ascii="Arial" w:eastAsia="Times New Roman" w:hAnsi="Arial" w:cs="Times New Roman"/>
          <w:sz w:val="24"/>
          <w:szCs w:val="24"/>
        </w:rPr>
        <w:tab/>
      </w:r>
      <w:r w:rsidRPr="00C8474B">
        <w:rPr>
          <w:rFonts w:ascii="Arial" w:eastAsia="Times New Roman" w:hAnsi="Arial" w:cs="Times New Roman"/>
          <w:sz w:val="24"/>
          <w:szCs w:val="24"/>
        </w:rPr>
        <w:tab/>
      </w:r>
      <w:r w:rsidRPr="00C8474B">
        <w:rPr>
          <w:rFonts w:ascii="Arial" w:eastAsia="Times New Roman" w:hAnsi="Arial" w:cs="Times New Roman"/>
          <w:sz w:val="24"/>
          <w:szCs w:val="24"/>
        </w:rPr>
        <w:tab/>
      </w:r>
      <w:r w:rsidRPr="00C8474B">
        <w:rPr>
          <w:rFonts w:ascii="Arial" w:eastAsia="Times New Roman" w:hAnsi="Arial" w:cs="Times New Roman"/>
          <w:sz w:val="24"/>
          <w:szCs w:val="24"/>
        </w:rPr>
        <w:tab/>
        <w:t>OAB/SC 47.774</w:t>
      </w:r>
    </w:p>
    <w:p w14:paraId="7CF1A8CA"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4259B42B"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6C86B42F"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5CEE47E4"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50DABEB7"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2ECA9B79" w14:textId="77777777" w:rsidR="00297066" w:rsidRPr="00C8474B" w:rsidRDefault="00297066" w:rsidP="00297066">
      <w:pPr>
        <w:spacing w:after="0" w:line="240" w:lineRule="auto"/>
        <w:ind w:right="-2"/>
        <w:jc w:val="center"/>
        <w:rPr>
          <w:rFonts w:ascii="Arial" w:eastAsia="Times New Roman" w:hAnsi="Arial" w:cs="Times New Roman"/>
          <w:sz w:val="24"/>
          <w:szCs w:val="24"/>
        </w:rPr>
      </w:pPr>
    </w:p>
    <w:p w14:paraId="0DBF66EC" w14:textId="77777777" w:rsidR="006B3A64" w:rsidRPr="00C8474B" w:rsidRDefault="006B3A64" w:rsidP="006B3A64">
      <w:pPr>
        <w:tabs>
          <w:tab w:val="left" w:pos="8504"/>
        </w:tabs>
        <w:spacing w:after="0" w:line="276" w:lineRule="auto"/>
        <w:ind w:right="142"/>
        <w:contextualSpacing/>
        <w:rPr>
          <w:rFonts w:ascii="Arial" w:eastAsia="Times New Roman" w:hAnsi="Arial" w:cs="Times New Roman"/>
          <w:sz w:val="6"/>
          <w:szCs w:val="6"/>
          <w:lang w:eastAsia="pt-BR"/>
        </w:rPr>
      </w:pPr>
    </w:p>
    <w:p w14:paraId="09C84F4E" w14:textId="77777777" w:rsidR="00FC034C" w:rsidRPr="00C8474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16105BAF" w14:textId="77777777" w:rsidR="00FC034C" w:rsidRPr="00C8474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091F9F24" w14:textId="77777777" w:rsidR="00FC034C" w:rsidRPr="00C8474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44D498BD" w14:textId="77777777" w:rsidR="00FC034C" w:rsidRPr="00C8474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7D500DB4" w14:textId="77777777" w:rsidR="00FC034C" w:rsidRPr="00C8474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71AEA61C" w14:textId="7BDACBD8" w:rsidR="000169F1" w:rsidRDefault="000169F1" w:rsidP="00F746E3">
      <w:pPr>
        <w:pStyle w:val="Ttulo"/>
      </w:pPr>
      <w:r w:rsidRPr="005C4689">
        <w:lastRenderedPageBreak/>
        <w:t>I –</w:t>
      </w:r>
      <w:r>
        <w:t xml:space="preserve"> </w:t>
      </w:r>
      <w:r w:rsidR="00F746E3">
        <w:t>RAZÕES DE REFORMA DA DECISÃO AGRAVADA</w:t>
      </w:r>
    </w:p>
    <w:p w14:paraId="726EFEF4" w14:textId="0BC34AE0" w:rsidR="00F746E3" w:rsidRPr="00F746E3" w:rsidRDefault="00F746E3" w:rsidP="00F746E3">
      <w:pPr>
        <w:pStyle w:val="Ttulo"/>
      </w:pPr>
      <w:r>
        <w:t>I.1 – Inaplicabilidade da Súmula n. 83/STJ ao presente caso</w:t>
      </w:r>
    </w:p>
    <w:p w14:paraId="54278611" w14:textId="77777777" w:rsidR="000169F1" w:rsidRPr="004A3F4E" w:rsidRDefault="000169F1" w:rsidP="006B3A64">
      <w:pPr>
        <w:pStyle w:val="SemEspaamento"/>
        <w:numPr>
          <w:ilvl w:val="0"/>
          <w:numId w:val="0"/>
        </w:numPr>
        <w:ind w:left="1701"/>
      </w:pPr>
    </w:p>
    <w:p w14:paraId="7BBA4BF4" w14:textId="69BE8FE7" w:rsidR="00F746E3" w:rsidRDefault="00F746E3" w:rsidP="006A7698">
      <w:pPr>
        <w:pStyle w:val="SemEspaamento"/>
      </w:pPr>
      <w:r>
        <w:t xml:space="preserve">Inicialmente, </w:t>
      </w:r>
      <w:r w:rsidR="00AA7FF6">
        <w:t xml:space="preserve">quanto à ofensa aos arts. 619 e 620 do CPP, </w:t>
      </w:r>
      <w:r>
        <w:t>a decisão agravada</w:t>
      </w:r>
      <w:r w:rsidR="00AA7FF6">
        <w:t xml:space="preserve"> sustentou que “</w:t>
      </w:r>
      <w:r w:rsidR="00AA7FF6" w:rsidRPr="00AA7FF6">
        <w:rPr>
          <w:i/>
          <w:iCs/>
        </w:rPr>
        <w:t>a decisão exarou entendimento compatível com a jurisprudência da Corte Superior - que entende que os embargos declaratórios não constituem meio hábil à rediscussão da matéria, porquanto se destinam apenas à elucidação e à complementação do julgado anterior -, o que atrai a incidência do enunciado 83 da súmula da jurisprudência do STJ (‘Não se conhece do recurso especial pela divergência, quando a orientação do Tribunal se firmou no mesmo sentido da decisão recorrida’)</w:t>
      </w:r>
      <w:r w:rsidR="00AA7FF6">
        <w:t>”.</w:t>
      </w:r>
    </w:p>
    <w:p w14:paraId="27763EAC" w14:textId="7FA54D27" w:rsidR="00AA7FF6" w:rsidRDefault="00AA7FF6" w:rsidP="00AA7FF6">
      <w:pPr>
        <w:pStyle w:val="SemEspaamento"/>
      </w:pPr>
      <w:r>
        <w:t xml:space="preserve">No entanto, esse entendimento não </w:t>
      </w:r>
      <w:r w:rsidR="00EB03F3">
        <w:t>subsiste</w:t>
      </w:r>
      <w:r>
        <w:t xml:space="preserve"> e, portanto, a decisão comporta reforma.</w:t>
      </w:r>
    </w:p>
    <w:p w14:paraId="632D78E5" w14:textId="74DC3BDE" w:rsidR="00AA7FF6" w:rsidRDefault="00AA7FF6" w:rsidP="00AA7FF6">
      <w:pPr>
        <w:pStyle w:val="SemEspaamento"/>
      </w:pPr>
      <w:r>
        <w:t xml:space="preserve">Ora, diversamente do que sustenta, genericamente, a decisão agravada, </w:t>
      </w:r>
      <w:r w:rsidR="00D93CDD">
        <w:t xml:space="preserve">o aresto condenatório simplesmente desconsiderou toda a argumentação </w:t>
      </w:r>
      <w:r w:rsidR="00EB03F3">
        <w:t>delineada nas razões recursais e, mesmo após instad</w:t>
      </w:r>
      <w:r w:rsidR="00141551">
        <w:t>o</w:t>
      </w:r>
      <w:r w:rsidR="00EB03F3">
        <w:t xml:space="preserve"> a se manifestar sobre o tema</w:t>
      </w:r>
      <w:r w:rsidR="00141551">
        <w:t xml:space="preserve"> por meio dos embargos de declaração</w:t>
      </w:r>
      <w:r w:rsidR="00EB03F3">
        <w:t>, continuou deixando de apreciar as teses recursais</w:t>
      </w:r>
      <w:r w:rsidR="00F233A2">
        <w:t xml:space="preserve"> </w:t>
      </w:r>
      <w:r w:rsidR="000D02BA">
        <w:t xml:space="preserve">indispensáveis para a solução da causa </w:t>
      </w:r>
      <w:r w:rsidR="00F233A2">
        <w:t>e os respectivos elementos de prova que a fundamentam,</w:t>
      </w:r>
      <w:r w:rsidR="00EB03F3">
        <w:t xml:space="preserve"> </w:t>
      </w:r>
      <w:r w:rsidR="00F233A2">
        <w:t xml:space="preserve">as quais </w:t>
      </w:r>
      <w:r w:rsidR="00C658DD">
        <w:t>têm o potencial de infirmar</w:t>
      </w:r>
      <w:r w:rsidR="00F233A2">
        <w:t xml:space="preserve"> a conclusão condenatória</w:t>
      </w:r>
      <w:r w:rsidR="009B11A9">
        <w:t>,</w:t>
      </w:r>
      <w:r w:rsidR="00F233A2">
        <w:t xml:space="preserve"> </w:t>
      </w:r>
      <w:r w:rsidR="00EB03F3">
        <w:t xml:space="preserve">incorrendo em </w:t>
      </w:r>
      <w:r w:rsidR="009B11A9">
        <w:t>afronta direta ao art. 619 e 620 do CPP.</w:t>
      </w:r>
    </w:p>
    <w:p w14:paraId="6B39B295" w14:textId="7B3C302B" w:rsidR="000D02BA" w:rsidRDefault="00BA2A55" w:rsidP="00AA7FF6">
      <w:pPr>
        <w:pStyle w:val="SemEspaamento"/>
      </w:pPr>
      <w:r>
        <w:t xml:space="preserve">Assim, a </w:t>
      </w:r>
      <w:r w:rsidR="00983843">
        <w:t xml:space="preserve">incidência da </w:t>
      </w:r>
      <w:r>
        <w:t xml:space="preserve">Súmula n. 83/STJ é afastada porque, como se verá a seguir, </w:t>
      </w:r>
      <w:r w:rsidR="00733ABB">
        <w:t xml:space="preserve">em casos como o presente, o posicionamento da </w:t>
      </w:r>
      <w:r>
        <w:t xml:space="preserve">Colenda Corte Superior é </w:t>
      </w:r>
      <w:r w:rsidR="00A07B7B">
        <w:t>no sentido de que “</w:t>
      </w:r>
      <w:r w:rsidR="002479FD" w:rsidRPr="007579C3">
        <w:rPr>
          <w:b/>
          <w:bCs/>
          <w:i/>
          <w:iCs/>
        </w:rPr>
        <w:t xml:space="preserve">A </w:t>
      </w:r>
      <w:r w:rsidR="002479FD" w:rsidRPr="007579C3">
        <w:rPr>
          <w:b/>
          <w:bCs/>
          <w:i/>
          <w:iCs/>
          <w:u w:val="single"/>
        </w:rPr>
        <w:t>omissão</w:t>
      </w:r>
      <w:r w:rsidR="002479FD" w:rsidRPr="007579C3">
        <w:rPr>
          <w:b/>
          <w:bCs/>
          <w:i/>
          <w:iCs/>
        </w:rPr>
        <w:t xml:space="preserve"> </w:t>
      </w:r>
      <w:r w:rsidR="002479FD" w:rsidRPr="007579C3">
        <w:rPr>
          <w:b/>
          <w:bCs/>
          <w:i/>
          <w:iCs/>
          <w:u w:val="single"/>
        </w:rPr>
        <w:t>relevante</w:t>
      </w:r>
      <w:r w:rsidR="002479FD" w:rsidRPr="007579C3">
        <w:rPr>
          <w:b/>
          <w:bCs/>
          <w:i/>
          <w:iCs/>
        </w:rPr>
        <w:t xml:space="preserve"> </w:t>
      </w:r>
      <w:r w:rsidR="002479FD" w:rsidRPr="007579C3">
        <w:rPr>
          <w:b/>
          <w:bCs/>
          <w:i/>
          <w:iCs/>
          <w:u w:val="single"/>
        </w:rPr>
        <w:t>não</w:t>
      </w:r>
      <w:r w:rsidR="002479FD" w:rsidRPr="007579C3">
        <w:rPr>
          <w:b/>
          <w:bCs/>
          <w:i/>
          <w:iCs/>
        </w:rPr>
        <w:t xml:space="preserve"> </w:t>
      </w:r>
      <w:r w:rsidR="002479FD" w:rsidRPr="007579C3">
        <w:rPr>
          <w:b/>
          <w:bCs/>
          <w:i/>
          <w:iCs/>
          <w:u w:val="single"/>
        </w:rPr>
        <w:t>sanada</w:t>
      </w:r>
      <w:r w:rsidR="002479FD" w:rsidRPr="007579C3">
        <w:rPr>
          <w:b/>
          <w:bCs/>
          <w:i/>
          <w:iCs/>
        </w:rPr>
        <w:t xml:space="preserve"> em embargos de declaração, que deixa de apreciar documentos e argumentos cruciais para a solução da controvérsia, configura violação do art. 619 do CPP</w:t>
      </w:r>
      <w:r w:rsidR="002479FD" w:rsidRPr="002479FD">
        <w:rPr>
          <w:i/>
          <w:iCs/>
        </w:rPr>
        <w:t>, ensejando a anulação do julgamento dos embargos e o retorno dos autos ao tribunal de origem para novo julgamento</w:t>
      </w:r>
      <w:r w:rsidR="002479FD">
        <w:t>”</w:t>
      </w:r>
      <w:r w:rsidR="007579C3">
        <w:t xml:space="preserve"> </w:t>
      </w:r>
      <w:r w:rsidR="007579C3" w:rsidRPr="007579C3">
        <w:rPr>
          <w:sz w:val="20"/>
          <w:szCs w:val="18"/>
        </w:rPr>
        <w:t>(STJ, AgRg no AREsp: 2.590.503/RS, 6ª Turma, Rel. Min. Sebastião Reis Júnior, j. em 24.9.2024)</w:t>
      </w:r>
      <w:r w:rsidR="002479FD" w:rsidRPr="002479FD">
        <w:t>.</w:t>
      </w:r>
    </w:p>
    <w:p w14:paraId="19F22743" w14:textId="7CB2E47F" w:rsidR="00AE2D05" w:rsidRDefault="00AE2D05" w:rsidP="00AE2D05">
      <w:pPr>
        <w:pStyle w:val="SemEspaamento"/>
      </w:pPr>
      <w:r>
        <w:t>Excelência, basta a leitura do relatório, que nem sequer detalha as teses defensivas apresentadas, e do voto do aresto que julgou a apelação criminal e manteve a condenação para se constatar que,</w:t>
      </w:r>
      <w:r w:rsidRPr="00E97237">
        <w:t xml:space="preserve"> </w:t>
      </w:r>
      <w:r>
        <w:t xml:space="preserve">no presente caso, há a afronta direta </w:t>
      </w:r>
      <w:r w:rsidR="007B5465">
        <w:t xml:space="preserve">à determinação aos Julgadores contida nos arts. 619 e 620 do CPP, sobretudo porque as teses jurídicas foram ignoradas e </w:t>
      </w:r>
      <w:r w:rsidR="00693432">
        <w:t>a atuação defensiva se deu como mera “</w:t>
      </w:r>
      <w:r w:rsidR="00693432" w:rsidRPr="00FD63E0">
        <w:rPr>
          <w:i/>
          <w:iCs/>
        </w:rPr>
        <w:t>pro forma</w:t>
      </w:r>
      <w:r w:rsidR="00693432">
        <w:t>”, apenas para conferir ares de legalidade para impor o decreto condenatório</w:t>
      </w:r>
      <w:r>
        <w:t>.</w:t>
      </w:r>
    </w:p>
    <w:p w14:paraId="7FDA7BED" w14:textId="49ACBCC4" w:rsidR="00954E82" w:rsidRPr="0041459F" w:rsidRDefault="00693432" w:rsidP="00954E82">
      <w:pPr>
        <w:pStyle w:val="SemEspaamento"/>
        <w:rPr>
          <w:rFonts w:eastAsia="Calibri" w:cs="Times New Roman"/>
          <w:b/>
          <w:szCs w:val="24"/>
        </w:rPr>
      </w:pPr>
      <w:r>
        <w:t xml:space="preserve">Isso porque, como exposto no recurso especial, </w:t>
      </w:r>
      <w:r w:rsidR="00260E99">
        <w:t xml:space="preserve">os arestos recorridos </w:t>
      </w:r>
      <w:r w:rsidR="00260E99" w:rsidRPr="00C8474B">
        <w:rPr>
          <w:b/>
          <w:bCs/>
        </w:rPr>
        <w:t xml:space="preserve">não enfrentaram </w:t>
      </w:r>
      <w:r w:rsidR="00954E82" w:rsidRPr="00C8474B">
        <w:rPr>
          <w:b/>
          <w:bCs/>
        </w:rPr>
        <w:t xml:space="preserve">o ponto central das razões de apelação </w:t>
      </w:r>
      <w:r w:rsidR="00954E82" w:rsidRPr="0041459F">
        <w:rPr>
          <w:sz w:val="20"/>
          <w:szCs w:val="18"/>
        </w:rPr>
        <w:t>(evento 28 – 2º grau)</w:t>
      </w:r>
      <w:r w:rsidR="00260E99">
        <w:t xml:space="preserve">, </w:t>
      </w:r>
      <w:r w:rsidR="00260E99" w:rsidRPr="001A6121">
        <w:rPr>
          <w:b/>
          <w:bCs/>
        </w:rPr>
        <w:t xml:space="preserve">que </w:t>
      </w:r>
      <w:r w:rsidR="00954E82" w:rsidRPr="001A6121">
        <w:rPr>
          <w:b/>
          <w:bCs/>
        </w:rPr>
        <w:t>diz respeito a todas as circunstâncias e elementos de prova que levam à conclusão de que JULIANA, mãe de MARIA EDUARDA, criou a narrativa acusatória, que gerou essa condenação indevida</w:t>
      </w:r>
      <w:r w:rsidR="00954E82">
        <w:t xml:space="preserve">, para acabar com a vida do recorrente, por conta do término conturbado do relacionamento conjugal que mantinham. </w:t>
      </w:r>
    </w:p>
    <w:p w14:paraId="7BD13279" w14:textId="0759BDF4" w:rsidR="00954E82" w:rsidRPr="0041459F" w:rsidRDefault="00954E82" w:rsidP="00954E82">
      <w:pPr>
        <w:pStyle w:val="SemEspaamento"/>
        <w:rPr>
          <w:rFonts w:eastAsia="Calibri" w:cs="Times New Roman"/>
          <w:b/>
          <w:szCs w:val="24"/>
        </w:rPr>
      </w:pPr>
      <w:r>
        <w:t xml:space="preserve">Ou seja, é indispensável que a principal tese recursal apresentada seja devidamente enfrentada pela Corte local, </w:t>
      </w:r>
      <w:r w:rsidRPr="001A6121">
        <w:rPr>
          <w:b/>
          <w:bCs/>
        </w:rPr>
        <w:t xml:space="preserve">sob pena de se incorrer em fundamentação </w:t>
      </w:r>
      <w:r w:rsidR="001A6121" w:rsidRPr="001A6121">
        <w:rPr>
          <w:b/>
          <w:bCs/>
        </w:rPr>
        <w:t>deficiente</w:t>
      </w:r>
      <w:r w:rsidR="001A6121">
        <w:rPr>
          <w:b/>
          <w:bCs/>
        </w:rPr>
        <w:t xml:space="preserve"> pela negativa de análise dos vícios apontados nos aclaratórios</w:t>
      </w:r>
      <w:r w:rsidRPr="001A6121">
        <w:rPr>
          <w:b/>
          <w:bCs/>
        </w:rPr>
        <w:t>, em manifesta afronta ao dever insculpido no</w:t>
      </w:r>
      <w:r w:rsidR="003960FE" w:rsidRPr="001A6121">
        <w:rPr>
          <w:b/>
          <w:bCs/>
        </w:rPr>
        <w:t>s</w:t>
      </w:r>
      <w:r w:rsidRPr="001A6121">
        <w:rPr>
          <w:b/>
          <w:bCs/>
        </w:rPr>
        <w:t xml:space="preserve"> art</w:t>
      </w:r>
      <w:r w:rsidR="003960FE" w:rsidRPr="001A6121">
        <w:rPr>
          <w:b/>
          <w:bCs/>
        </w:rPr>
        <w:t>s</w:t>
      </w:r>
      <w:r w:rsidRPr="001A6121">
        <w:rPr>
          <w:b/>
          <w:bCs/>
        </w:rPr>
        <w:t xml:space="preserve">. </w:t>
      </w:r>
      <w:r w:rsidR="003960FE" w:rsidRPr="001A6121">
        <w:rPr>
          <w:b/>
          <w:bCs/>
        </w:rPr>
        <w:t>619 e 620 do CPP</w:t>
      </w:r>
      <w:r>
        <w:t xml:space="preserve">, sobretudo porque </w:t>
      </w:r>
      <w:r w:rsidR="003960FE">
        <w:t xml:space="preserve">a argumentação </w:t>
      </w:r>
      <w:r>
        <w:t xml:space="preserve">é plenamente capaz de derruir a conclusão condenatória a que chegaram os arestos recorridos. </w:t>
      </w:r>
    </w:p>
    <w:p w14:paraId="238A4412" w14:textId="77777777" w:rsidR="00954E82" w:rsidRPr="00AC339C" w:rsidRDefault="00954E82" w:rsidP="00954E82">
      <w:pPr>
        <w:pStyle w:val="SemEspaamento"/>
        <w:rPr>
          <w:rFonts w:eastAsia="Calibri" w:cs="Times New Roman"/>
          <w:b/>
          <w:szCs w:val="24"/>
        </w:rPr>
      </w:pPr>
      <w:r>
        <w:t>Com a devida vênia, Excelência, trata-se da vida de um cidadão de bem, empresário, que foi condenado injustamente pelo crime de estupro de vulnerável por conta de vingança do término de seu antigo relacionamento, quando descobriu traição e tirou a sua ex-companheira de sua casa. Portanto, a apreciação da argumentação defensiva e de todas as provas que a fundamenta é imprescindível, contudo, isso não ocorreu no caso em tela.</w:t>
      </w:r>
    </w:p>
    <w:p w14:paraId="64977A0C" w14:textId="6FF7D9E5" w:rsidR="00214A68" w:rsidRPr="003331C7" w:rsidRDefault="00214A68" w:rsidP="00214A68">
      <w:pPr>
        <w:pStyle w:val="SemEspaamento"/>
        <w:rPr>
          <w:rFonts w:eastAsia="Calibri" w:cs="Times New Roman"/>
          <w:b/>
          <w:szCs w:val="24"/>
        </w:rPr>
      </w:pPr>
      <w:r>
        <w:t xml:space="preserve">No recurso especial também foi exposto que a negativa de vigência aos arts. 619 e 620 do CPP decorre do fato de que os arestos recorridos não consideraram </w:t>
      </w:r>
      <w:r w:rsidRPr="00214A68">
        <w:rPr>
          <w:sz w:val="20"/>
          <w:szCs w:val="18"/>
        </w:rPr>
        <w:t>(</w:t>
      </w:r>
      <w:r w:rsidRPr="00214A68">
        <w:rPr>
          <w:b/>
          <w:bCs/>
          <w:sz w:val="20"/>
          <w:szCs w:val="18"/>
        </w:rPr>
        <w:t>omissão</w:t>
      </w:r>
      <w:r w:rsidRPr="00214A68">
        <w:rPr>
          <w:sz w:val="20"/>
          <w:szCs w:val="18"/>
        </w:rPr>
        <w:t>)</w:t>
      </w:r>
      <w:r>
        <w:t xml:space="preserve"> </w:t>
      </w:r>
      <w:r w:rsidR="00141551">
        <w:t xml:space="preserve">o argumento recursal de </w:t>
      </w:r>
      <w:r>
        <w:t xml:space="preserve">que JULIANA, ex-companheira, foi quem registrou o B.O. e </w:t>
      </w:r>
      <w:r w:rsidRPr="003331C7">
        <w:rPr>
          <w:b/>
          <w:bCs/>
        </w:rPr>
        <w:t>veicul</w:t>
      </w:r>
      <w:r>
        <w:rPr>
          <w:b/>
          <w:bCs/>
        </w:rPr>
        <w:t>ou</w:t>
      </w:r>
      <w:r w:rsidRPr="003331C7">
        <w:rPr>
          <w:b/>
          <w:bCs/>
        </w:rPr>
        <w:t xml:space="preserve"> </w:t>
      </w:r>
      <w:r>
        <w:rPr>
          <w:b/>
          <w:bCs/>
        </w:rPr>
        <w:t xml:space="preserve">diversas </w:t>
      </w:r>
      <w:r w:rsidRPr="003331C7">
        <w:rPr>
          <w:b/>
          <w:bCs/>
        </w:rPr>
        <w:t>acusações falsas</w:t>
      </w:r>
      <w:r>
        <w:t xml:space="preserve">, de que foi estuprada pelo recorrente </w:t>
      </w:r>
      <w:r w:rsidRPr="00AC339C">
        <w:rPr>
          <w:sz w:val="20"/>
          <w:szCs w:val="18"/>
        </w:rPr>
        <w:t>(fato que nem chegou a ser denunciado)</w:t>
      </w:r>
      <w:r>
        <w:t xml:space="preserve"> e de que teria ocorrido o crime de satisfação de lascívia </w:t>
      </w:r>
      <w:r w:rsidRPr="00AC339C">
        <w:rPr>
          <w:sz w:val="20"/>
          <w:szCs w:val="18"/>
        </w:rPr>
        <w:t>(o recorrente foi absolvido)</w:t>
      </w:r>
      <w:r>
        <w:t xml:space="preserve">, além de acusar que o recorrente teria abusado de sua filha. </w:t>
      </w:r>
    </w:p>
    <w:p w14:paraId="59E588A5" w14:textId="77777777" w:rsidR="00A3246D" w:rsidRPr="00A3246D" w:rsidRDefault="00214A68" w:rsidP="00214A68">
      <w:pPr>
        <w:pStyle w:val="SemEspaamento"/>
        <w:rPr>
          <w:rFonts w:eastAsia="Calibri" w:cs="Times New Roman"/>
          <w:b/>
          <w:szCs w:val="24"/>
        </w:rPr>
      </w:pPr>
      <w:r>
        <w:t xml:space="preserve">Além disso, os arestos recorridos, em nova afronta ao dever de </w:t>
      </w:r>
      <w:r w:rsidR="006D4244">
        <w:t xml:space="preserve">complementação do </w:t>
      </w:r>
      <w:r w:rsidR="006D4244">
        <w:rPr>
          <w:i/>
          <w:iCs/>
        </w:rPr>
        <w:t xml:space="preserve">decisum </w:t>
      </w:r>
      <w:r>
        <w:t xml:space="preserve">previsto </w:t>
      </w:r>
      <w:r w:rsidR="006D4244">
        <w:t>no</w:t>
      </w:r>
      <w:r w:rsidR="00A3246D">
        <w:t>s</w:t>
      </w:r>
      <w:r w:rsidR="006D4244">
        <w:t xml:space="preserve"> </w:t>
      </w:r>
      <w:r>
        <w:t>art</w:t>
      </w:r>
      <w:r w:rsidR="00A3246D">
        <w:t>s</w:t>
      </w:r>
      <w:r>
        <w:t xml:space="preserve">. </w:t>
      </w:r>
      <w:r w:rsidR="00A3246D">
        <w:t>619 e 620 do CPP</w:t>
      </w:r>
      <w:r>
        <w:t xml:space="preserve">, desconsideraram </w:t>
      </w:r>
      <w:r w:rsidR="00A3246D" w:rsidRPr="00214A68">
        <w:rPr>
          <w:sz w:val="20"/>
          <w:szCs w:val="18"/>
        </w:rPr>
        <w:t>(</w:t>
      </w:r>
      <w:r w:rsidR="00A3246D" w:rsidRPr="00214A68">
        <w:rPr>
          <w:b/>
          <w:bCs/>
          <w:sz w:val="20"/>
          <w:szCs w:val="18"/>
        </w:rPr>
        <w:t>omissão</w:t>
      </w:r>
      <w:r w:rsidR="00A3246D" w:rsidRPr="00214A68">
        <w:rPr>
          <w:sz w:val="20"/>
          <w:szCs w:val="18"/>
        </w:rPr>
        <w:t>)</w:t>
      </w:r>
      <w:r w:rsidR="00A3246D">
        <w:rPr>
          <w:sz w:val="20"/>
          <w:szCs w:val="18"/>
        </w:rPr>
        <w:t xml:space="preserve"> </w:t>
      </w:r>
      <w:r>
        <w:t xml:space="preserve">o argumento recursal de que a oitiva de SIMONE APARECIDA ROMANOSKI </w:t>
      </w:r>
      <w:r w:rsidRPr="00F83840">
        <w:rPr>
          <w:sz w:val="20"/>
          <w:szCs w:val="18"/>
        </w:rPr>
        <w:t>(evento 118, VIDEO1, 7m-7m15s)</w:t>
      </w:r>
      <w:r>
        <w:t xml:space="preserve"> e </w:t>
      </w:r>
      <w:r w:rsidRPr="00F83840">
        <w:rPr>
          <w:b/>
          <w:bCs/>
        </w:rPr>
        <w:t xml:space="preserve">a ata notarial de conversas no </w:t>
      </w:r>
      <w:r w:rsidRPr="00F83840">
        <w:rPr>
          <w:b/>
          <w:bCs/>
          <w:i/>
          <w:iCs/>
        </w:rPr>
        <w:t>Facebook</w:t>
      </w:r>
      <w:r w:rsidRPr="00F83840">
        <w:rPr>
          <w:b/>
          <w:bCs/>
        </w:rPr>
        <w:t xml:space="preserve"> entre GEAN e JULIANA</w:t>
      </w:r>
      <w:r>
        <w:t xml:space="preserve"> </w:t>
      </w:r>
      <w:r w:rsidRPr="00F83840">
        <w:rPr>
          <w:sz w:val="20"/>
          <w:szCs w:val="18"/>
        </w:rPr>
        <w:t>(evento 28, ATA3)</w:t>
      </w:r>
      <w:r>
        <w:t xml:space="preserve"> </w:t>
      </w:r>
      <w:r w:rsidRPr="00F83840">
        <w:rPr>
          <w:b/>
          <w:bCs/>
        </w:rPr>
        <w:t>comprovam que, desde 2019, JULIANA planejava se vingar do recorrente, só não tendo feito isso anteriormente por conta dos pagamentos que recebida em razão do acordo dissolução de união estável firmado</w:t>
      </w:r>
      <w:r>
        <w:t xml:space="preserve"> entre o recorrente e a ex-companheira </w:t>
      </w:r>
      <w:r w:rsidRPr="00F83840">
        <w:rPr>
          <w:sz w:val="20"/>
          <w:szCs w:val="18"/>
        </w:rPr>
        <w:t>(JULIANA)</w:t>
      </w:r>
      <w:r>
        <w:t xml:space="preserve">. </w:t>
      </w:r>
    </w:p>
    <w:p w14:paraId="2232175F" w14:textId="18784B18" w:rsidR="00214A68" w:rsidRPr="00F83840" w:rsidRDefault="00214A68" w:rsidP="00214A68">
      <w:pPr>
        <w:pStyle w:val="SemEspaamento"/>
        <w:rPr>
          <w:rFonts w:eastAsia="Calibri" w:cs="Times New Roman"/>
          <w:b/>
          <w:szCs w:val="24"/>
        </w:rPr>
      </w:pPr>
      <w:r>
        <w:t xml:space="preserve">A título de exemplo, vejamos parte das conversas entre o recorrente e JULIANA no </w:t>
      </w:r>
      <w:proofErr w:type="spellStart"/>
      <w:r w:rsidRPr="00F83840">
        <w:rPr>
          <w:i/>
          <w:iCs/>
        </w:rPr>
        <w:t>facebook</w:t>
      </w:r>
      <w:proofErr w:type="spellEnd"/>
      <w:r>
        <w:t xml:space="preserve">, que foram ignoradas pelos arestos recorridos </w:t>
      </w:r>
      <w:r w:rsidRPr="00F83840">
        <w:rPr>
          <w:sz w:val="20"/>
          <w:szCs w:val="18"/>
        </w:rPr>
        <w:t>(evento 28, ATA3)</w:t>
      </w:r>
      <w:r>
        <w:t>:</w:t>
      </w:r>
    </w:p>
    <w:p w14:paraId="76B75866" w14:textId="65EBE794" w:rsidR="00214A68" w:rsidRPr="00F83840" w:rsidRDefault="00214A68" w:rsidP="00214A68">
      <w:pPr>
        <w:pStyle w:val="SemEspaamento"/>
        <w:numPr>
          <w:ilvl w:val="0"/>
          <w:numId w:val="0"/>
        </w:numPr>
        <w:rPr>
          <w:sz w:val="8"/>
          <w:szCs w:val="6"/>
        </w:rPr>
      </w:pPr>
    </w:p>
    <w:p w14:paraId="72C7266E" w14:textId="77777777" w:rsidR="00214A68" w:rsidRDefault="00214A68" w:rsidP="00214A68">
      <w:pPr>
        <w:pStyle w:val="SemEspaamento"/>
        <w:numPr>
          <w:ilvl w:val="0"/>
          <w:numId w:val="0"/>
        </w:numPr>
        <w:jc w:val="center"/>
      </w:pPr>
      <w:r>
        <w:rPr>
          <w:noProof/>
        </w:rPr>
        <mc:AlternateContent>
          <mc:Choice Requires="wps">
            <w:drawing>
              <wp:anchor distT="0" distB="0" distL="114300" distR="114300" simplePos="0" relativeHeight="251667456" behindDoc="0" locked="0" layoutInCell="1" allowOverlap="1" wp14:anchorId="47A6A603" wp14:editId="0C06E7BA">
                <wp:simplePos x="0" y="0"/>
                <wp:positionH relativeFrom="column">
                  <wp:posOffset>-696639</wp:posOffset>
                </wp:positionH>
                <wp:positionV relativeFrom="paragraph">
                  <wp:posOffset>4467417</wp:posOffset>
                </wp:positionV>
                <wp:extent cx="818308" cy="465426"/>
                <wp:effectExtent l="0" t="19050" r="39370" b="30480"/>
                <wp:wrapNone/>
                <wp:docPr id="2006371546" name="Seta: para a Direita 2" descr="P117#y1"/>
                <wp:cNvGraphicFramePr/>
                <a:graphic xmlns:a="http://schemas.openxmlformats.org/drawingml/2006/main">
                  <a:graphicData uri="http://schemas.microsoft.com/office/word/2010/wordprocessingShape">
                    <wps:wsp>
                      <wps:cNvSpPr/>
                      <wps:spPr>
                        <a:xfrm>
                          <a:off x="0" y="0"/>
                          <a:ext cx="818308" cy="465426"/>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8751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 o:spid="_x0000_s1026" type="#_x0000_t13" alt="P117#y1" style="position:absolute;margin-left:-54.85pt;margin-top:351.75pt;width:64.45pt;height:3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" adj="15457" fillcolor="#e00" strokecolor="black [3213]" strokeweight="1pt"/>
            </w:pict>
          </mc:Fallback>
        </mc:AlternateContent>
      </w:r>
      <w:r>
        <w:rPr>
          <w:noProof/>
        </w:rPr>
        <w:drawing>
          <wp:inline distT="0" distB="0" distL="0" distR="0" wp14:anchorId="0DD5C113" wp14:editId="20516644">
            <wp:extent cx="5991067" cy="6602819"/>
            <wp:effectExtent l="0" t="0" r="0" b="7620"/>
            <wp:docPr id="1642254746" name="Imagem 2" descr="P1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20623" name="Imagem 2" descr="P116#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5433" cy="6750905"/>
                    </a:xfrm>
                    <a:prstGeom prst="rect">
                      <a:avLst/>
                    </a:prstGeom>
                    <a:noFill/>
                    <a:ln>
                      <a:noFill/>
                    </a:ln>
                  </pic:spPr>
                </pic:pic>
              </a:graphicData>
            </a:graphic>
          </wp:inline>
        </w:drawing>
      </w:r>
    </w:p>
    <w:p w14:paraId="5D1A4105" w14:textId="77777777" w:rsidR="00214A68" w:rsidRDefault="00214A68" w:rsidP="00214A68">
      <w:pPr>
        <w:pStyle w:val="SemEspaamento"/>
        <w:numPr>
          <w:ilvl w:val="0"/>
          <w:numId w:val="0"/>
        </w:numPr>
        <w:jc w:val="center"/>
      </w:pPr>
      <w:r>
        <w:rPr>
          <w:noProof/>
        </w:rPr>
        <mc:AlternateContent>
          <mc:Choice Requires="wps">
            <w:drawing>
              <wp:anchor distT="0" distB="0" distL="114300" distR="114300" simplePos="0" relativeHeight="251665408" behindDoc="0" locked="0" layoutInCell="1" allowOverlap="1" wp14:anchorId="6AA6D6BA" wp14:editId="1D888546">
                <wp:simplePos x="0" y="0"/>
                <wp:positionH relativeFrom="column">
                  <wp:posOffset>564057</wp:posOffset>
                </wp:positionH>
                <wp:positionV relativeFrom="paragraph">
                  <wp:posOffset>2511898</wp:posOffset>
                </wp:positionV>
                <wp:extent cx="680085" cy="361315"/>
                <wp:effectExtent l="0" t="19050" r="43815" b="38735"/>
                <wp:wrapNone/>
                <wp:docPr id="1037524267" name="Seta: para a Direita 2" descr="P117#y1"/>
                <wp:cNvGraphicFramePr/>
                <a:graphic xmlns:a="http://schemas.openxmlformats.org/drawingml/2006/main">
                  <a:graphicData uri="http://schemas.microsoft.com/office/word/2010/wordprocessingShape">
                    <wps:wsp>
                      <wps:cNvSpPr/>
                      <wps:spPr>
                        <a:xfrm>
                          <a:off x="0" y="0"/>
                          <a:ext cx="680085" cy="361315"/>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B29F43" id="Seta: para a Direita 2" o:spid="_x0000_s1026" type="#_x0000_t13" alt="P117#y1" style="position:absolute;margin-left:44.4pt;margin-top:197.8pt;width:53.55pt;height:28.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" adj="15862" fillcolor="#e00" strokecolor="black [3213]" strokeweight="1pt"/>
            </w:pict>
          </mc:Fallback>
        </mc:AlternateContent>
      </w:r>
      <w:r>
        <w:rPr>
          <w:noProof/>
        </w:rPr>
        <mc:AlternateContent>
          <mc:Choice Requires="wps">
            <w:drawing>
              <wp:anchor distT="0" distB="0" distL="114300" distR="114300" simplePos="0" relativeHeight="251666432" behindDoc="0" locked="0" layoutInCell="1" allowOverlap="1" wp14:anchorId="196D90E5" wp14:editId="1B5C5917">
                <wp:simplePos x="0" y="0"/>
                <wp:positionH relativeFrom="column">
                  <wp:posOffset>719130</wp:posOffset>
                </wp:positionH>
                <wp:positionV relativeFrom="paragraph">
                  <wp:posOffset>3840096</wp:posOffset>
                </wp:positionV>
                <wp:extent cx="680483" cy="361507"/>
                <wp:effectExtent l="0" t="19050" r="43815" b="38735"/>
                <wp:wrapNone/>
                <wp:docPr id="302241082" name="Seta: para a Direita 2" descr="P117#y2"/>
                <wp:cNvGraphicFramePr/>
                <a:graphic xmlns:a="http://schemas.openxmlformats.org/drawingml/2006/main">
                  <a:graphicData uri="http://schemas.microsoft.com/office/word/2010/wordprocessingShape">
                    <wps:wsp>
                      <wps:cNvSpPr/>
                      <wps:spPr>
                        <a:xfrm>
                          <a:off x="0" y="0"/>
                          <a:ext cx="680483" cy="361507"/>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3D8CFD" id="Seta: para a Direita 2" o:spid="_x0000_s1026" type="#_x0000_t13" alt="P117#y2" style="position:absolute;margin-left:56.6pt;margin-top:302.35pt;width:53.6pt;height:28.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" adj="15862" fillcolor="#e00" strokecolor="black [3213]" strokeweight="1pt"/>
            </w:pict>
          </mc:Fallback>
        </mc:AlternateContent>
      </w:r>
      <w:r>
        <w:rPr>
          <w:noProof/>
        </w:rPr>
        <w:drawing>
          <wp:inline distT="0" distB="0" distL="0" distR="0" wp14:anchorId="40D28E2A" wp14:editId="68A4ADAF">
            <wp:extent cx="3274828" cy="7208646"/>
            <wp:effectExtent l="0" t="0" r="1905" b="0"/>
            <wp:docPr id="482783694" name="Imagem 3" descr="P1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6218" name="Imagem 3" descr="P117#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6964" cy="7477495"/>
                    </a:xfrm>
                    <a:prstGeom prst="rect">
                      <a:avLst/>
                    </a:prstGeom>
                    <a:noFill/>
                    <a:ln>
                      <a:noFill/>
                    </a:ln>
                  </pic:spPr>
                </pic:pic>
              </a:graphicData>
            </a:graphic>
          </wp:inline>
        </w:drawing>
      </w:r>
    </w:p>
    <w:p w14:paraId="533D4EC8" w14:textId="77777777" w:rsidR="00214A68" w:rsidRDefault="00214A68" w:rsidP="00214A68">
      <w:pPr>
        <w:pStyle w:val="SemEspaamento"/>
        <w:numPr>
          <w:ilvl w:val="0"/>
          <w:numId w:val="0"/>
        </w:numPr>
      </w:pPr>
    </w:p>
    <w:p w14:paraId="3D76F27B" w14:textId="77777777" w:rsidR="003F6C91" w:rsidRPr="003F6C91" w:rsidRDefault="00214A68" w:rsidP="00214A68">
      <w:pPr>
        <w:pStyle w:val="SemEspaamento"/>
        <w:rPr>
          <w:rFonts w:eastAsia="Calibri" w:cs="Times New Roman"/>
          <w:b/>
          <w:szCs w:val="24"/>
        </w:rPr>
      </w:pPr>
      <w:r>
        <w:t xml:space="preserve">Ora, Excelência, com a devida vênia, </w:t>
      </w:r>
      <w:r w:rsidR="007D41D9">
        <w:t>todas essas omissões, que persistem apontadas nos aclaratórios, reforçam, ainda mais, a insuficiência de fundamentação dos arestos recorridos</w:t>
      </w:r>
      <w:r w:rsidR="00645206">
        <w:t xml:space="preserve">, descumprindo, de forma inequívoca o dever de complementação do julgamento e saneamento dos vícios imposto pelos dispositivos legais mencionados </w:t>
      </w:r>
      <w:r w:rsidR="00645206" w:rsidRPr="001A646B">
        <w:rPr>
          <w:sz w:val="20"/>
          <w:szCs w:val="18"/>
        </w:rPr>
        <w:t xml:space="preserve">(art. </w:t>
      </w:r>
      <w:r w:rsidR="00645206">
        <w:rPr>
          <w:sz w:val="20"/>
          <w:szCs w:val="18"/>
        </w:rPr>
        <w:t>619 e 620 do CPP</w:t>
      </w:r>
      <w:r w:rsidR="00645206" w:rsidRPr="001A646B">
        <w:rPr>
          <w:sz w:val="20"/>
          <w:szCs w:val="18"/>
        </w:rPr>
        <w:t>)</w:t>
      </w:r>
      <w:r w:rsidR="00645206">
        <w:t xml:space="preserve">. </w:t>
      </w:r>
    </w:p>
    <w:p w14:paraId="7204330F" w14:textId="5B7A7115" w:rsidR="00214A68" w:rsidRPr="00CF4862" w:rsidRDefault="003F6C91" w:rsidP="00214A68">
      <w:pPr>
        <w:pStyle w:val="SemEspaamento"/>
        <w:rPr>
          <w:rFonts w:eastAsia="Calibri" w:cs="Times New Roman"/>
          <w:b/>
          <w:szCs w:val="24"/>
        </w:rPr>
      </w:pPr>
      <w:r>
        <w:t xml:space="preserve">O que não se pode admitir é que o </w:t>
      </w:r>
      <w:r w:rsidR="00214A68">
        <w:t>decreto condenatório simplesmente desconsidere essa argumentação defensiva</w:t>
      </w:r>
      <w:r w:rsidR="00C708C7">
        <w:t>, tratando o recurso de apelação como mero ato “</w:t>
      </w:r>
      <w:r w:rsidR="00C708C7" w:rsidRPr="001A646B">
        <w:rPr>
          <w:i/>
          <w:iCs/>
        </w:rPr>
        <w:t>pro forma</w:t>
      </w:r>
      <w:r w:rsidR="00C708C7">
        <w:t xml:space="preserve">”, </w:t>
      </w:r>
      <w:r w:rsidR="00214A68">
        <w:t>para impor o édito condenatório, que exige certeza, acima de qualquer suspeita, da materialidade e autoria delitivas.</w:t>
      </w:r>
    </w:p>
    <w:p w14:paraId="2627AF93" w14:textId="77777777" w:rsidR="00214A68" w:rsidRPr="00CF4862" w:rsidRDefault="00214A68" w:rsidP="00214A68">
      <w:pPr>
        <w:pStyle w:val="SemEspaamento"/>
        <w:rPr>
          <w:rFonts w:eastAsia="Calibri" w:cs="Times New Roman"/>
          <w:b/>
          <w:szCs w:val="24"/>
        </w:rPr>
      </w:pPr>
      <w:r>
        <w:t xml:space="preserve">Mas não é só. </w:t>
      </w:r>
    </w:p>
    <w:p w14:paraId="5B876E3F" w14:textId="65C8375F" w:rsidR="00214A68" w:rsidRPr="006E715A" w:rsidRDefault="00214A68" w:rsidP="00214A68">
      <w:pPr>
        <w:pStyle w:val="SemEspaamento"/>
        <w:rPr>
          <w:rFonts w:eastAsia="Calibri" w:cs="Times New Roman"/>
          <w:b/>
          <w:szCs w:val="24"/>
        </w:rPr>
      </w:pPr>
      <w:r>
        <w:t xml:space="preserve">Os arestos recorridos, contrariando </w:t>
      </w:r>
      <w:r w:rsidR="00A3246D">
        <w:t>novamente os arts. 619 e 620 do CPP</w:t>
      </w:r>
      <w:r>
        <w:t>, desconsideraram</w:t>
      </w:r>
      <w:r w:rsidR="00A3246D">
        <w:t xml:space="preserve"> </w:t>
      </w:r>
      <w:r w:rsidR="00A3246D" w:rsidRPr="00214A68">
        <w:rPr>
          <w:sz w:val="20"/>
          <w:szCs w:val="18"/>
        </w:rPr>
        <w:t>(</w:t>
      </w:r>
      <w:r w:rsidR="00A3246D" w:rsidRPr="00214A68">
        <w:rPr>
          <w:b/>
          <w:bCs/>
          <w:sz w:val="20"/>
          <w:szCs w:val="18"/>
        </w:rPr>
        <w:t>omissão</w:t>
      </w:r>
      <w:r w:rsidR="00A3246D" w:rsidRPr="00214A68">
        <w:rPr>
          <w:sz w:val="20"/>
          <w:szCs w:val="18"/>
        </w:rPr>
        <w:t>)</w:t>
      </w:r>
      <w:r>
        <w:t xml:space="preserve"> a tese recursal de que,</w:t>
      </w:r>
      <w:r w:rsidRPr="00671E39">
        <w:t xml:space="preserve"> </w:t>
      </w:r>
      <w:r>
        <w:t xml:space="preserve">segundo a própria instrução processual, </w:t>
      </w:r>
      <w:r w:rsidRPr="006E715A">
        <w:rPr>
          <w:b/>
          <w:bCs/>
        </w:rPr>
        <w:t>é comprovadamente falsa a narrativa de JULIANA</w:t>
      </w:r>
      <w:r>
        <w:t xml:space="preserve"> </w:t>
      </w:r>
      <w:r w:rsidRPr="006005E4">
        <w:rPr>
          <w:sz w:val="20"/>
          <w:szCs w:val="18"/>
        </w:rPr>
        <w:t xml:space="preserve">(e </w:t>
      </w:r>
      <w:r>
        <w:rPr>
          <w:sz w:val="20"/>
          <w:szCs w:val="18"/>
        </w:rPr>
        <w:t xml:space="preserve">que foi utilizada pela </w:t>
      </w:r>
      <w:r w:rsidRPr="006005E4">
        <w:rPr>
          <w:sz w:val="20"/>
          <w:szCs w:val="18"/>
        </w:rPr>
        <w:t>acusação)</w:t>
      </w:r>
      <w:r>
        <w:t xml:space="preserve"> no sentido de que </w:t>
      </w:r>
      <w:r w:rsidRPr="006E715A">
        <w:rPr>
          <w:b/>
          <w:bCs/>
        </w:rPr>
        <w:t xml:space="preserve">o primeiro fato teria ocorrido enquanto ela cursava a faculdade, à noite, quando a filha </w:t>
      </w:r>
      <w:r w:rsidRPr="006E715A">
        <w:rPr>
          <w:b/>
          <w:bCs/>
          <w:sz w:val="20"/>
          <w:szCs w:val="18"/>
        </w:rPr>
        <w:t>(MARIA EDUARDA)</w:t>
      </w:r>
      <w:r w:rsidRPr="006E715A">
        <w:rPr>
          <w:b/>
          <w:bCs/>
        </w:rPr>
        <w:t xml:space="preserve"> tinha 11 anos à época</w:t>
      </w:r>
      <w:r>
        <w:t xml:space="preserve"> do primeiro fato, </w:t>
      </w:r>
      <w:r w:rsidRPr="006E715A">
        <w:rPr>
          <w:b/>
          <w:bCs/>
        </w:rPr>
        <w:t>já que JULIANA começou a faculdade somente em 2016, quando MARIA EDUARDA tinha pelo menos 13 anos</w:t>
      </w:r>
      <w:r>
        <w:t xml:space="preserve">. </w:t>
      </w:r>
    </w:p>
    <w:p w14:paraId="759D4A8A" w14:textId="00C0B53D" w:rsidR="00214A68" w:rsidRPr="00671E39" w:rsidRDefault="00214A68" w:rsidP="00214A68">
      <w:pPr>
        <w:pStyle w:val="SemEspaamento"/>
        <w:rPr>
          <w:rFonts w:eastAsia="Calibri" w:cs="Times New Roman"/>
          <w:b/>
          <w:szCs w:val="24"/>
        </w:rPr>
      </w:pPr>
      <w:r>
        <w:rPr>
          <w:rFonts w:eastAsia="Calibri" w:cs="Times New Roman"/>
          <w:bCs/>
          <w:szCs w:val="24"/>
        </w:rPr>
        <w:t>Isso, aliás, caracteriza inegável erro de premissa</w:t>
      </w:r>
      <w:r>
        <w:t xml:space="preserve"> fática, </w:t>
      </w:r>
      <w:r w:rsidR="00A97AEE" w:rsidRPr="001A646B">
        <w:rPr>
          <w:b/>
          <w:bCs/>
        </w:rPr>
        <w:t xml:space="preserve">que possui relevância na quantidade de crimes pelos quais o recorrente foi condenado </w:t>
      </w:r>
      <w:r w:rsidR="00A97AEE" w:rsidRPr="00A97AEE">
        <w:t xml:space="preserve">e </w:t>
      </w:r>
      <w:r>
        <w:t xml:space="preserve">que deveria ter sido corrigido pelo acórdão </w:t>
      </w:r>
      <w:r w:rsidR="00DD1F42">
        <w:t xml:space="preserve">recorrido </w:t>
      </w:r>
      <w:r>
        <w:t>que julgou os aclaratórios, mas não o foi, em nova ofensa ao</w:t>
      </w:r>
      <w:r w:rsidR="00A3246D">
        <w:t>s arts. 619 e 620 do CPP</w:t>
      </w:r>
      <w:r>
        <w:t>.</w:t>
      </w:r>
    </w:p>
    <w:p w14:paraId="2E41804D" w14:textId="6A66E40E" w:rsidR="00214A68" w:rsidRPr="00AE47B3" w:rsidRDefault="00214A68" w:rsidP="00214A68">
      <w:pPr>
        <w:pStyle w:val="SemEspaamento"/>
        <w:rPr>
          <w:rFonts w:eastAsia="Calibri" w:cs="Times New Roman"/>
          <w:b/>
          <w:szCs w:val="24"/>
        </w:rPr>
      </w:pPr>
      <w:r>
        <w:t xml:space="preserve">Não fosse isso o suficiente, os arestos recorridos também desconsideraram </w:t>
      </w:r>
      <w:r w:rsidR="00A3246D" w:rsidRPr="00214A68">
        <w:rPr>
          <w:sz w:val="20"/>
          <w:szCs w:val="18"/>
        </w:rPr>
        <w:t>(</w:t>
      </w:r>
      <w:r w:rsidR="00A3246D" w:rsidRPr="00214A68">
        <w:rPr>
          <w:b/>
          <w:bCs/>
          <w:sz w:val="20"/>
          <w:szCs w:val="18"/>
        </w:rPr>
        <w:t>omissão</w:t>
      </w:r>
      <w:r w:rsidR="00A3246D" w:rsidRPr="00214A68">
        <w:rPr>
          <w:sz w:val="20"/>
          <w:szCs w:val="18"/>
        </w:rPr>
        <w:t>)</w:t>
      </w:r>
      <w:r w:rsidR="00A3246D">
        <w:t xml:space="preserve"> </w:t>
      </w:r>
      <w:r>
        <w:t xml:space="preserve">o argumento recursal de que causa estranheza o fato de que MARIA EDUARDA não foi registrar o B.O., tendo em vista que a suposta vítima já era maior de idade quando JULIANA alega ter descoberto os fatos e foi registrar o B.O., sem conhecer os detalhes como a filha MARIA EDUARDA, ocasião em que, repita-se, </w:t>
      </w:r>
      <w:r w:rsidRPr="00B0535F">
        <w:rPr>
          <w:b/>
          <w:bCs/>
        </w:rPr>
        <w:t>veiculou diversas acusações falsas</w:t>
      </w:r>
      <w:r>
        <w:t xml:space="preserve"> contra o recorrente.</w:t>
      </w:r>
    </w:p>
    <w:p w14:paraId="21E3E0AB" w14:textId="58C03B5D" w:rsidR="00214A68" w:rsidRDefault="00214A68" w:rsidP="00214A68">
      <w:pPr>
        <w:pStyle w:val="SemEspaamento"/>
      </w:pPr>
      <w:r>
        <w:t>E, o que é pior, os acórdãos recorridos ignoraram</w:t>
      </w:r>
      <w:r w:rsidR="00A3246D">
        <w:t xml:space="preserve"> </w:t>
      </w:r>
      <w:r w:rsidR="005A7B56" w:rsidRPr="00214A68">
        <w:rPr>
          <w:sz w:val="20"/>
          <w:szCs w:val="18"/>
        </w:rPr>
        <w:t>(</w:t>
      </w:r>
      <w:r w:rsidR="005A7B56" w:rsidRPr="00214A68">
        <w:rPr>
          <w:b/>
          <w:bCs/>
          <w:sz w:val="20"/>
          <w:szCs w:val="18"/>
        </w:rPr>
        <w:t>omissão</w:t>
      </w:r>
      <w:r w:rsidR="005A7B56" w:rsidRPr="00214A68">
        <w:rPr>
          <w:sz w:val="20"/>
          <w:szCs w:val="18"/>
        </w:rPr>
        <w:t>)</w:t>
      </w:r>
      <w:r>
        <w:t>, afrontando, uma vez mais, o</w:t>
      </w:r>
      <w:r w:rsidR="005A7B56">
        <w:t>s</w:t>
      </w:r>
      <w:r>
        <w:t xml:space="preserve"> art</w:t>
      </w:r>
      <w:r w:rsidR="005A7B56">
        <w:t>s</w:t>
      </w:r>
      <w:r>
        <w:t xml:space="preserve">. </w:t>
      </w:r>
      <w:r w:rsidR="005A7B56">
        <w:t>619 e 620 do CPP</w:t>
      </w:r>
      <w:r>
        <w:t xml:space="preserve">, a descoberta do recorrente, já na fase recursal, que comprova que a narrativa acusatória foi construída por JULIANA para prejudicá-lo, que diz com o fato de que </w:t>
      </w:r>
      <w:r w:rsidRPr="00BC3841">
        <w:rPr>
          <w:b/>
          <w:bCs/>
        </w:rPr>
        <w:t>o TCC de JULIANA, elaborado em 2020</w:t>
      </w:r>
      <w:r>
        <w:t xml:space="preserve">, ou seja, </w:t>
      </w:r>
      <w:r w:rsidRPr="00CF371E">
        <w:rPr>
          <w:b/>
          <w:bCs/>
        </w:rPr>
        <w:t>2 anos antes d</w:t>
      </w:r>
      <w:r>
        <w:rPr>
          <w:b/>
          <w:bCs/>
        </w:rPr>
        <w:t>e ela</w:t>
      </w:r>
      <w:r w:rsidRPr="00CF371E">
        <w:rPr>
          <w:b/>
          <w:bCs/>
        </w:rPr>
        <w:t xml:space="preserve"> registr</w:t>
      </w:r>
      <w:r>
        <w:rPr>
          <w:b/>
          <w:bCs/>
        </w:rPr>
        <w:t>ar</w:t>
      </w:r>
      <w:r w:rsidRPr="00CF371E">
        <w:rPr>
          <w:b/>
          <w:bCs/>
        </w:rPr>
        <w:t xml:space="preserve"> o BO acusando o recorrente,</w:t>
      </w:r>
      <w:r>
        <w:t xml:space="preserve"> </w:t>
      </w:r>
      <w:r w:rsidRPr="00A83566">
        <w:rPr>
          <w:b/>
          <w:bCs/>
        </w:rPr>
        <w:t xml:space="preserve">possuía o tema </w:t>
      </w:r>
      <w:r>
        <w:t>“</w:t>
      </w:r>
      <w:r>
        <w:rPr>
          <w:b/>
          <w:bCs/>
        </w:rPr>
        <w:t xml:space="preserve">limites jurídicos da PRESUNÇÃO DE ESTUPRO FRENTE AO </w:t>
      </w:r>
      <w:r w:rsidRPr="000A2F6F">
        <w:rPr>
          <w:b/>
          <w:bCs/>
          <w:u w:val="single"/>
        </w:rPr>
        <w:t>RELACIONAMENTO</w:t>
      </w:r>
      <w:r>
        <w:rPr>
          <w:b/>
          <w:bCs/>
        </w:rPr>
        <w:t xml:space="preserve"> </w:t>
      </w:r>
      <w:r w:rsidRPr="000A2F6F">
        <w:rPr>
          <w:b/>
          <w:bCs/>
          <w:u w:val="single"/>
        </w:rPr>
        <w:t>AMOROSO</w:t>
      </w:r>
      <w:r>
        <w:rPr>
          <w:b/>
          <w:bCs/>
        </w:rPr>
        <w:t xml:space="preserve"> </w:t>
      </w:r>
      <w:r w:rsidRPr="000A2F6F">
        <w:rPr>
          <w:b/>
          <w:bCs/>
          <w:u w:val="single"/>
        </w:rPr>
        <w:t>PRÉ</w:t>
      </w:r>
      <w:r>
        <w:rPr>
          <w:b/>
          <w:bCs/>
        </w:rPr>
        <w:t>-</w:t>
      </w:r>
      <w:r w:rsidRPr="000A2F6F">
        <w:rPr>
          <w:b/>
          <w:bCs/>
          <w:u w:val="single"/>
        </w:rPr>
        <w:t>EXISTENTE</w:t>
      </w:r>
      <w:r>
        <w:rPr>
          <w:b/>
          <w:bCs/>
        </w:rPr>
        <w:t xml:space="preserve"> </w:t>
      </w:r>
      <w:r w:rsidRPr="00BF68C6">
        <w:rPr>
          <w:b/>
          <w:bCs/>
          <w:u w:val="single"/>
        </w:rPr>
        <w:t>DA</w:t>
      </w:r>
      <w:r>
        <w:rPr>
          <w:b/>
          <w:bCs/>
        </w:rPr>
        <w:t xml:space="preserve"> </w:t>
      </w:r>
      <w:r w:rsidRPr="00BF68C6">
        <w:rPr>
          <w:b/>
          <w:bCs/>
          <w:u w:val="single"/>
        </w:rPr>
        <w:t>MENOR</w:t>
      </w:r>
      <w:r>
        <w:rPr>
          <w:b/>
          <w:bCs/>
        </w:rPr>
        <w:t xml:space="preserve"> COM O AGENTE</w:t>
      </w:r>
      <w:r>
        <w:t>”</w:t>
      </w:r>
      <w:r w:rsidR="000A2F6F">
        <w:t xml:space="preserve">, que revela exatamente a preparação para a acusação indevida feita nestes autos </w:t>
      </w:r>
      <w:r w:rsidRPr="002E105E">
        <w:rPr>
          <w:sz w:val="20"/>
          <w:szCs w:val="18"/>
        </w:rPr>
        <w:t xml:space="preserve">(evento 28, </w:t>
      </w:r>
      <w:r>
        <w:rPr>
          <w:sz w:val="20"/>
          <w:szCs w:val="18"/>
        </w:rPr>
        <w:t>DOCUMENTACAO2</w:t>
      </w:r>
      <w:r w:rsidRPr="002E105E">
        <w:rPr>
          <w:sz w:val="20"/>
          <w:szCs w:val="18"/>
        </w:rPr>
        <w:t>)</w:t>
      </w:r>
      <w:r>
        <w:t>.</w:t>
      </w:r>
    </w:p>
    <w:p w14:paraId="3E2EB9AB" w14:textId="79BABD52" w:rsidR="00214A68" w:rsidRDefault="00214A68" w:rsidP="00214A68">
      <w:pPr>
        <w:pStyle w:val="SemEspaamento"/>
      </w:pPr>
      <w:r>
        <w:t xml:space="preserve">No mais, os arestos não levaram em consideração </w:t>
      </w:r>
      <w:r w:rsidR="005A7B56" w:rsidRPr="00214A68">
        <w:rPr>
          <w:sz w:val="20"/>
          <w:szCs w:val="18"/>
        </w:rPr>
        <w:t>(</w:t>
      </w:r>
      <w:r w:rsidR="005A7B56" w:rsidRPr="00214A68">
        <w:rPr>
          <w:b/>
          <w:bCs/>
          <w:sz w:val="20"/>
          <w:szCs w:val="18"/>
        </w:rPr>
        <w:t>omissão</w:t>
      </w:r>
      <w:r w:rsidR="005A7B56" w:rsidRPr="00214A68">
        <w:rPr>
          <w:sz w:val="20"/>
          <w:szCs w:val="18"/>
        </w:rPr>
        <w:t>)</w:t>
      </w:r>
      <w:r w:rsidR="005A7B56">
        <w:rPr>
          <w:sz w:val="20"/>
          <w:szCs w:val="18"/>
        </w:rPr>
        <w:t xml:space="preserve"> </w:t>
      </w:r>
      <w:r>
        <w:t xml:space="preserve">os argumentos recursais de que: </w:t>
      </w:r>
      <w:r w:rsidRPr="00B24837">
        <w:rPr>
          <w:b/>
          <w:bCs/>
        </w:rPr>
        <w:t>(i)</w:t>
      </w:r>
      <w:r>
        <w:t xml:space="preserve"> as fotos que registram a convivência dos anos seguintes após o suposto fato, que são categóricas em comprovar que MARIA EDUARDA não demonstrava qualquer hostilidade ou distanciamento em relação ao recorrente </w:t>
      </w:r>
      <w:r w:rsidRPr="005427F7">
        <w:rPr>
          <w:sz w:val="22"/>
          <w:szCs w:val="20"/>
        </w:rPr>
        <w:t>– que seria natural se fosse verdadeira a acusação de abuso sexual –</w:t>
      </w:r>
      <w:r>
        <w:t xml:space="preserve">; </w:t>
      </w:r>
      <w:r w:rsidRPr="00B24837">
        <w:rPr>
          <w:b/>
          <w:bCs/>
        </w:rPr>
        <w:t>(</w:t>
      </w:r>
      <w:proofErr w:type="spellStart"/>
      <w:r w:rsidRPr="00B24837">
        <w:rPr>
          <w:b/>
          <w:bCs/>
        </w:rPr>
        <w:t>ii</w:t>
      </w:r>
      <w:proofErr w:type="spellEnd"/>
      <w:r w:rsidRPr="00B24837">
        <w:rPr>
          <w:b/>
          <w:bCs/>
        </w:rPr>
        <w:t>)</w:t>
      </w:r>
      <w:r>
        <w:t xml:space="preserve"> entre 2013 e 2016, o recorrente era o responsável pela condução de suas 2 </w:t>
      </w:r>
      <w:r w:rsidRPr="005427F7">
        <w:rPr>
          <w:sz w:val="20"/>
          <w:szCs w:val="20"/>
        </w:rPr>
        <w:t>(duas)</w:t>
      </w:r>
      <w:r>
        <w:t xml:space="preserve"> borracharias e também realizava todo o fechamento do caixa e o levantamento da contabilidade das empresas, tarefas que lhe exigiam muito tempo para encerrar a rotina diária, sendo público e notório que GEAN trabalhava até por volta das 22h, o que demonstra a impossibilidade de ter praticado os fatos pelos quais foi condenado nos períodos indicados, ainda que desconsiderada a incongruência entre a data do suposto primeiro fato e o início da faculdade de JULIANA </w:t>
      </w:r>
      <w:r w:rsidRPr="005427F7">
        <w:rPr>
          <w:sz w:val="20"/>
          <w:szCs w:val="18"/>
        </w:rPr>
        <w:t>(2016 – no ano de 2014, Maria Eduarda teria 11 anos, ou seja, Juliana ainda não fazia faculdade de Direito e cuidava da menor, que não ficava sozinha à noite com o recorrente)</w:t>
      </w:r>
    </w:p>
    <w:p w14:paraId="21959BC8" w14:textId="1BF2FC4B" w:rsidR="00214A68" w:rsidRDefault="00214A68" w:rsidP="00214A68">
      <w:pPr>
        <w:pStyle w:val="SemEspaamento"/>
      </w:pPr>
      <w:r>
        <w:t xml:space="preserve">Como visto, portanto, ao contrário do que sustenta a decisão agravada, é evidente que todas </w:t>
      </w:r>
      <w:r w:rsidRPr="0044789D">
        <w:rPr>
          <w:b/>
          <w:bCs/>
        </w:rPr>
        <w:t>ess</w:t>
      </w:r>
      <w:r w:rsidRPr="007D045B">
        <w:rPr>
          <w:b/>
          <w:bCs/>
        </w:rPr>
        <w:t>as teses jurídicas</w:t>
      </w:r>
      <w:r>
        <w:t xml:space="preserve"> apresentadas pelo recorrente, e ignoradas pelos arestos recorridos, </w:t>
      </w:r>
      <w:r w:rsidRPr="009C271A">
        <w:rPr>
          <w:b/>
          <w:bCs/>
        </w:rPr>
        <w:t xml:space="preserve">são </w:t>
      </w:r>
      <w:r w:rsidR="007C0401">
        <w:rPr>
          <w:b/>
          <w:bCs/>
        </w:rPr>
        <w:t>essenciais</w:t>
      </w:r>
      <w:r w:rsidRPr="009C271A">
        <w:rPr>
          <w:b/>
          <w:bCs/>
        </w:rPr>
        <w:t xml:space="preserve"> para o correto deslinde da causa e, mais, </w:t>
      </w:r>
      <w:r>
        <w:rPr>
          <w:b/>
          <w:bCs/>
        </w:rPr>
        <w:t>acabam por</w:t>
      </w:r>
      <w:r w:rsidRPr="009C271A">
        <w:rPr>
          <w:b/>
          <w:bCs/>
        </w:rPr>
        <w:t xml:space="preserve"> derruir a conclusão condenatória a que chegaram os acórdãos</w:t>
      </w:r>
      <w:r w:rsidRPr="0043552D">
        <w:rPr>
          <w:b/>
          <w:bCs/>
        </w:rPr>
        <w:t>, o que já confirma a afronta direta ao</w:t>
      </w:r>
      <w:r w:rsidR="005A7B56">
        <w:rPr>
          <w:b/>
          <w:bCs/>
        </w:rPr>
        <w:t>s</w:t>
      </w:r>
      <w:r w:rsidRPr="0043552D">
        <w:rPr>
          <w:b/>
          <w:bCs/>
        </w:rPr>
        <w:t xml:space="preserve"> art</w:t>
      </w:r>
      <w:r w:rsidR="005A7B56">
        <w:rPr>
          <w:b/>
          <w:bCs/>
        </w:rPr>
        <w:t>s</w:t>
      </w:r>
      <w:r w:rsidRPr="0043552D">
        <w:rPr>
          <w:b/>
          <w:bCs/>
        </w:rPr>
        <w:t xml:space="preserve">. </w:t>
      </w:r>
      <w:r w:rsidR="00F55010">
        <w:rPr>
          <w:b/>
          <w:bCs/>
        </w:rPr>
        <w:t xml:space="preserve">619 e 620 do CPP </w:t>
      </w:r>
      <w:r w:rsidRPr="0043552D">
        <w:rPr>
          <w:b/>
          <w:bCs/>
        </w:rPr>
        <w:t xml:space="preserve">e afasta a </w:t>
      </w:r>
      <w:r w:rsidR="00F55010">
        <w:rPr>
          <w:b/>
          <w:bCs/>
        </w:rPr>
        <w:t xml:space="preserve">incidência da Súmula n. 83/STJ </w:t>
      </w:r>
      <w:r w:rsidRPr="0043552D">
        <w:rPr>
          <w:b/>
          <w:bCs/>
        </w:rPr>
        <w:t>ao caso</w:t>
      </w:r>
      <w:r>
        <w:t>, conduzindo ao provimento do presente agravo.</w:t>
      </w:r>
    </w:p>
    <w:p w14:paraId="416EAF57" w14:textId="4A9349D4" w:rsidR="00CF67B3" w:rsidRDefault="00CF67B3" w:rsidP="005F283B">
      <w:pPr>
        <w:pStyle w:val="SemEspaamento"/>
      </w:pPr>
      <w:r>
        <w:t>Ora</w:t>
      </w:r>
      <w:r w:rsidR="00F55010">
        <w:t xml:space="preserve">, </w:t>
      </w:r>
      <w:r>
        <w:t xml:space="preserve">não há dúvida de que </w:t>
      </w:r>
      <w:r w:rsidR="005F283B">
        <w:t>os arestos recorridos</w:t>
      </w:r>
      <w:r>
        <w:t xml:space="preserve"> simplesmente</w:t>
      </w:r>
      <w:r w:rsidR="005F283B">
        <w:t xml:space="preserve"> não trataram das teses recursais </w:t>
      </w:r>
      <w:r w:rsidR="00010DC3">
        <w:t>indispensáveis</w:t>
      </w:r>
      <w:r w:rsidR="005F283B">
        <w:t xml:space="preserve"> e capazes de derruir a conclusão condenatória, </w:t>
      </w:r>
      <w:r w:rsidR="005F283B" w:rsidRPr="00EE50BA">
        <w:rPr>
          <w:b/>
          <w:bCs/>
        </w:rPr>
        <w:t>contrariando o entendimento assentado pela Corte Superior</w:t>
      </w:r>
      <w:r w:rsidR="005F283B">
        <w:t xml:space="preserve"> </w:t>
      </w:r>
      <w:r w:rsidR="005F283B" w:rsidRPr="00010DC3">
        <w:rPr>
          <w:b/>
          <w:bCs/>
        </w:rPr>
        <w:t>de que</w:t>
      </w:r>
      <w:r w:rsidR="005F283B">
        <w:t xml:space="preserve"> </w:t>
      </w:r>
      <w:r w:rsidR="005F283B" w:rsidRPr="00CF67B3">
        <w:rPr>
          <w:b/>
          <w:bCs/>
        </w:rPr>
        <w:t>“</w:t>
      </w:r>
      <w:r w:rsidR="005F283B" w:rsidRPr="00CF67B3">
        <w:rPr>
          <w:b/>
          <w:bCs/>
          <w:i/>
          <w:iCs/>
        </w:rPr>
        <w:t>Há afronta ao art. 619 do CPP quando o Tribunal de origem, quando do exame de embargos declaratórios, deixa de se manifestar, de forma fundamentada</w:t>
      </w:r>
      <w:r w:rsidR="005F283B" w:rsidRPr="00AB0E91">
        <w:rPr>
          <w:b/>
          <w:bCs/>
          <w:i/>
          <w:iCs/>
        </w:rPr>
        <w:t xml:space="preserve">, sobre </w:t>
      </w:r>
      <w:r w:rsidR="005F283B" w:rsidRPr="00AB0E91">
        <w:rPr>
          <w:b/>
          <w:bCs/>
          <w:i/>
          <w:iCs/>
          <w:u w:val="single"/>
        </w:rPr>
        <w:t>tese</w:t>
      </w:r>
      <w:r w:rsidR="005F283B" w:rsidRPr="00AB0E91">
        <w:rPr>
          <w:b/>
          <w:bCs/>
          <w:i/>
          <w:iCs/>
        </w:rPr>
        <w:t xml:space="preserve"> </w:t>
      </w:r>
      <w:r w:rsidR="005F283B" w:rsidRPr="00AB0E91">
        <w:rPr>
          <w:b/>
          <w:bCs/>
          <w:i/>
          <w:iCs/>
          <w:u w:val="single"/>
        </w:rPr>
        <w:t>essencial</w:t>
      </w:r>
      <w:r w:rsidR="005F283B" w:rsidRPr="00AB0E91">
        <w:rPr>
          <w:b/>
          <w:bCs/>
          <w:i/>
          <w:iCs/>
        </w:rPr>
        <w:t xml:space="preserve"> ao deslinde da controvérsia</w:t>
      </w:r>
      <w:r w:rsidR="005F283B">
        <w:t xml:space="preserve">” </w:t>
      </w:r>
      <w:r w:rsidR="005F283B" w:rsidRPr="00AB0E91">
        <w:rPr>
          <w:sz w:val="20"/>
          <w:szCs w:val="18"/>
        </w:rPr>
        <w:t>(STJ, AgRg no REsp n. 1.962.306/PB, rela. Mina. Laurita Vaz, j. em 8.3.2022)</w:t>
      </w:r>
      <w:r>
        <w:t>.</w:t>
      </w:r>
    </w:p>
    <w:p w14:paraId="7C751B4D" w14:textId="114DE80E" w:rsidR="009B11A9" w:rsidRDefault="00CF67B3" w:rsidP="006A3789">
      <w:pPr>
        <w:pStyle w:val="SemEspaamento"/>
      </w:pPr>
      <w:r>
        <w:t xml:space="preserve">Assim sendo, uma vez comprovado que os arestos recorridos simplesmente não examinaram as teses recursais indispensáveis à correta solução da demanda, bem como os respectivos elementos de prova que as fundamentam, </w:t>
      </w:r>
      <w:r w:rsidR="00D2743C">
        <w:t>resta afastada a aplicabilidade d</w:t>
      </w:r>
      <w:r w:rsidR="005F283B">
        <w:t xml:space="preserve">a Súmula n. 83/STJ </w:t>
      </w:r>
      <w:r w:rsidR="00D2743C">
        <w:t xml:space="preserve">no caso vertente, não havendo qualquer impedimento para </w:t>
      </w:r>
      <w:r w:rsidR="005F283B">
        <w:t>a análise da ofensa direta ao</w:t>
      </w:r>
      <w:r>
        <w:t>s</w:t>
      </w:r>
      <w:r w:rsidR="005F283B">
        <w:t xml:space="preserve"> art</w:t>
      </w:r>
      <w:r>
        <w:t>s</w:t>
      </w:r>
      <w:r w:rsidR="005F283B">
        <w:t xml:space="preserve">. 619 </w:t>
      </w:r>
      <w:r>
        <w:t xml:space="preserve">e 620 </w:t>
      </w:r>
      <w:r w:rsidR="005F283B">
        <w:t>do CPP</w:t>
      </w:r>
      <w:r w:rsidR="000E670C">
        <w:t xml:space="preserve"> pela Corte Superior</w:t>
      </w:r>
      <w:r w:rsidR="005F283B">
        <w:t>, o que impõe o provimento do presente agravo.</w:t>
      </w:r>
    </w:p>
    <w:p w14:paraId="689A0B1D" w14:textId="77777777" w:rsidR="00214A68" w:rsidRDefault="00214A68" w:rsidP="00214A68">
      <w:pPr>
        <w:pStyle w:val="SemEspaamento"/>
        <w:numPr>
          <w:ilvl w:val="0"/>
          <w:numId w:val="0"/>
        </w:numPr>
      </w:pPr>
    </w:p>
    <w:p w14:paraId="5B719974" w14:textId="77777777" w:rsidR="00010DC3" w:rsidRDefault="00010DC3" w:rsidP="00214A68">
      <w:pPr>
        <w:pStyle w:val="SemEspaamento"/>
        <w:numPr>
          <w:ilvl w:val="0"/>
          <w:numId w:val="0"/>
        </w:numPr>
      </w:pPr>
    </w:p>
    <w:p w14:paraId="71458C30" w14:textId="77777777" w:rsidR="00010DC3" w:rsidRDefault="00010DC3" w:rsidP="00214A68">
      <w:pPr>
        <w:pStyle w:val="SemEspaamento"/>
        <w:numPr>
          <w:ilvl w:val="0"/>
          <w:numId w:val="0"/>
        </w:numPr>
      </w:pPr>
    </w:p>
    <w:p w14:paraId="75571063" w14:textId="38309C5B" w:rsidR="000E670C" w:rsidRPr="00F746E3" w:rsidRDefault="000E670C" w:rsidP="000E670C">
      <w:pPr>
        <w:pStyle w:val="Ttulo"/>
      </w:pPr>
      <w:r>
        <w:t>I.2 – Inaplicabilidade da Súmula n. 7/STJ no caso em tela</w:t>
      </w:r>
    </w:p>
    <w:p w14:paraId="128F4B3C" w14:textId="77777777" w:rsidR="00214A68" w:rsidRDefault="00214A68" w:rsidP="00214A68">
      <w:pPr>
        <w:pStyle w:val="SemEspaamento"/>
        <w:numPr>
          <w:ilvl w:val="0"/>
          <w:numId w:val="0"/>
        </w:numPr>
      </w:pPr>
    </w:p>
    <w:p w14:paraId="0FDF9012" w14:textId="2962540B" w:rsidR="00214A68" w:rsidRDefault="000E670C" w:rsidP="000E670C">
      <w:pPr>
        <w:pStyle w:val="SemEspaamento"/>
      </w:pPr>
      <w:r>
        <w:t xml:space="preserve">Em um segundo momento, </w:t>
      </w:r>
      <w:r w:rsidR="001020E3">
        <w:t xml:space="preserve">no que diz respeito à violação aos arts. 386, II e VII, do CPP, </w:t>
      </w:r>
      <w:r>
        <w:t>a decisão agrava</w:t>
      </w:r>
      <w:r w:rsidR="00807FFC">
        <w:t>da</w:t>
      </w:r>
      <w:r>
        <w:t xml:space="preserve"> inadmitiu o recurso especial</w:t>
      </w:r>
      <w:r w:rsidR="003305B8">
        <w:t xml:space="preserve"> argumentando</w:t>
      </w:r>
      <w:r w:rsidR="001020E3">
        <w:t xml:space="preserve"> </w:t>
      </w:r>
      <w:r w:rsidR="003305B8">
        <w:t xml:space="preserve"> </w:t>
      </w:r>
      <w:r w:rsidR="001020E3">
        <w:t xml:space="preserve">que </w:t>
      </w:r>
      <w:r w:rsidR="003305B8">
        <w:t>“</w:t>
      </w:r>
      <w:r w:rsidR="003305B8" w:rsidRPr="003305B8">
        <w:rPr>
          <w:i/>
          <w:iCs/>
        </w:rPr>
        <w:t>incide óbice do enunciado 7 da súmula da jurisprudência do STJ ("A pretensão de simples reexame de prova não enseja recurso especial"), já que a análise das insurgências - que passa pela apreciação da suficiência de provas para embasar a condenação, bem como pela confirmação e valoração probatória da reiteração delitiva - implicaria </w:t>
      </w:r>
      <w:r w:rsidR="003305B8" w:rsidRPr="003305B8">
        <w:rPr>
          <w:i/>
          <w:iCs/>
          <w:u w:val="single"/>
        </w:rPr>
        <w:t>exame aprofundado da matéria fático- probatória</w:t>
      </w:r>
      <w:r w:rsidR="003305B8" w:rsidRPr="003305B8">
        <w:rPr>
          <w:i/>
          <w:iCs/>
        </w:rPr>
        <w:t>, transbordando as funções do Superior Tribunal de Justiça, de primar pela correta interpretação do direito federal infraconstitucional e uniformizar a jurisprudência pátria</w:t>
      </w:r>
      <w:r w:rsidR="003305B8">
        <w:t>”.</w:t>
      </w:r>
      <w:r w:rsidR="003305B8" w:rsidRPr="003305B8">
        <w:t xml:space="preserve"> </w:t>
      </w:r>
    </w:p>
    <w:p w14:paraId="1D683CDF" w14:textId="631BD357" w:rsidR="003305B8" w:rsidRDefault="003305B8" w:rsidP="000E670C">
      <w:pPr>
        <w:pStyle w:val="SemEspaamento"/>
      </w:pPr>
      <w:r>
        <w:t>Sem</w:t>
      </w:r>
      <w:r w:rsidR="00EF7FF2">
        <w:t xml:space="preserve"> razão, entretanto, o </w:t>
      </w:r>
      <w:r w:rsidR="00EF7FF2">
        <w:rPr>
          <w:i/>
          <w:iCs/>
        </w:rPr>
        <w:t>decisum</w:t>
      </w:r>
      <w:r w:rsidR="00EF7FF2">
        <w:t>.</w:t>
      </w:r>
    </w:p>
    <w:p w14:paraId="494FCEC5" w14:textId="6E6AB600" w:rsidR="009C42B3" w:rsidRDefault="00EF7FF2" w:rsidP="000E670C">
      <w:pPr>
        <w:pStyle w:val="SemEspaamento"/>
      </w:pPr>
      <w:r>
        <w:t xml:space="preserve">Isso porque, como visto no tópico anterior, </w:t>
      </w:r>
      <w:r w:rsidR="000605CA">
        <w:t>o recorrente apontou</w:t>
      </w:r>
      <w:r w:rsidR="00516418">
        <w:t>, em sede de aclaratórios,</w:t>
      </w:r>
      <w:r w:rsidR="000605CA">
        <w:t xml:space="preserve"> </w:t>
      </w:r>
      <w:r w:rsidR="003C3B3C">
        <w:t>que os arestos recorridos foram omissos em relação às teses jurídicas defensivas</w:t>
      </w:r>
      <w:r w:rsidR="00270586">
        <w:t xml:space="preserve"> delineadas na apelação</w:t>
      </w:r>
      <w:r w:rsidR="003C3B3C">
        <w:t xml:space="preserve">, violando frontalmente os </w:t>
      </w:r>
      <w:r w:rsidR="000605CA">
        <w:t xml:space="preserve">arts. 619 e 620 do CPP, </w:t>
      </w:r>
      <w:r w:rsidR="003C3B3C">
        <w:t xml:space="preserve">de modo que </w:t>
      </w:r>
      <w:r w:rsidR="006D23F4" w:rsidRPr="00270586">
        <w:rPr>
          <w:b/>
          <w:bCs/>
        </w:rPr>
        <w:t xml:space="preserve">resta </w:t>
      </w:r>
      <w:r w:rsidR="002665F0" w:rsidRPr="00270586">
        <w:rPr>
          <w:b/>
          <w:bCs/>
        </w:rPr>
        <w:t xml:space="preserve">caracterizado o prequestionamento ficto, nos termos do art. 1.025 do CPC, </w:t>
      </w:r>
      <w:r w:rsidR="00516418" w:rsidRPr="00270586">
        <w:rPr>
          <w:b/>
          <w:bCs/>
        </w:rPr>
        <w:t xml:space="preserve">o que afasta a incidência da Súmula n. 7/STJ </w:t>
      </w:r>
      <w:r w:rsidR="00270586">
        <w:t>n</w:t>
      </w:r>
      <w:r w:rsidR="00516418">
        <w:t xml:space="preserve">o presente caso. </w:t>
      </w:r>
    </w:p>
    <w:p w14:paraId="614EC067" w14:textId="06627F23" w:rsidR="00CA2406" w:rsidRDefault="00CA2406" w:rsidP="000E670C">
      <w:pPr>
        <w:pStyle w:val="SemEspaamento"/>
      </w:pPr>
      <w:r>
        <w:t xml:space="preserve">Nesse sentido, aliás, </w:t>
      </w:r>
      <w:r w:rsidR="005C7EB2">
        <w:t xml:space="preserve">a Corte Superior </w:t>
      </w:r>
      <w:r>
        <w:t>sedimentou que “</w:t>
      </w:r>
      <w:r w:rsidRPr="00CA2406">
        <w:rPr>
          <w:i/>
          <w:iCs/>
        </w:rPr>
        <w:t xml:space="preserve">A jurisprudência do STJ </w:t>
      </w:r>
      <w:r w:rsidRPr="005C7EB2">
        <w:rPr>
          <w:b/>
          <w:bCs/>
          <w:i/>
          <w:iCs/>
        </w:rPr>
        <w:t>admite a aplicação analógica do prequestionamento ficto</w:t>
      </w:r>
      <w:r w:rsidRPr="00CA2406">
        <w:rPr>
          <w:i/>
          <w:iCs/>
        </w:rPr>
        <w:t xml:space="preserve"> (art. 1.025 do CPC) ao processo penal, por força do art. 3º do CPP, </w:t>
      </w:r>
      <w:r w:rsidRPr="005C7EB2">
        <w:rPr>
          <w:b/>
          <w:bCs/>
          <w:i/>
          <w:iCs/>
        </w:rPr>
        <w:t>se a parte apontar a violação do art. 619 do Código de Processo Penal, caso em que serão possíveis, inclusive, a supressão da instância a quo e a apreciação do mérito da questão</w:t>
      </w:r>
      <w:r>
        <w:t xml:space="preserve">” </w:t>
      </w:r>
      <w:r w:rsidRPr="005C7EB2">
        <w:rPr>
          <w:sz w:val="20"/>
          <w:szCs w:val="18"/>
        </w:rPr>
        <w:t xml:space="preserve">(AgRg no REsp n. 1.794.714/MG, </w:t>
      </w:r>
      <w:r w:rsidR="005C7EB2" w:rsidRPr="005C7EB2">
        <w:rPr>
          <w:sz w:val="20"/>
          <w:szCs w:val="18"/>
        </w:rPr>
        <w:t>6ª Turma, rel. Min. Rogério Schietti Cruz, j. em 4.2.2020)</w:t>
      </w:r>
      <w:r w:rsidRPr="00CA2406">
        <w:t>.</w:t>
      </w:r>
    </w:p>
    <w:p w14:paraId="3CECA0EC" w14:textId="31430289" w:rsidR="00E10AD9" w:rsidRDefault="00701FD8" w:rsidP="00E10AD9">
      <w:pPr>
        <w:pStyle w:val="SemEspaamento"/>
      </w:pPr>
      <w:r>
        <w:t>No mais,</w:t>
      </w:r>
      <w:r w:rsidR="002616B9">
        <w:t xml:space="preserve"> </w:t>
      </w:r>
      <w:r w:rsidR="00E10AD9">
        <w:t xml:space="preserve">nas razões do recurso especial </w:t>
      </w:r>
      <w:r w:rsidR="002616B9">
        <w:t xml:space="preserve">o agravante </w:t>
      </w:r>
      <w:r w:rsidR="00E10AD9">
        <w:t>expôs que, ao ignorarem as teses recursais e os elementos de prova que as fundamentam, os acórdãos recorridos</w:t>
      </w:r>
      <w:r w:rsidR="00EE7BB8">
        <w:t xml:space="preserve">, além de violarem os arts. 619 e 620 do CPP, </w:t>
      </w:r>
      <w:r w:rsidR="00E10AD9">
        <w:t>também acabaram por infringir, de forma direta, o art. 386, II e VII, do CPP</w:t>
      </w:r>
      <w:r w:rsidR="00EE7BB8">
        <w:t xml:space="preserve">, </w:t>
      </w:r>
      <w:r w:rsidR="0093558A">
        <w:t>pois as teses e os elementos de prova evidenciam a dúvida razoável quanto à acusação feita por JULIANA e acarretam na sua absolvição</w:t>
      </w:r>
      <w:r w:rsidR="000147CC">
        <w:t>,</w:t>
      </w:r>
      <w:r w:rsidR="0093558A">
        <w:t xml:space="preserve"> </w:t>
      </w:r>
      <w:r w:rsidR="00EE7BB8">
        <w:t>o que comprova, sem sombra de dúvida, que o prequestionamento ficto autoriza o exame da ofensa a esse dispositivo legal e afasta a incidência da Súmula n. 7/STJ no presente caso</w:t>
      </w:r>
      <w:r w:rsidR="00E10AD9">
        <w:t>.</w:t>
      </w:r>
      <w:r w:rsidR="006B0F47">
        <w:t xml:space="preserve"> </w:t>
      </w:r>
    </w:p>
    <w:p w14:paraId="14D11DD6" w14:textId="0F453B66" w:rsidR="00EF7FF2" w:rsidRDefault="00EE7BB8" w:rsidP="000E670C">
      <w:pPr>
        <w:pStyle w:val="SemEspaamento"/>
      </w:pPr>
      <w:r>
        <w:t>Assim, d</w:t>
      </w:r>
      <w:r w:rsidR="00665BF5">
        <w:t>ispensando maiores digressões</w:t>
      </w:r>
      <w:r w:rsidR="005C7EB2">
        <w:t xml:space="preserve">, uma vez comprovada a </w:t>
      </w:r>
      <w:r w:rsidR="00825A55">
        <w:t>inaplicabilidade do óbice previsto na Súmula n. 7</w:t>
      </w:r>
      <w:r w:rsidR="00516418">
        <w:t xml:space="preserve"> </w:t>
      </w:r>
      <w:r w:rsidR="00825A55">
        <w:t>ao presente caso,</w:t>
      </w:r>
      <w:r w:rsidR="00665BF5">
        <w:t xml:space="preserve"> na medida em que o agravante apontou violação aos arts. 619 e 620 do CPP e, por consectário, é admitido o prequestionamento ficto da matéria veicula</w:t>
      </w:r>
      <w:r w:rsidR="000147CC">
        <w:t>da</w:t>
      </w:r>
      <w:r w:rsidR="00665BF5">
        <w:t xml:space="preserve">, </w:t>
      </w:r>
      <w:r w:rsidR="00825A55">
        <w:t xml:space="preserve">o </w:t>
      </w:r>
      <w:r w:rsidR="00701FD8">
        <w:t xml:space="preserve">provimento do </w:t>
      </w:r>
      <w:r w:rsidR="00825A55">
        <w:t>presente agravo, também quanto à</w:t>
      </w:r>
      <w:r w:rsidR="00665BF5">
        <w:t xml:space="preserve"> violação ao art. 386, II e VII, do CPP</w:t>
      </w:r>
      <w:r w:rsidR="00701FD8">
        <w:t>, é medida que se impõe</w:t>
      </w:r>
      <w:r w:rsidR="00825A55">
        <w:t>.</w:t>
      </w:r>
    </w:p>
    <w:p w14:paraId="6247AA56" w14:textId="77777777" w:rsidR="00EE7BB8" w:rsidRDefault="00EE7BB8" w:rsidP="00EE7BB8">
      <w:pPr>
        <w:pStyle w:val="SemEspaamento"/>
        <w:numPr>
          <w:ilvl w:val="0"/>
          <w:numId w:val="0"/>
        </w:numPr>
        <w:ind w:left="1701"/>
      </w:pPr>
    </w:p>
    <w:p w14:paraId="62CBF68F" w14:textId="1D207D06" w:rsidR="005A3EF4" w:rsidRDefault="00EE7BB8" w:rsidP="00F746E3">
      <w:pPr>
        <w:pStyle w:val="Ttulo"/>
      </w:pPr>
      <w:r>
        <w:t>II</w:t>
      </w:r>
      <w:r w:rsidR="00A73889">
        <w:t xml:space="preserve"> – REQUERIMENTOS</w:t>
      </w:r>
    </w:p>
    <w:p w14:paraId="3E7501D9" w14:textId="77777777" w:rsidR="005A3EF4" w:rsidRDefault="005A3EF4" w:rsidP="000169F1">
      <w:pPr>
        <w:pStyle w:val="SemEspaamento"/>
        <w:numPr>
          <w:ilvl w:val="0"/>
          <w:numId w:val="0"/>
        </w:numPr>
        <w:ind w:left="1418"/>
      </w:pPr>
    </w:p>
    <w:p w14:paraId="41E6A53A" w14:textId="77777777" w:rsidR="00E72518" w:rsidRDefault="00E72518" w:rsidP="00E72518">
      <w:pPr>
        <w:pStyle w:val="SemEspaamento"/>
      </w:pPr>
      <w:r>
        <w:t>A</w:t>
      </w:r>
      <w:r w:rsidRPr="00136102">
        <w:t xml:space="preserve">nte o exposto, </w:t>
      </w:r>
      <w:r>
        <w:t>o agravante requer:</w:t>
      </w:r>
    </w:p>
    <w:p w14:paraId="485D81E7" w14:textId="77777777" w:rsidR="00E72518" w:rsidRPr="00CE4D49" w:rsidRDefault="00E72518" w:rsidP="00E72518">
      <w:pPr>
        <w:pStyle w:val="SemEspaamento"/>
        <w:numPr>
          <w:ilvl w:val="0"/>
          <w:numId w:val="0"/>
        </w:numPr>
        <w:ind w:left="1701"/>
      </w:pPr>
    </w:p>
    <w:p w14:paraId="464D60F8" w14:textId="77777777" w:rsidR="00E72518" w:rsidRDefault="00E72518" w:rsidP="00E72518">
      <w:pPr>
        <w:pStyle w:val="SemEspaamento"/>
        <w:numPr>
          <w:ilvl w:val="0"/>
          <w:numId w:val="2"/>
        </w:numPr>
        <w:ind w:left="0" w:firstLine="1418"/>
      </w:pPr>
      <w:r w:rsidRPr="00D96520">
        <w:t xml:space="preserve">o recebimento e conhecimento do presente </w:t>
      </w:r>
      <w:r>
        <w:t>agravo</w:t>
      </w:r>
      <w:r w:rsidRPr="00D96520">
        <w:t xml:space="preserve">, com a intimação da parte adversa para apresentar contrarrazões, no prazo legal, </w:t>
      </w:r>
      <w:r>
        <w:t>consoante o disposto n</w:t>
      </w:r>
      <w:r w:rsidRPr="00D96520">
        <w:t>o §3º do art. 1.042 do CPC</w:t>
      </w:r>
      <w:r>
        <w:t>;</w:t>
      </w:r>
    </w:p>
    <w:p w14:paraId="218DF312" w14:textId="77777777" w:rsidR="00E72518" w:rsidRDefault="00E72518" w:rsidP="00E72518">
      <w:pPr>
        <w:pStyle w:val="SemEspaamento"/>
        <w:numPr>
          <w:ilvl w:val="0"/>
          <w:numId w:val="2"/>
        </w:numPr>
        <w:ind w:left="0" w:firstLine="1418"/>
      </w:pPr>
      <w:r w:rsidRPr="00C61B61">
        <w:rPr>
          <w:szCs w:val="24"/>
        </w:rPr>
        <w:t xml:space="preserve">após o prazo de resposta, seja oportunizado o juízo de retratação, </w:t>
      </w:r>
      <w:r>
        <w:rPr>
          <w:szCs w:val="24"/>
        </w:rPr>
        <w:t xml:space="preserve">pelas razões expostas no tópico I deste recurso </w:t>
      </w:r>
      <w:r w:rsidRPr="00057B03">
        <w:rPr>
          <w:sz w:val="20"/>
          <w:szCs w:val="20"/>
        </w:rPr>
        <w:t>(art. 1.042, §2º, do CPC)</w:t>
      </w:r>
      <w:r>
        <w:t>;</w:t>
      </w:r>
    </w:p>
    <w:p w14:paraId="5DB2BF5F" w14:textId="77777777" w:rsidR="00E72518" w:rsidRPr="005A604C" w:rsidRDefault="00E72518" w:rsidP="00E72518">
      <w:pPr>
        <w:pStyle w:val="SemEspaamento"/>
        <w:numPr>
          <w:ilvl w:val="0"/>
          <w:numId w:val="2"/>
        </w:numPr>
        <w:ind w:left="0" w:firstLine="1418"/>
      </w:pPr>
      <w:r w:rsidRPr="00C61B61">
        <w:rPr>
          <w:szCs w:val="24"/>
        </w:rPr>
        <w:t>não havendo retratação, o encaminhamento deste agravo ao Egrégio Superior Tribunal de Justiça, para seu regular processamento</w:t>
      </w:r>
      <w:r>
        <w:rPr>
          <w:szCs w:val="24"/>
        </w:rPr>
        <w:t xml:space="preserve"> </w:t>
      </w:r>
      <w:r w:rsidRPr="00057B03">
        <w:rPr>
          <w:sz w:val="20"/>
          <w:szCs w:val="20"/>
        </w:rPr>
        <w:t>(art. 1.042, §</w:t>
      </w:r>
      <w:r>
        <w:rPr>
          <w:sz w:val="20"/>
          <w:szCs w:val="20"/>
        </w:rPr>
        <w:t>4</w:t>
      </w:r>
      <w:r w:rsidRPr="00057B03">
        <w:rPr>
          <w:sz w:val="20"/>
          <w:szCs w:val="20"/>
        </w:rPr>
        <w:t>º, do CPC)</w:t>
      </w:r>
      <w:r w:rsidRPr="00C61B61">
        <w:rPr>
          <w:szCs w:val="24"/>
        </w:rPr>
        <w:t xml:space="preserve">; </w:t>
      </w:r>
    </w:p>
    <w:p w14:paraId="2D648471" w14:textId="28CD200A" w:rsidR="00E72518" w:rsidRPr="00B85DAD" w:rsidRDefault="00E72518" w:rsidP="00E72518">
      <w:pPr>
        <w:pStyle w:val="SemEspaamento"/>
        <w:numPr>
          <w:ilvl w:val="0"/>
          <w:numId w:val="2"/>
        </w:numPr>
        <w:ind w:left="0" w:firstLine="1418"/>
      </w:pPr>
      <w:r>
        <w:rPr>
          <w:szCs w:val="24"/>
        </w:rPr>
        <w:t>o provimento d</w:t>
      </w:r>
      <w:r w:rsidRPr="00C61B61">
        <w:rPr>
          <w:szCs w:val="24"/>
        </w:rPr>
        <w:t xml:space="preserve">este agravo para admitir o andamento do recurso especial anteriormente interposto, sobre o qual também se reitera o </w:t>
      </w:r>
      <w:r>
        <w:rPr>
          <w:szCs w:val="24"/>
        </w:rPr>
        <w:t xml:space="preserve">conhecimento e </w:t>
      </w:r>
      <w:r w:rsidRPr="00C61B61">
        <w:rPr>
          <w:szCs w:val="24"/>
        </w:rPr>
        <w:t>provimento</w:t>
      </w:r>
      <w:r>
        <w:rPr>
          <w:szCs w:val="24"/>
        </w:rPr>
        <w:t xml:space="preserve"> para reconhecer que os acórdãos recorridos infringiram frontalmente o art. 386, II e VII, do CPP,</w:t>
      </w:r>
      <w:r w:rsidR="00386F19">
        <w:rPr>
          <w:szCs w:val="24"/>
        </w:rPr>
        <w:t xml:space="preserve"> decretando a absolvição do agravante, ou, </w:t>
      </w:r>
      <w:r w:rsidR="00386F19" w:rsidRPr="00386F19">
        <w:rPr>
          <w:szCs w:val="24"/>
          <w:u w:val="single"/>
        </w:rPr>
        <w:t>subsidiariamente</w:t>
      </w:r>
      <w:r w:rsidR="00386F19">
        <w:rPr>
          <w:szCs w:val="24"/>
        </w:rPr>
        <w:t>, que os arestos violaram os arts. 619 e 620 do CPP, com a determinação de novo julgamento pela Corte Local, dessa vez examinando os vícios apontados</w:t>
      </w:r>
      <w:r>
        <w:rPr>
          <w:szCs w:val="24"/>
        </w:rPr>
        <w:t>.</w:t>
      </w:r>
    </w:p>
    <w:p w14:paraId="4D71CB6A" w14:textId="77777777" w:rsidR="000169F1" w:rsidRPr="00C93597" w:rsidRDefault="000169F1" w:rsidP="0039514E">
      <w:pPr>
        <w:pStyle w:val="Ttulo2"/>
      </w:pPr>
    </w:p>
    <w:p w14:paraId="21958923" w14:textId="77777777"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74636A3" w14:textId="77777777" w:rsidR="000169F1" w:rsidRDefault="000169F1" w:rsidP="000E64D9">
      <w:pPr>
        <w:pStyle w:val="Ttulo2"/>
        <w:rPr>
          <w:rFonts w:eastAsia="Calibri"/>
        </w:rPr>
      </w:pPr>
    </w:p>
    <w:p w14:paraId="7BAAD1A5"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339A8C1" w14:textId="46F2D2E2"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B2631">
        <w:rPr>
          <w:rFonts w:ascii="Arial" w:eastAsia="Calibri" w:hAnsi="Arial" w:cs="Times New Roman"/>
          <w:noProof/>
          <w:sz w:val="24"/>
          <w:szCs w:val="24"/>
        </w:rPr>
        <w:t>27 de janeiro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60BD572"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084E60" w14:textId="77777777" w:rsidR="000169F1" w:rsidRPr="0039514E" w:rsidRDefault="000169F1" w:rsidP="000169F1">
      <w:pPr>
        <w:autoSpaceDE w:val="0"/>
        <w:autoSpaceDN w:val="0"/>
        <w:adjustRightInd w:val="0"/>
        <w:spacing w:after="0" w:line="240" w:lineRule="auto"/>
        <w:rPr>
          <w:rFonts w:ascii="Arial" w:hAnsi="Arial" w:cs="Arial"/>
          <w:b/>
          <w:bCs/>
          <w:sz w:val="28"/>
          <w:szCs w:val="28"/>
          <w:lang w:val="pt"/>
        </w:rPr>
      </w:pPr>
    </w:p>
    <w:p w14:paraId="0D73E2BF" w14:textId="77777777" w:rsidR="00312BCC" w:rsidRPr="00D576AF" w:rsidRDefault="00312BCC" w:rsidP="00312BCC">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279C9FB" w14:textId="2F6C6B29" w:rsidR="00131BEB" w:rsidRPr="000169F1" w:rsidRDefault="00312BCC" w:rsidP="000E64D9">
      <w:pPr>
        <w:spacing w:after="0" w:line="240" w:lineRule="auto"/>
        <w:ind w:right="-2"/>
        <w:jc w:val="cente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sectPr w:rsidR="00131BEB" w:rsidRPr="000169F1" w:rsidSect="00E61DC4">
      <w:headerReference w:type="default" r:id="rId10"/>
      <w:footerReference w:type="default" r:id="rId11"/>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7507" w14:textId="77777777" w:rsidR="0041598D" w:rsidRDefault="0041598D" w:rsidP="00943258">
      <w:pPr>
        <w:spacing w:after="0" w:line="240" w:lineRule="auto"/>
      </w:pPr>
      <w:r>
        <w:separator/>
      </w:r>
    </w:p>
  </w:endnote>
  <w:endnote w:type="continuationSeparator" w:id="0">
    <w:p w14:paraId="13C33D09" w14:textId="77777777" w:rsidR="0041598D" w:rsidRDefault="0041598D"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43A2AB7"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BBAEFFA" wp14:editId="3D951A72">
              <wp:simplePos x="0" y="0"/>
              <wp:positionH relativeFrom="column">
                <wp:posOffset>1616528</wp:posOffset>
              </wp:positionH>
              <wp:positionV relativeFrom="paragraph">
                <wp:posOffset>34282</wp:posOffset>
              </wp:positionV>
              <wp:extent cx="2628900" cy="156648"/>
              <wp:effectExtent l="0" t="0" r="0" b="0"/>
              <wp:wrapNone/>
              <wp:docPr id="1600242852" name="Imagem 16002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68579D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ABA1" w14:textId="77777777" w:rsidR="0041598D" w:rsidRDefault="0041598D" w:rsidP="00943258">
      <w:pPr>
        <w:spacing w:after="0" w:line="240" w:lineRule="auto"/>
      </w:pPr>
      <w:r>
        <w:separator/>
      </w:r>
    </w:p>
  </w:footnote>
  <w:footnote w:type="continuationSeparator" w:id="0">
    <w:p w14:paraId="427C01E6" w14:textId="77777777" w:rsidR="0041598D" w:rsidRDefault="0041598D"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65CE"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0567E11" wp14:editId="212F396E">
          <wp:simplePos x="0" y="0"/>
          <wp:positionH relativeFrom="page">
            <wp:posOffset>-21361</wp:posOffset>
          </wp:positionH>
          <wp:positionV relativeFrom="page">
            <wp:posOffset>-71063</wp:posOffset>
          </wp:positionV>
          <wp:extent cx="7612446" cy="1100138"/>
          <wp:effectExtent l="0" t="0" r="0" b="0"/>
          <wp:wrapNone/>
          <wp:docPr id="2067218418" name="Imagem 2067218418"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DA45380" w14:textId="77777777" w:rsidR="007C36DB" w:rsidRDefault="007C36DB" w:rsidP="00131BEB">
    <w:pPr>
      <w:pStyle w:val="Cabealho"/>
      <w:tabs>
        <w:tab w:val="clear" w:pos="4252"/>
        <w:tab w:val="clear" w:pos="8504"/>
        <w:tab w:val="left" w:pos="2685"/>
      </w:tabs>
    </w:pPr>
  </w:p>
  <w:p w14:paraId="442409CD" w14:textId="77777777" w:rsidR="007C36DB" w:rsidRDefault="007C36DB" w:rsidP="007C36DB">
    <w:pPr>
      <w:pStyle w:val="Cabealho"/>
      <w:tabs>
        <w:tab w:val="clear" w:pos="4252"/>
        <w:tab w:val="clear" w:pos="8504"/>
        <w:tab w:val="left" w:pos="6555"/>
      </w:tabs>
    </w:pPr>
  </w:p>
  <w:p w14:paraId="3598CF12"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EAE1BC"/>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48D6B7D2"/>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70247386"/>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9928188E"/>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BEDC7ED6"/>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580648"/>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82F460"/>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7405BA"/>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6CAE16"/>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1D7C7BCA"/>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D4E299F4"/>
    <w:lvl w:ilvl="0" w:tplc="976EC1FC">
      <w:start w:val="1"/>
      <w:numFmt w:val="decimal"/>
      <w:pStyle w:val="SemEspaamento"/>
      <w:lvlText w:val="%1."/>
      <w:lvlJc w:val="left"/>
      <w:pPr>
        <w:ind w:left="1778" w:hanging="360"/>
      </w:pPr>
      <w:rPr>
        <w:b w:val="0"/>
        <w:bCs/>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4AD0617A"/>
    <w:multiLevelType w:val="hybridMultilevel"/>
    <w:tmpl w:val="A25C194A"/>
    <w:lvl w:ilvl="0" w:tplc="7662242A">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num w:numId="1" w16cid:durableId="926309199">
    <w:abstractNumId w:val="10"/>
  </w:num>
  <w:num w:numId="2" w16cid:durableId="806433346">
    <w:abstractNumId w:val="11"/>
  </w:num>
  <w:num w:numId="3" w16cid:durableId="93594246">
    <w:abstractNumId w:val="10"/>
    <w:lvlOverride w:ilvl="0">
      <w:startOverride w:val="1"/>
    </w:lvlOverride>
  </w:num>
  <w:num w:numId="4" w16cid:durableId="332028267">
    <w:abstractNumId w:val="10"/>
    <w:lvlOverride w:ilvl="0">
      <w:startOverride w:val="1"/>
    </w:lvlOverride>
  </w:num>
  <w:num w:numId="5" w16cid:durableId="812062352">
    <w:abstractNumId w:val="12"/>
  </w:num>
  <w:num w:numId="6" w16cid:durableId="1022433798">
    <w:abstractNumId w:val="9"/>
  </w:num>
  <w:num w:numId="7" w16cid:durableId="472212685">
    <w:abstractNumId w:val="7"/>
  </w:num>
  <w:num w:numId="8" w16cid:durableId="1059549969">
    <w:abstractNumId w:val="6"/>
  </w:num>
  <w:num w:numId="9" w16cid:durableId="1475875558">
    <w:abstractNumId w:val="5"/>
  </w:num>
  <w:num w:numId="10" w16cid:durableId="155344290">
    <w:abstractNumId w:val="4"/>
  </w:num>
  <w:num w:numId="11" w16cid:durableId="1272977991">
    <w:abstractNumId w:val="8"/>
  </w:num>
  <w:num w:numId="12" w16cid:durableId="60368332">
    <w:abstractNumId w:val="3"/>
  </w:num>
  <w:num w:numId="13" w16cid:durableId="108555339">
    <w:abstractNumId w:val="2"/>
  </w:num>
  <w:num w:numId="14" w16cid:durableId="1484733177">
    <w:abstractNumId w:val="1"/>
  </w:num>
  <w:num w:numId="15" w16cid:durableId="902104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66"/>
    <w:rsid w:val="00001D40"/>
    <w:rsid w:val="00003F31"/>
    <w:rsid w:val="00010DC3"/>
    <w:rsid w:val="0001233D"/>
    <w:rsid w:val="000147CC"/>
    <w:rsid w:val="00014D88"/>
    <w:rsid w:val="0001548E"/>
    <w:rsid w:val="000169F1"/>
    <w:rsid w:val="00033F0B"/>
    <w:rsid w:val="0004298B"/>
    <w:rsid w:val="00054892"/>
    <w:rsid w:val="00054B29"/>
    <w:rsid w:val="000559BA"/>
    <w:rsid w:val="000605CA"/>
    <w:rsid w:val="00060890"/>
    <w:rsid w:val="00061549"/>
    <w:rsid w:val="00067E4B"/>
    <w:rsid w:val="00076F93"/>
    <w:rsid w:val="00097661"/>
    <w:rsid w:val="000A211D"/>
    <w:rsid w:val="000A2F6F"/>
    <w:rsid w:val="000B2ABE"/>
    <w:rsid w:val="000C6C5F"/>
    <w:rsid w:val="000D02BA"/>
    <w:rsid w:val="000D228C"/>
    <w:rsid w:val="000D5BC2"/>
    <w:rsid w:val="000E46B2"/>
    <w:rsid w:val="000E64D9"/>
    <w:rsid w:val="000E670C"/>
    <w:rsid w:val="000E6ED6"/>
    <w:rsid w:val="000F7AD0"/>
    <w:rsid w:val="001020E3"/>
    <w:rsid w:val="0010608E"/>
    <w:rsid w:val="00113164"/>
    <w:rsid w:val="00131BEB"/>
    <w:rsid w:val="00141551"/>
    <w:rsid w:val="00154024"/>
    <w:rsid w:val="00165830"/>
    <w:rsid w:val="00165EDC"/>
    <w:rsid w:val="001667B0"/>
    <w:rsid w:val="00170F4E"/>
    <w:rsid w:val="0017252E"/>
    <w:rsid w:val="0017356D"/>
    <w:rsid w:val="001761C0"/>
    <w:rsid w:val="00183BE2"/>
    <w:rsid w:val="00186C05"/>
    <w:rsid w:val="001925BA"/>
    <w:rsid w:val="001953AF"/>
    <w:rsid w:val="001A6121"/>
    <w:rsid w:val="001A622C"/>
    <w:rsid w:val="001B12AC"/>
    <w:rsid w:val="001B2A0F"/>
    <w:rsid w:val="001B2B98"/>
    <w:rsid w:val="001B2E75"/>
    <w:rsid w:val="001B5C66"/>
    <w:rsid w:val="001C2AAF"/>
    <w:rsid w:val="001C6ACE"/>
    <w:rsid w:val="001D1770"/>
    <w:rsid w:val="001D5C6C"/>
    <w:rsid w:val="001D5D68"/>
    <w:rsid w:val="001D5DA6"/>
    <w:rsid w:val="001D74C0"/>
    <w:rsid w:val="001E15C4"/>
    <w:rsid w:val="001E210E"/>
    <w:rsid w:val="00201F45"/>
    <w:rsid w:val="0020749B"/>
    <w:rsid w:val="00207BE4"/>
    <w:rsid w:val="00214A68"/>
    <w:rsid w:val="00214E09"/>
    <w:rsid w:val="00222C74"/>
    <w:rsid w:val="00223322"/>
    <w:rsid w:val="002372BA"/>
    <w:rsid w:val="002479FD"/>
    <w:rsid w:val="0025531E"/>
    <w:rsid w:val="00255977"/>
    <w:rsid w:val="00260110"/>
    <w:rsid w:val="00260E99"/>
    <w:rsid w:val="002616B9"/>
    <w:rsid w:val="00264102"/>
    <w:rsid w:val="002665F0"/>
    <w:rsid w:val="00270586"/>
    <w:rsid w:val="002725F1"/>
    <w:rsid w:val="00272BFB"/>
    <w:rsid w:val="00280DC9"/>
    <w:rsid w:val="00291F6C"/>
    <w:rsid w:val="00296B0C"/>
    <w:rsid w:val="00297066"/>
    <w:rsid w:val="002B0E14"/>
    <w:rsid w:val="002C07B6"/>
    <w:rsid w:val="002C2CA1"/>
    <w:rsid w:val="002D44AC"/>
    <w:rsid w:val="002D6328"/>
    <w:rsid w:val="002E105E"/>
    <w:rsid w:val="002F02CF"/>
    <w:rsid w:val="0030036D"/>
    <w:rsid w:val="00304783"/>
    <w:rsid w:val="00312BCC"/>
    <w:rsid w:val="00316543"/>
    <w:rsid w:val="00324677"/>
    <w:rsid w:val="003305B8"/>
    <w:rsid w:val="0033484D"/>
    <w:rsid w:val="00337677"/>
    <w:rsid w:val="00337AB2"/>
    <w:rsid w:val="00352BD3"/>
    <w:rsid w:val="00354109"/>
    <w:rsid w:val="00357FBD"/>
    <w:rsid w:val="00362B86"/>
    <w:rsid w:val="003654C6"/>
    <w:rsid w:val="0037580B"/>
    <w:rsid w:val="00377A2E"/>
    <w:rsid w:val="003801CD"/>
    <w:rsid w:val="00382893"/>
    <w:rsid w:val="00386F19"/>
    <w:rsid w:val="0039514E"/>
    <w:rsid w:val="003955A7"/>
    <w:rsid w:val="003960FE"/>
    <w:rsid w:val="003A456B"/>
    <w:rsid w:val="003C3B3C"/>
    <w:rsid w:val="003E46B9"/>
    <w:rsid w:val="003F38EB"/>
    <w:rsid w:val="003F6C91"/>
    <w:rsid w:val="004130E8"/>
    <w:rsid w:val="0041378F"/>
    <w:rsid w:val="0041598D"/>
    <w:rsid w:val="00433BB1"/>
    <w:rsid w:val="00434A73"/>
    <w:rsid w:val="00445068"/>
    <w:rsid w:val="00472739"/>
    <w:rsid w:val="00474040"/>
    <w:rsid w:val="004800B6"/>
    <w:rsid w:val="0049415A"/>
    <w:rsid w:val="004949AD"/>
    <w:rsid w:val="004B0289"/>
    <w:rsid w:val="004D0E0C"/>
    <w:rsid w:val="004D1F9E"/>
    <w:rsid w:val="004D6389"/>
    <w:rsid w:val="004E2DBA"/>
    <w:rsid w:val="004F2B78"/>
    <w:rsid w:val="004F384D"/>
    <w:rsid w:val="00501A18"/>
    <w:rsid w:val="0051049E"/>
    <w:rsid w:val="005144C3"/>
    <w:rsid w:val="00516149"/>
    <w:rsid w:val="00516418"/>
    <w:rsid w:val="00521528"/>
    <w:rsid w:val="005271AA"/>
    <w:rsid w:val="005321DA"/>
    <w:rsid w:val="00533F3A"/>
    <w:rsid w:val="00534DE0"/>
    <w:rsid w:val="005434D1"/>
    <w:rsid w:val="005466A0"/>
    <w:rsid w:val="0055127E"/>
    <w:rsid w:val="005567FF"/>
    <w:rsid w:val="0056627D"/>
    <w:rsid w:val="00571FD1"/>
    <w:rsid w:val="00577CB4"/>
    <w:rsid w:val="0058660B"/>
    <w:rsid w:val="00592AC1"/>
    <w:rsid w:val="0059366D"/>
    <w:rsid w:val="005A3EF4"/>
    <w:rsid w:val="005A7B56"/>
    <w:rsid w:val="005B1545"/>
    <w:rsid w:val="005B67EA"/>
    <w:rsid w:val="005B70D8"/>
    <w:rsid w:val="005C7C14"/>
    <w:rsid w:val="005C7EB2"/>
    <w:rsid w:val="005D34C6"/>
    <w:rsid w:val="005D6E52"/>
    <w:rsid w:val="005E1E5B"/>
    <w:rsid w:val="005E58E2"/>
    <w:rsid w:val="005F283B"/>
    <w:rsid w:val="005F41AF"/>
    <w:rsid w:val="006005E4"/>
    <w:rsid w:val="0060359D"/>
    <w:rsid w:val="00604853"/>
    <w:rsid w:val="006143B5"/>
    <w:rsid w:val="006168E4"/>
    <w:rsid w:val="00616C60"/>
    <w:rsid w:val="00620979"/>
    <w:rsid w:val="006332C7"/>
    <w:rsid w:val="00637465"/>
    <w:rsid w:val="00645206"/>
    <w:rsid w:val="006539FC"/>
    <w:rsid w:val="00657495"/>
    <w:rsid w:val="00661B74"/>
    <w:rsid w:val="00662020"/>
    <w:rsid w:val="00663963"/>
    <w:rsid w:val="00665BF5"/>
    <w:rsid w:val="00671E39"/>
    <w:rsid w:val="00673228"/>
    <w:rsid w:val="00693432"/>
    <w:rsid w:val="00693F8B"/>
    <w:rsid w:val="00695C67"/>
    <w:rsid w:val="00696295"/>
    <w:rsid w:val="006A0B4F"/>
    <w:rsid w:val="006A3789"/>
    <w:rsid w:val="006A6AF9"/>
    <w:rsid w:val="006A7698"/>
    <w:rsid w:val="006B0F47"/>
    <w:rsid w:val="006B21FE"/>
    <w:rsid w:val="006B2631"/>
    <w:rsid w:val="006B3A64"/>
    <w:rsid w:val="006C0DFC"/>
    <w:rsid w:val="006C12B0"/>
    <w:rsid w:val="006C1AC2"/>
    <w:rsid w:val="006C2FBB"/>
    <w:rsid w:val="006C3301"/>
    <w:rsid w:val="006C4A6F"/>
    <w:rsid w:val="006D23F4"/>
    <w:rsid w:val="006D4244"/>
    <w:rsid w:val="006E4840"/>
    <w:rsid w:val="006E7081"/>
    <w:rsid w:val="006E7117"/>
    <w:rsid w:val="006F49BF"/>
    <w:rsid w:val="006F4E3D"/>
    <w:rsid w:val="00701FD8"/>
    <w:rsid w:val="00702CC9"/>
    <w:rsid w:val="00706612"/>
    <w:rsid w:val="00706E57"/>
    <w:rsid w:val="00715B36"/>
    <w:rsid w:val="0071667B"/>
    <w:rsid w:val="00721FCE"/>
    <w:rsid w:val="00722DF5"/>
    <w:rsid w:val="00725FDA"/>
    <w:rsid w:val="00733ABB"/>
    <w:rsid w:val="00735DE0"/>
    <w:rsid w:val="00741E12"/>
    <w:rsid w:val="00747E63"/>
    <w:rsid w:val="00752D30"/>
    <w:rsid w:val="00753D9D"/>
    <w:rsid w:val="00755426"/>
    <w:rsid w:val="007579C3"/>
    <w:rsid w:val="00757FC6"/>
    <w:rsid w:val="00760ADA"/>
    <w:rsid w:val="007654FF"/>
    <w:rsid w:val="007703DB"/>
    <w:rsid w:val="00773006"/>
    <w:rsid w:val="00795616"/>
    <w:rsid w:val="00797900"/>
    <w:rsid w:val="007A4390"/>
    <w:rsid w:val="007A5CE7"/>
    <w:rsid w:val="007B5465"/>
    <w:rsid w:val="007C0401"/>
    <w:rsid w:val="007C0BFD"/>
    <w:rsid w:val="007C36DB"/>
    <w:rsid w:val="007D41D9"/>
    <w:rsid w:val="007E22B7"/>
    <w:rsid w:val="007F18AB"/>
    <w:rsid w:val="00801585"/>
    <w:rsid w:val="0080542B"/>
    <w:rsid w:val="00807FFC"/>
    <w:rsid w:val="00810D34"/>
    <w:rsid w:val="00825A55"/>
    <w:rsid w:val="00826BB6"/>
    <w:rsid w:val="00834F81"/>
    <w:rsid w:val="008452BA"/>
    <w:rsid w:val="0085003F"/>
    <w:rsid w:val="00851B8A"/>
    <w:rsid w:val="008531B5"/>
    <w:rsid w:val="008562CA"/>
    <w:rsid w:val="00872F5B"/>
    <w:rsid w:val="00881337"/>
    <w:rsid w:val="00883544"/>
    <w:rsid w:val="00890345"/>
    <w:rsid w:val="008915E8"/>
    <w:rsid w:val="00896F04"/>
    <w:rsid w:val="00897541"/>
    <w:rsid w:val="008A0012"/>
    <w:rsid w:val="008B151E"/>
    <w:rsid w:val="008B330E"/>
    <w:rsid w:val="008C36B1"/>
    <w:rsid w:val="008C41BF"/>
    <w:rsid w:val="008C625D"/>
    <w:rsid w:val="008D75F7"/>
    <w:rsid w:val="008E0AA0"/>
    <w:rsid w:val="008E2392"/>
    <w:rsid w:val="008E31FF"/>
    <w:rsid w:val="008E377D"/>
    <w:rsid w:val="008E3B41"/>
    <w:rsid w:val="008E6D0D"/>
    <w:rsid w:val="008F2218"/>
    <w:rsid w:val="008F53CE"/>
    <w:rsid w:val="008F7B29"/>
    <w:rsid w:val="0090098B"/>
    <w:rsid w:val="0090226D"/>
    <w:rsid w:val="00906F3E"/>
    <w:rsid w:val="00924163"/>
    <w:rsid w:val="009353F6"/>
    <w:rsid w:val="0093558A"/>
    <w:rsid w:val="00942BA9"/>
    <w:rsid w:val="00943258"/>
    <w:rsid w:val="00954E82"/>
    <w:rsid w:val="00962BF9"/>
    <w:rsid w:val="00966D05"/>
    <w:rsid w:val="009815AB"/>
    <w:rsid w:val="00983843"/>
    <w:rsid w:val="00985262"/>
    <w:rsid w:val="009853D5"/>
    <w:rsid w:val="00987CEE"/>
    <w:rsid w:val="009A239A"/>
    <w:rsid w:val="009A3B5E"/>
    <w:rsid w:val="009B11A9"/>
    <w:rsid w:val="009B17AB"/>
    <w:rsid w:val="009C42B3"/>
    <w:rsid w:val="009C4C97"/>
    <w:rsid w:val="009D0CAF"/>
    <w:rsid w:val="009D1F3E"/>
    <w:rsid w:val="009E151E"/>
    <w:rsid w:val="009E76C4"/>
    <w:rsid w:val="009F209B"/>
    <w:rsid w:val="009F7AF8"/>
    <w:rsid w:val="00A049FC"/>
    <w:rsid w:val="00A05A32"/>
    <w:rsid w:val="00A07B7B"/>
    <w:rsid w:val="00A10F2A"/>
    <w:rsid w:val="00A267C7"/>
    <w:rsid w:val="00A312BB"/>
    <w:rsid w:val="00A3246D"/>
    <w:rsid w:val="00A5014E"/>
    <w:rsid w:val="00A50B60"/>
    <w:rsid w:val="00A54BE1"/>
    <w:rsid w:val="00A54C10"/>
    <w:rsid w:val="00A57831"/>
    <w:rsid w:val="00A60125"/>
    <w:rsid w:val="00A62014"/>
    <w:rsid w:val="00A63CE1"/>
    <w:rsid w:val="00A64A85"/>
    <w:rsid w:val="00A73889"/>
    <w:rsid w:val="00A73F5E"/>
    <w:rsid w:val="00A75B40"/>
    <w:rsid w:val="00A8084E"/>
    <w:rsid w:val="00A83566"/>
    <w:rsid w:val="00A84449"/>
    <w:rsid w:val="00A8710A"/>
    <w:rsid w:val="00A926A8"/>
    <w:rsid w:val="00A932B8"/>
    <w:rsid w:val="00A97AEE"/>
    <w:rsid w:val="00AA7733"/>
    <w:rsid w:val="00AA7C1C"/>
    <w:rsid w:val="00AA7FF6"/>
    <w:rsid w:val="00AB7E85"/>
    <w:rsid w:val="00AE1CB3"/>
    <w:rsid w:val="00AE2D05"/>
    <w:rsid w:val="00AE47B3"/>
    <w:rsid w:val="00AE72CA"/>
    <w:rsid w:val="00B04C21"/>
    <w:rsid w:val="00B0535F"/>
    <w:rsid w:val="00B06454"/>
    <w:rsid w:val="00B10899"/>
    <w:rsid w:val="00B1240C"/>
    <w:rsid w:val="00B12EB6"/>
    <w:rsid w:val="00B1353C"/>
    <w:rsid w:val="00B14737"/>
    <w:rsid w:val="00B14A81"/>
    <w:rsid w:val="00B1582F"/>
    <w:rsid w:val="00B15C30"/>
    <w:rsid w:val="00B24D00"/>
    <w:rsid w:val="00B438AC"/>
    <w:rsid w:val="00B52E38"/>
    <w:rsid w:val="00B6363E"/>
    <w:rsid w:val="00B6516A"/>
    <w:rsid w:val="00B71020"/>
    <w:rsid w:val="00B91C1C"/>
    <w:rsid w:val="00B94EF9"/>
    <w:rsid w:val="00BA0131"/>
    <w:rsid w:val="00BA2544"/>
    <w:rsid w:val="00BA2A55"/>
    <w:rsid w:val="00BA6A47"/>
    <w:rsid w:val="00BB12C0"/>
    <w:rsid w:val="00BB4387"/>
    <w:rsid w:val="00BC2C21"/>
    <w:rsid w:val="00BC3841"/>
    <w:rsid w:val="00BD591E"/>
    <w:rsid w:val="00BD6DA4"/>
    <w:rsid w:val="00BE37D1"/>
    <w:rsid w:val="00BE3875"/>
    <w:rsid w:val="00BF68C6"/>
    <w:rsid w:val="00C03B4C"/>
    <w:rsid w:val="00C0456B"/>
    <w:rsid w:val="00C064B5"/>
    <w:rsid w:val="00C23F5B"/>
    <w:rsid w:val="00C24520"/>
    <w:rsid w:val="00C262B1"/>
    <w:rsid w:val="00C274D9"/>
    <w:rsid w:val="00C34E05"/>
    <w:rsid w:val="00C36649"/>
    <w:rsid w:val="00C46A03"/>
    <w:rsid w:val="00C47256"/>
    <w:rsid w:val="00C64CE9"/>
    <w:rsid w:val="00C658DD"/>
    <w:rsid w:val="00C708C7"/>
    <w:rsid w:val="00C8474B"/>
    <w:rsid w:val="00C858E6"/>
    <w:rsid w:val="00C864B3"/>
    <w:rsid w:val="00C90C85"/>
    <w:rsid w:val="00C92A6A"/>
    <w:rsid w:val="00C93A6D"/>
    <w:rsid w:val="00C97D8A"/>
    <w:rsid w:val="00CA2406"/>
    <w:rsid w:val="00CA3AB8"/>
    <w:rsid w:val="00CB33E0"/>
    <w:rsid w:val="00CB41B2"/>
    <w:rsid w:val="00CB5FC5"/>
    <w:rsid w:val="00CB6803"/>
    <w:rsid w:val="00CB6CFF"/>
    <w:rsid w:val="00CC0A63"/>
    <w:rsid w:val="00CC2572"/>
    <w:rsid w:val="00CD0066"/>
    <w:rsid w:val="00CD413B"/>
    <w:rsid w:val="00CE35B6"/>
    <w:rsid w:val="00CF371E"/>
    <w:rsid w:val="00CF4383"/>
    <w:rsid w:val="00CF58E2"/>
    <w:rsid w:val="00CF67B3"/>
    <w:rsid w:val="00D10AFA"/>
    <w:rsid w:val="00D14F10"/>
    <w:rsid w:val="00D17CED"/>
    <w:rsid w:val="00D21F43"/>
    <w:rsid w:val="00D220E2"/>
    <w:rsid w:val="00D2743C"/>
    <w:rsid w:val="00D3233E"/>
    <w:rsid w:val="00D32740"/>
    <w:rsid w:val="00D359CC"/>
    <w:rsid w:val="00D364E6"/>
    <w:rsid w:val="00D84136"/>
    <w:rsid w:val="00D86230"/>
    <w:rsid w:val="00D93CDD"/>
    <w:rsid w:val="00DC1734"/>
    <w:rsid w:val="00DC20AB"/>
    <w:rsid w:val="00DC28BB"/>
    <w:rsid w:val="00DC6F69"/>
    <w:rsid w:val="00DD0CB7"/>
    <w:rsid w:val="00DD1F42"/>
    <w:rsid w:val="00DE0162"/>
    <w:rsid w:val="00DE0552"/>
    <w:rsid w:val="00DE0B3D"/>
    <w:rsid w:val="00DE358D"/>
    <w:rsid w:val="00DF5478"/>
    <w:rsid w:val="00E03C83"/>
    <w:rsid w:val="00E05790"/>
    <w:rsid w:val="00E10AD9"/>
    <w:rsid w:val="00E319B0"/>
    <w:rsid w:val="00E37274"/>
    <w:rsid w:val="00E45C12"/>
    <w:rsid w:val="00E608F9"/>
    <w:rsid w:val="00E61DC4"/>
    <w:rsid w:val="00E625B2"/>
    <w:rsid w:val="00E62E62"/>
    <w:rsid w:val="00E64701"/>
    <w:rsid w:val="00E6683F"/>
    <w:rsid w:val="00E6742A"/>
    <w:rsid w:val="00E72518"/>
    <w:rsid w:val="00E77478"/>
    <w:rsid w:val="00E82E53"/>
    <w:rsid w:val="00E90F3C"/>
    <w:rsid w:val="00E92907"/>
    <w:rsid w:val="00E9600E"/>
    <w:rsid w:val="00E968BB"/>
    <w:rsid w:val="00EA7549"/>
    <w:rsid w:val="00EA7B38"/>
    <w:rsid w:val="00EB03F3"/>
    <w:rsid w:val="00EB3216"/>
    <w:rsid w:val="00EB4346"/>
    <w:rsid w:val="00EC2A66"/>
    <w:rsid w:val="00ED2D65"/>
    <w:rsid w:val="00EE3903"/>
    <w:rsid w:val="00EE7BB8"/>
    <w:rsid w:val="00EF1E19"/>
    <w:rsid w:val="00EF7FF2"/>
    <w:rsid w:val="00F01E37"/>
    <w:rsid w:val="00F03B57"/>
    <w:rsid w:val="00F11B2C"/>
    <w:rsid w:val="00F1242D"/>
    <w:rsid w:val="00F12833"/>
    <w:rsid w:val="00F21269"/>
    <w:rsid w:val="00F22B73"/>
    <w:rsid w:val="00F22C77"/>
    <w:rsid w:val="00F233A2"/>
    <w:rsid w:val="00F25528"/>
    <w:rsid w:val="00F25936"/>
    <w:rsid w:val="00F30918"/>
    <w:rsid w:val="00F32818"/>
    <w:rsid w:val="00F46D75"/>
    <w:rsid w:val="00F55010"/>
    <w:rsid w:val="00F60BCA"/>
    <w:rsid w:val="00F70C38"/>
    <w:rsid w:val="00F720CE"/>
    <w:rsid w:val="00F746E3"/>
    <w:rsid w:val="00F76501"/>
    <w:rsid w:val="00F9230E"/>
    <w:rsid w:val="00F9454F"/>
    <w:rsid w:val="00FA1518"/>
    <w:rsid w:val="00FA387A"/>
    <w:rsid w:val="00FB0A00"/>
    <w:rsid w:val="00FB3A3F"/>
    <w:rsid w:val="00FB62E2"/>
    <w:rsid w:val="00FC034C"/>
    <w:rsid w:val="00FC059B"/>
    <w:rsid w:val="00FC0E19"/>
    <w:rsid w:val="00FC110D"/>
    <w:rsid w:val="00FC63CA"/>
    <w:rsid w:val="00FD5E37"/>
    <w:rsid w:val="00FD644B"/>
    <w:rsid w:val="00FE2255"/>
    <w:rsid w:val="00FE35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7104"/>
  <w15:chartTrackingRefBased/>
  <w15:docId w15:val="{C284ADC2-5CE4-4D2D-A2F5-16AC1601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FC05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qFormat/>
    <w:rsid w:val="00FC05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FC05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FC059B"/>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FC059B"/>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FC05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FC05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FC05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F746E3"/>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F746E3"/>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Assinatura">
    <w:name w:val="Signature"/>
    <w:basedOn w:val="Normal"/>
    <w:link w:val="AssinaturaChar"/>
    <w:uiPriority w:val="99"/>
    <w:semiHidden/>
    <w:unhideWhenUsed/>
    <w:rsid w:val="00FC059B"/>
    <w:pPr>
      <w:spacing w:after="0" w:line="240" w:lineRule="auto"/>
      <w:ind w:left="4252"/>
    </w:pPr>
  </w:style>
  <w:style w:type="character" w:customStyle="1" w:styleId="AssinaturaChar">
    <w:name w:val="Assinatura Char"/>
    <w:basedOn w:val="Fontepargpadro"/>
    <w:link w:val="Assinatura"/>
    <w:uiPriority w:val="99"/>
    <w:semiHidden/>
    <w:rsid w:val="00FC059B"/>
  </w:style>
  <w:style w:type="paragraph" w:styleId="AssinaturadeEmail">
    <w:name w:val="E-mail Signature"/>
    <w:basedOn w:val="Normal"/>
    <w:link w:val="AssinaturadeEmailChar"/>
    <w:uiPriority w:val="99"/>
    <w:semiHidden/>
    <w:unhideWhenUsed/>
    <w:rsid w:val="00FC059B"/>
    <w:pPr>
      <w:spacing w:after="0" w:line="240" w:lineRule="auto"/>
    </w:pPr>
  </w:style>
  <w:style w:type="character" w:customStyle="1" w:styleId="AssinaturadeEmailChar">
    <w:name w:val="Assinatura de Email Char"/>
    <w:basedOn w:val="Fontepargpadro"/>
    <w:link w:val="AssinaturadeEmail"/>
    <w:uiPriority w:val="99"/>
    <w:semiHidden/>
    <w:rsid w:val="00FC059B"/>
  </w:style>
  <w:style w:type="paragraph" w:styleId="Textodecomentrio">
    <w:name w:val="annotation text"/>
    <w:basedOn w:val="Normal"/>
    <w:link w:val="TextodecomentrioChar"/>
    <w:uiPriority w:val="99"/>
    <w:semiHidden/>
    <w:unhideWhenUsed/>
    <w:rsid w:val="00FC059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C059B"/>
    <w:rPr>
      <w:sz w:val="20"/>
      <w:szCs w:val="20"/>
    </w:rPr>
  </w:style>
  <w:style w:type="paragraph" w:styleId="Assuntodocomentrio">
    <w:name w:val="annotation subject"/>
    <w:basedOn w:val="Textodecomentrio"/>
    <w:next w:val="Textodecomentrio"/>
    <w:link w:val="AssuntodocomentrioChar"/>
    <w:uiPriority w:val="99"/>
    <w:semiHidden/>
    <w:unhideWhenUsed/>
    <w:rsid w:val="00FC059B"/>
    <w:rPr>
      <w:b/>
      <w:bCs/>
    </w:rPr>
  </w:style>
  <w:style w:type="character" w:customStyle="1" w:styleId="AssuntodocomentrioChar">
    <w:name w:val="Assunto do comentário Char"/>
    <w:basedOn w:val="TextodecomentrioChar"/>
    <w:link w:val="Assuntodocomentrio"/>
    <w:uiPriority w:val="99"/>
    <w:semiHidden/>
    <w:rsid w:val="00FC059B"/>
    <w:rPr>
      <w:b/>
      <w:bCs/>
      <w:sz w:val="20"/>
      <w:szCs w:val="20"/>
    </w:rPr>
  </w:style>
  <w:style w:type="paragraph" w:styleId="Bibliografia">
    <w:name w:val="Bibliography"/>
    <w:basedOn w:val="Normal"/>
    <w:next w:val="Normal"/>
    <w:uiPriority w:val="37"/>
    <w:semiHidden/>
    <w:unhideWhenUsed/>
    <w:rsid w:val="00FC059B"/>
  </w:style>
  <w:style w:type="paragraph" w:styleId="Cabealhodamensagem">
    <w:name w:val="Message Header"/>
    <w:basedOn w:val="Normal"/>
    <w:link w:val="CabealhodamensagemChar"/>
    <w:uiPriority w:val="99"/>
    <w:semiHidden/>
    <w:unhideWhenUsed/>
    <w:rsid w:val="00FC059B"/>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FC059B"/>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FC059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FC059B"/>
    <w:pPr>
      <w:outlineLvl w:val="9"/>
    </w:pPr>
  </w:style>
  <w:style w:type="paragraph" w:styleId="Citao">
    <w:name w:val="Quote"/>
    <w:basedOn w:val="Normal"/>
    <w:next w:val="Normal"/>
    <w:link w:val="CitaoChar"/>
    <w:uiPriority w:val="29"/>
    <w:qFormat/>
    <w:rsid w:val="00FC059B"/>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FC059B"/>
    <w:rPr>
      <w:i/>
      <w:iCs/>
      <w:color w:val="404040" w:themeColor="text1" w:themeTint="BF"/>
    </w:rPr>
  </w:style>
  <w:style w:type="paragraph" w:styleId="CitaoIntensa">
    <w:name w:val="Intense Quote"/>
    <w:basedOn w:val="Normal"/>
    <w:next w:val="Normal"/>
    <w:link w:val="CitaoIntensaChar"/>
    <w:uiPriority w:val="30"/>
    <w:qFormat/>
    <w:rsid w:val="00FC05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FC059B"/>
    <w:rPr>
      <w:i/>
      <w:iCs/>
      <w:color w:val="4472C4" w:themeColor="accent1"/>
    </w:rPr>
  </w:style>
  <w:style w:type="paragraph" w:styleId="Commarcadores">
    <w:name w:val="List Bullet"/>
    <w:basedOn w:val="Normal"/>
    <w:uiPriority w:val="99"/>
    <w:semiHidden/>
    <w:unhideWhenUsed/>
    <w:rsid w:val="00FC059B"/>
    <w:pPr>
      <w:numPr>
        <w:numId w:val="6"/>
      </w:numPr>
      <w:contextualSpacing/>
    </w:pPr>
  </w:style>
  <w:style w:type="paragraph" w:styleId="Commarcadores2">
    <w:name w:val="List Bullet 2"/>
    <w:basedOn w:val="Normal"/>
    <w:uiPriority w:val="99"/>
    <w:semiHidden/>
    <w:unhideWhenUsed/>
    <w:rsid w:val="00FC059B"/>
    <w:pPr>
      <w:numPr>
        <w:numId w:val="7"/>
      </w:numPr>
      <w:contextualSpacing/>
    </w:pPr>
  </w:style>
  <w:style w:type="paragraph" w:styleId="Commarcadores3">
    <w:name w:val="List Bullet 3"/>
    <w:basedOn w:val="Normal"/>
    <w:uiPriority w:val="99"/>
    <w:semiHidden/>
    <w:unhideWhenUsed/>
    <w:rsid w:val="00FC059B"/>
    <w:pPr>
      <w:numPr>
        <w:numId w:val="8"/>
      </w:numPr>
      <w:contextualSpacing/>
    </w:pPr>
  </w:style>
  <w:style w:type="paragraph" w:styleId="Commarcadores4">
    <w:name w:val="List Bullet 4"/>
    <w:basedOn w:val="Normal"/>
    <w:uiPriority w:val="99"/>
    <w:semiHidden/>
    <w:unhideWhenUsed/>
    <w:rsid w:val="00FC059B"/>
    <w:pPr>
      <w:numPr>
        <w:numId w:val="9"/>
      </w:numPr>
      <w:contextualSpacing/>
    </w:pPr>
  </w:style>
  <w:style w:type="paragraph" w:styleId="Commarcadores5">
    <w:name w:val="List Bullet 5"/>
    <w:basedOn w:val="Normal"/>
    <w:uiPriority w:val="99"/>
    <w:semiHidden/>
    <w:unhideWhenUsed/>
    <w:rsid w:val="00FC059B"/>
    <w:pPr>
      <w:numPr>
        <w:numId w:val="10"/>
      </w:numPr>
      <w:contextualSpacing/>
    </w:pPr>
  </w:style>
  <w:style w:type="paragraph" w:styleId="Corpodetexto">
    <w:name w:val="Body Text"/>
    <w:basedOn w:val="Normal"/>
    <w:link w:val="CorpodetextoChar"/>
    <w:uiPriority w:val="99"/>
    <w:semiHidden/>
    <w:unhideWhenUsed/>
    <w:rsid w:val="00FC059B"/>
    <w:pPr>
      <w:spacing w:after="120"/>
    </w:pPr>
  </w:style>
  <w:style w:type="character" w:customStyle="1" w:styleId="CorpodetextoChar">
    <w:name w:val="Corpo de texto Char"/>
    <w:basedOn w:val="Fontepargpadro"/>
    <w:link w:val="Corpodetexto"/>
    <w:uiPriority w:val="99"/>
    <w:semiHidden/>
    <w:rsid w:val="00FC059B"/>
  </w:style>
  <w:style w:type="paragraph" w:styleId="Corpodetexto2">
    <w:name w:val="Body Text 2"/>
    <w:basedOn w:val="Normal"/>
    <w:link w:val="Corpodetexto2Char"/>
    <w:uiPriority w:val="99"/>
    <w:semiHidden/>
    <w:unhideWhenUsed/>
    <w:rsid w:val="00FC059B"/>
    <w:pPr>
      <w:spacing w:after="120" w:line="480" w:lineRule="auto"/>
    </w:pPr>
  </w:style>
  <w:style w:type="character" w:customStyle="1" w:styleId="Corpodetexto2Char">
    <w:name w:val="Corpo de texto 2 Char"/>
    <w:basedOn w:val="Fontepargpadro"/>
    <w:link w:val="Corpodetexto2"/>
    <w:uiPriority w:val="99"/>
    <w:semiHidden/>
    <w:rsid w:val="00FC059B"/>
  </w:style>
  <w:style w:type="paragraph" w:styleId="Corpodetexto3">
    <w:name w:val="Body Text 3"/>
    <w:basedOn w:val="Normal"/>
    <w:link w:val="Corpodetexto3Char"/>
    <w:uiPriority w:val="99"/>
    <w:semiHidden/>
    <w:unhideWhenUsed/>
    <w:rsid w:val="00FC059B"/>
    <w:pPr>
      <w:spacing w:after="120"/>
    </w:pPr>
    <w:rPr>
      <w:sz w:val="16"/>
      <w:szCs w:val="16"/>
    </w:rPr>
  </w:style>
  <w:style w:type="character" w:customStyle="1" w:styleId="Corpodetexto3Char">
    <w:name w:val="Corpo de texto 3 Char"/>
    <w:basedOn w:val="Fontepargpadro"/>
    <w:link w:val="Corpodetexto3"/>
    <w:uiPriority w:val="99"/>
    <w:semiHidden/>
    <w:rsid w:val="00FC059B"/>
    <w:rPr>
      <w:sz w:val="16"/>
      <w:szCs w:val="16"/>
    </w:rPr>
  </w:style>
  <w:style w:type="paragraph" w:styleId="Data">
    <w:name w:val="Date"/>
    <w:basedOn w:val="Normal"/>
    <w:next w:val="Normal"/>
    <w:link w:val="DataChar"/>
    <w:uiPriority w:val="99"/>
    <w:semiHidden/>
    <w:unhideWhenUsed/>
    <w:rsid w:val="00FC059B"/>
  </w:style>
  <w:style w:type="character" w:customStyle="1" w:styleId="DataChar">
    <w:name w:val="Data Char"/>
    <w:basedOn w:val="Fontepargpadro"/>
    <w:link w:val="Data"/>
    <w:uiPriority w:val="99"/>
    <w:semiHidden/>
    <w:rsid w:val="00FC059B"/>
  </w:style>
  <w:style w:type="paragraph" w:styleId="Destinatrio">
    <w:name w:val="envelope address"/>
    <w:basedOn w:val="Normal"/>
    <w:uiPriority w:val="99"/>
    <w:semiHidden/>
    <w:unhideWhenUsed/>
    <w:rsid w:val="00FC059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FC059B"/>
    <w:pPr>
      <w:spacing w:after="0" w:line="240" w:lineRule="auto"/>
      <w:ind w:left="4252"/>
    </w:pPr>
  </w:style>
  <w:style w:type="character" w:customStyle="1" w:styleId="EncerramentoChar">
    <w:name w:val="Encerramento Char"/>
    <w:basedOn w:val="Fontepargpadro"/>
    <w:link w:val="Encerramento"/>
    <w:uiPriority w:val="99"/>
    <w:semiHidden/>
    <w:rsid w:val="00FC059B"/>
  </w:style>
  <w:style w:type="paragraph" w:styleId="EndereoHTML">
    <w:name w:val="HTML Address"/>
    <w:basedOn w:val="Normal"/>
    <w:link w:val="EndereoHTMLChar"/>
    <w:uiPriority w:val="99"/>
    <w:semiHidden/>
    <w:unhideWhenUsed/>
    <w:rsid w:val="00FC059B"/>
    <w:pPr>
      <w:spacing w:after="0" w:line="240" w:lineRule="auto"/>
    </w:pPr>
    <w:rPr>
      <w:i/>
      <w:iCs/>
    </w:rPr>
  </w:style>
  <w:style w:type="character" w:customStyle="1" w:styleId="EndereoHTMLChar">
    <w:name w:val="Endereço HTML Char"/>
    <w:basedOn w:val="Fontepargpadro"/>
    <w:link w:val="EndereoHTML"/>
    <w:uiPriority w:val="99"/>
    <w:semiHidden/>
    <w:rsid w:val="00FC059B"/>
    <w:rPr>
      <w:i/>
      <w:iCs/>
    </w:rPr>
  </w:style>
  <w:style w:type="paragraph" w:styleId="ndicedeautoridades">
    <w:name w:val="table of authorities"/>
    <w:basedOn w:val="Normal"/>
    <w:next w:val="Normal"/>
    <w:uiPriority w:val="99"/>
    <w:semiHidden/>
    <w:unhideWhenUsed/>
    <w:rsid w:val="00FC059B"/>
    <w:pPr>
      <w:spacing w:after="0"/>
      <w:ind w:left="220" w:hanging="220"/>
    </w:pPr>
  </w:style>
  <w:style w:type="paragraph" w:styleId="ndicedeilustraes">
    <w:name w:val="table of figures"/>
    <w:basedOn w:val="Normal"/>
    <w:next w:val="Normal"/>
    <w:uiPriority w:val="99"/>
    <w:semiHidden/>
    <w:unhideWhenUsed/>
    <w:rsid w:val="00FC059B"/>
    <w:pPr>
      <w:spacing w:after="0"/>
    </w:pPr>
  </w:style>
  <w:style w:type="paragraph" w:styleId="Legenda">
    <w:name w:val="caption"/>
    <w:basedOn w:val="Normal"/>
    <w:next w:val="Normal"/>
    <w:uiPriority w:val="35"/>
    <w:semiHidden/>
    <w:unhideWhenUsed/>
    <w:qFormat/>
    <w:rsid w:val="00FC059B"/>
    <w:pPr>
      <w:spacing w:after="200" w:line="240" w:lineRule="auto"/>
    </w:pPr>
    <w:rPr>
      <w:i/>
      <w:iCs/>
      <w:color w:val="44546A" w:themeColor="text2"/>
      <w:sz w:val="18"/>
      <w:szCs w:val="18"/>
    </w:rPr>
  </w:style>
  <w:style w:type="paragraph" w:styleId="Lista">
    <w:name w:val="List"/>
    <w:basedOn w:val="Normal"/>
    <w:uiPriority w:val="99"/>
    <w:semiHidden/>
    <w:unhideWhenUsed/>
    <w:rsid w:val="00FC059B"/>
    <w:pPr>
      <w:ind w:left="283" w:hanging="283"/>
      <w:contextualSpacing/>
    </w:pPr>
  </w:style>
  <w:style w:type="paragraph" w:styleId="Lista2">
    <w:name w:val="List 2"/>
    <w:basedOn w:val="Normal"/>
    <w:uiPriority w:val="99"/>
    <w:semiHidden/>
    <w:unhideWhenUsed/>
    <w:rsid w:val="00FC059B"/>
    <w:pPr>
      <w:ind w:left="566" w:hanging="283"/>
      <w:contextualSpacing/>
    </w:pPr>
  </w:style>
  <w:style w:type="paragraph" w:styleId="Lista3">
    <w:name w:val="List 3"/>
    <w:basedOn w:val="Normal"/>
    <w:uiPriority w:val="99"/>
    <w:semiHidden/>
    <w:unhideWhenUsed/>
    <w:rsid w:val="00FC059B"/>
    <w:pPr>
      <w:ind w:left="849" w:hanging="283"/>
      <w:contextualSpacing/>
    </w:pPr>
  </w:style>
  <w:style w:type="paragraph" w:styleId="Lista4">
    <w:name w:val="List 4"/>
    <w:basedOn w:val="Normal"/>
    <w:uiPriority w:val="99"/>
    <w:semiHidden/>
    <w:unhideWhenUsed/>
    <w:rsid w:val="00FC059B"/>
    <w:pPr>
      <w:ind w:left="1132" w:hanging="283"/>
      <w:contextualSpacing/>
    </w:pPr>
  </w:style>
  <w:style w:type="paragraph" w:styleId="Lista5">
    <w:name w:val="List 5"/>
    <w:basedOn w:val="Normal"/>
    <w:uiPriority w:val="99"/>
    <w:semiHidden/>
    <w:unhideWhenUsed/>
    <w:rsid w:val="00FC059B"/>
    <w:pPr>
      <w:ind w:left="1415" w:hanging="283"/>
      <w:contextualSpacing/>
    </w:pPr>
  </w:style>
  <w:style w:type="paragraph" w:styleId="Listadecontinuao">
    <w:name w:val="List Continue"/>
    <w:basedOn w:val="Normal"/>
    <w:uiPriority w:val="99"/>
    <w:semiHidden/>
    <w:unhideWhenUsed/>
    <w:rsid w:val="00FC059B"/>
    <w:pPr>
      <w:spacing w:after="120"/>
      <w:ind w:left="283"/>
      <w:contextualSpacing/>
    </w:pPr>
  </w:style>
  <w:style w:type="paragraph" w:styleId="Listadecontinuao2">
    <w:name w:val="List Continue 2"/>
    <w:basedOn w:val="Normal"/>
    <w:uiPriority w:val="99"/>
    <w:semiHidden/>
    <w:unhideWhenUsed/>
    <w:rsid w:val="00FC059B"/>
    <w:pPr>
      <w:spacing w:after="120"/>
      <w:ind w:left="566"/>
      <w:contextualSpacing/>
    </w:pPr>
  </w:style>
  <w:style w:type="paragraph" w:styleId="Listadecontinuao3">
    <w:name w:val="List Continue 3"/>
    <w:basedOn w:val="Normal"/>
    <w:uiPriority w:val="99"/>
    <w:semiHidden/>
    <w:unhideWhenUsed/>
    <w:rsid w:val="00FC059B"/>
    <w:pPr>
      <w:spacing w:after="120"/>
      <w:ind w:left="849"/>
      <w:contextualSpacing/>
    </w:pPr>
  </w:style>
  <w:style w:type="paragraph" w:styleId="Listadecontinuao4">
    <w:name w:val="List Continue 4"/>
    <w:basedOn w:val="Normal"/>
    <w:uiPriority w:val="99"/>
    <w:semiHidden/>
    <w:unhideWhenUsed/>
    <w:rsid w:val="00FC059B"/>
    <w:pPr>
      <w:spacing w:after="120"/>
      <w:ind w:left="1132"/>
      <w:contextualSpacing/>
    </w:pPr>
  </w:style>
  <w:style w:type="paragraph" w:styleId="Listadecontinuao5">
    <w:name w:val="List Continue 5"/>
    <w:basedOn w:val="Normal"/>
    <w:uiPriority w:val="99"/>
    <w:semiHidden/>
    <w:unhideWhenUsed/>
    <w:rsid w:val="00FC059B"/>
    <w:pPr>
      <w:spacing w:after="120"/>
      <w:ind w:left="1415"/>
      <w:contextualSpacing/>
    </w:pPr>
  </w:style>
  <w:style w:type="paragraph" w:styleId="MapadoDocumento">
    <w:name w:val="Document Map"/>
    <w:basedOn w:val="Normal"/>
    <w:link w:val="MapadoDocumentoChar"/>
    <w:uiPriority w:val="99"/>
    <w:semiHidden/>
    <w:unhideWhenUsed/>
    <w:rsid w:val="00FC059B"/>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FC059B"/>
    <w:rPr>
      <w:rFonts w:ascii="Segoe UI" w:hAnsi="Segoe UI" w:cs="Segoe UI"/>
      <w:sz w:val="16"/>
      <w:szCs w:val="16"/>
    </w:rPr>
  </w:style>
  <w:style w:type="paragraph" w:styleId="NormalWeb">
    <w:name w:val="Normal (Web)"/>
    <w:basedOn w:val="Normal"/>
    <w:uiPriority w:val="99"/>
    <w:semiHidden/>
    <w:unhideWhenUsed/>
    <w:rsid w:val="00FC059B"/>
    <w:rPr>
      <w:rFonts w:ascii="Times New Roman" w:hAnsi="Times New Roman" w:cs="Times New Roman"/>
      <w:sz w:val="24"/>
      <w:szCs w:val="24"/>
    </w:rPr>
  </w:style>
  <w:style w:type="paragraph" w:styleId="Numerada">
    <w:name w:val="List Number"/>
    <w:basedOn w:val="Normal"/>
    <w:uiPriority w:val="99"/>
    <w:semiHidden/>
    <w:unhideWhenUsed/>
    <w:rsid w:val="00FC059B"/>
    <w:pPr>
      <w:numPr>
        <w:numId w:val="11"/>
      </w:numPr>
      <w:contextualSpacing/>
    </w:pPr>
  </w:style>
  <w:style w:type="paragraph" w:styleId="Numerada2">
    <w:name w:val="List Number 2"/>
    <w:basedOn w:val="Normal"/>
    <w:uiPriority w:val="99"/>
    <w:semiHidden/>
    <w:unhideWhenUsed/>
    <w:rsid w:val="00FC059B"/>
    <w:pPr>
      <w:numPr>
        <w:numId w:val="12"/>
      </w:numPr>
      <w:contextualSpacing/>
    </w:pPr>
  </w:style>
  <w:style w:type="paragraph" w:styleId="Numerada3">
    <w:name w:val="List Number 3"/>
    <w:basedOn w:val="Normal"/>
    <w:uiPriority w:val="99"/>
    <w:semiHidden/>
    <w:unhideWhenUsed/>
    <w:rsid w:val="00FC059B"/>
    <w:pPr>
      <w:numPr>
        <w:numId w:val="13"/>
      </w:numPr>
      <w:contextualSpacing/>
    </w:pPr>
  </w:style>
  <w:style w:type="paragraph" w:styleId="Numerada4">
    <w:name w:val="List Number 4"/>
    <w:basedOn w:val="Normal"/>
    <w:uiPriority w:val="99"/>
    <w:semiHidden/>
    <w:unhideWhenUsed/>
    <w:rsid w:val="00FC059B"/>
    <w:pPr>
      <w:numPr>
        <w:numId w:val="14"/>
      </w:numPr>
      <w:contextualSpacing/>
    </w:pPr>
  </w:style>
  <w:style w:type="paragraph" w:styleId="Numerada5">
    <w:name w:val="List Number 5"/>
    <w:basedOn w:val="Normal"/>
    <w:uiPriority w:val="99"/>
    <w:semiHidden/>
    <w:unhideWhenUsed/>
    <w:rsid w:val="00FC059B"/>
    <w:pPr>
      <w:numPr>
        <w:numId w:val="15"/>
      </w:numPr>
      <w:contextualSpacing/>
    </w:pPr>
  </w:style>
  <w:style w:type="paragraph" w:styleId="PargrafodaLista">
    <w:name w:val="List Paragraph"/>
    <w:basedOn w:val="Normal"/>
    <w:uiPriority w:val="34"/>
    <w:qFormat/>
    <w:rsid w:val="00FC059B"/>
    <w:pPr>
      <w:ind w:left="720"/>
      <w:contextualSpacing/>
    </w:pPr>
  </w:style>
  <w:style w:type="paragraph" w:styleId="Pr-formataoHTML">
    <w:name w:val="HTML Preformatted"/>
    <w:basedOn w:val="Normal"/>
    <w:link w:val="Pr-formataoHTMLChar"/>
    <w:uiPriority w:val="99"/>
    <w:semiHidden/>
    <w:unhideWhenUsed/>
    <w:rsid w:val="00FC059B"/>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FC059B"/>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FC059B"/>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FC059B"/>
  </w:style>
  <w:style w:type="paragraph" w:styleId="Recuodecorpodetexto">
    <w:name w:val="Body Text Indent"/>
    <w:basedOn w:val="Normal"/>
    <w:link w:val="RecuodecorpodetextoChar"/>
    <w:uiPriority w:val="99"/>
    <w:semiHidden/>
    <w:unhideWhenUsed/>
    <w:rsid w:val="00FC059B"/>
    <w:pPr>
      <w:spacing w:after="120"/>
      <w:ind w:left="283"/>
    </w:pPr>
  </w:style>
  <w:style w:type="character" w:customStyle="1" w:styleId="RecuodecorpodetextoChar">
    <w:name w:val="Recuo de corpo de texto Char"/>
    <w:basedOn w:val="Fontepargpadro"/>
    <w:link w:val="Recuodecorpodetexto"/>
    <w:uiPriority w:val="99"/>
    <w:semiHidden/>
    <w:rsid w:val="00FC059B"/>
  </w:style>
  <w:style w:type="paragraph" w:styleId="Primeirorecuodecorpodetexto2">
    <w:name w:val="Body Text First Indent 2"/>
    <w:basedOn w:val="Recuodecorpodetexto"/>
    <w:link w:val="Primeirorecuodecorpodetexto2Char"/>
    <w:uiPriority w:val="99"/>
    <w:semiHidden/>
    <w:unhideWhenUsed/>
    <w:rsid w:val="00FC059B"/>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FC059B"/>
  </w:style>
  <w:style w:type="paragraph" w:styleId="Recuodecorpodetexto2">
    <w:name w:val="Body Text Indent 2"/>
    <w:basedOn w:val="Normal"/>
    <w:link w:val="Recuodecorpodetexto2Char"/>
    <w:uiPriority w:val="99"/>
    <w:semiHidden/>
    <w:unhideWhenUsed/>
    <w:rsid w:val="00FC059B"/>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FC059B"/>
  </w:style>
  <w:style w:type="paragraph" w:styleId="Recuodecorpodetexto3">
    <w:name w:val="Body Text Indent 3"/>
    <w:basedOn w:val="Normal"/>
    <w:link w:val="Recuodecorpodetexto3Char"/>
    <w:uiPriority w:val="99"/>
    <w:semiHidden/>
    <w:unhideWhenUsed/>
    <w:rsid w:val="00FC059B"/>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FC059B"/>
    <w:rPr>
      <w:sz w:val="16"/>
      <w:szCs w:val="16"/>
    </w:rPr>
  </w:style>
  <w:style w:type="paragraph" w:styleId="Recuonormal">
    <w:name w:val="Normal Indent"/>
    <w:basedOn w:val="Normal"/>
    <w:uiPriority w:val="99"/>
    <w:semiHidden/>
    <w:unhideWhenUsed/>
    <w:rsid w:val="00FC059B"/>
    <w:pPr>
      <w:ind w:left="708"/>
    </w:pPr>
  </w:style>
  <w:style w:type="paragraph" w:styleId="Remetente">
    <w:name w:val="envelope return"/>
    <w:basedOn w:val="Normal"/>
    <w:uiPriority w:val="99"/>
    <w:semiHidden/>
    <w:unhideWhenUsed/>
    <w:rsid w:val="00FC059B"/>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FC059B"/>
    <w:pPr>
      <w:spacing w:after="0" w:line="240" w:lineRule="auto"/>
      <w:ind w:left="220" w:hanging="220"/>
    </w:pPr>
  </w:style>
  <w:style w:type="paragraph" w:styleId="Remissivo2">
    <w:name w:val="index 2"/>
    <w:basedOn w:val="Normal"/>
    <w:next w:val="Normal"/>
    <w:autoRedefine/>
    <w:uiPriority w:val="99"/>
    <w:semiHidden/>
    <w:unhideWhenUsed/>
    <w:rsid w:val="00FC059B"/>
    <w:pPr>
      <w:spacing w:after="0" w:line="240" w:lineRule="auto"/>
      <w:ind w:left="440" w:hanging="220"/>
    </w:pPr>
  </w:style>
  <w:style w:type="paragraph" w:styleId="Remissivo3">
    <w:name w:val="index 3"/>
    <w:basedOn w:val="Normal"/>
    <w:next w:val="Normal"/>
    <w:autoRedefine/>
    <w:uiPriority w:val="99"/>
    <w:semiHidden/>
    <w:unhideWhenUsed/>
    <w:rsid w:val="00FC059B"/>
    <w:pPr>
      <w:spacing w:after="0" w:line="240" w:lineRule="auto"/>
      <w:ind w:left="660" w:hanging="220"/>
    </w:pPr>
  </w:style>
  <w:style w:type="paragraph" w:styleId="Remissivo4">
    <w:name w:val="index 4"/>
    <w:basedOn w:val="Normal"/>
    <w:next w:val="Normal"/>
    <w:autoRedefine/>
    <w:uiPriority w:val="99"/>
    <w:semiHidden/>
    <w:unhideWhenUsed/>
    <w:rsid w:val="00FC059B"/>
    <w:pPr>
      <w:spacing w:after="0" w:line="240" w:lineRule="auto"/>
      <w:ind w:left="880" w:hanging="220"/>
    </w:pPr>
  </w:style>
  <w:style w:type="paragraph" w:styleId="Remissivo5">
    <w:name w:val="index 5"/>
    <w:basedOn w:val="Normal"/>
    <w:next w:val="Normal"/>
    <w:autoRedefine/>
    <w:uiPriority w:val="99"/>
    <w:semiHidden/>
    <w:unhideWhenUsed/>
    <w:rsid w:val="00FC059B"/>
    <w:pPr>
      <w:spacing w:after="0" w:line="240" w:lineRule="auto"/>
      <w:ind w:left="1100" w:hanging="220"/>
    </w:pPr>
  </w:style>
  <w:style w:type="paragraph" w:styleId="Remissivo6">
    <w:name w:val="index 6"/>
    <w:basedOn w:val="Normal"/>
    <w:next w:val="Normal"/>
    <w:autoRedefine/>
    <w:uiPriority w:val="99"/>
    <w:semiHidden/>
    <w:unhideWhenUsed/>
    <w:rsid w:val="00FC059B"/>
    <w:pPr>
      <w:spacing w:after="0" w:line="240" w:lineRule="auto"/>
      <w:ind w:left="1320" w:hanging="220"/>
    </w:pPr>
  </w:style>
  <w:style w:type="paragraph" w:styleId="Remissivo7">
    <w:name w:val="index 7"/>
    <w:basedOn w:val="Normal"/>
    <w:next w:val="Normal"/>
    <w:autoRedefine/>
    <w:uiPriority w:val="99"/>
    <w:semiHidden/>
    <w:unhideWhenUsed/>
    <w:rsid w:val="00FC059B"/>
    <w:pPr>
      <w:spacing w:after="0" w:line="240" w:lineRule="auto"/>
      <w:ind w:left="1540" w:hanging="220"/>
    </w:pPr>
  </w:style>
  <w:style w:type="paragraph" w:styleId="Remissivo8">
    <w:name w:val="index 8"/>
    <w:basedOn w:val="Normal"/>
    <w:next w:val="Normal"/>
    <w:autoRedefine/>
    <w:uiPriority w:val="99"/>
    <w:semiHidden/>
    <w:unhideWhenUsed/>
    <w:rsid w:val="00FC059B"/>
    <w:pPr>
      <w:spacing w:after="0" w:line="240" w:lineRule="auto"/>
      <w:ind w:left="1760" w:hanging="220"/>
    </w:pPr>
  </w:style>
  <w:style w:type="paragraph" w:styleId="Remissivo9">
    <w:name w:val="index 9"/>
    <w:basedOn w:val="Normal"/>
    <w:next w:val="Normal"/>
    <w:autoRedefine/>
    <w:uiPriority w:val="99"/>
    <w:semiHidden/>
    <w:unhideWhenUsed/>
    <w:rsid w:val="00FC059B"/>
    <w:pPr>
      <w:spacing w:after="0" w:line="240" w:lineRule="auto"/>
      <w:ind w:left="1980" w:hanging="220"/>
    </w:pPr>
  </w:style>
  <w:style w:type="paragraph" w:styleId="Saudao">
    <w:name w:val="Salutation"/>
    <w:basedOn w:val="Normal"/>
    <w:next w:val="Normal"/>
    <w:link w:val="SaudaoChar"/>
    <w:uiPriority w:val="99"/>
    <w:semiHidden/>
    <w:unhideWhenUsed/>
    <w:rsid w:val="00FC059B"/>
  </w:style>
  <w:style w:type="character" w:customStyle="1" w:styleId="SaudaoChar">
    <w:name w:val="Saudação Char"/>
    <w:basedOn w:val="Fontepargpadro"/>
    <w:link w:val="Saudao"/>
    <w:uiPriority w:val="99"/>
    <w:semiHidden/>
    <w:rsid w:val="00FC059B"/>
  </w:style>
  <w:style w:type="paragraph" w:styleId="Subttulo">
    <w:name w:val="Subtitle"/>
    <w:basedOn w:val="Normal"/>
    <w:next w:val="Normal"/>
    <w:link w:val="SubttuloChar"/>
    <w:uiPriority w:val="11"/>
    <w:qFormat/>
    <w:rsid w:val="00FC059B"/>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FC059B"/>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FC059B"/>
    <w:pPr>
      <w:spacing w:after="100"/>
    </w:pPr>
  </w:style>
  <w:style w:type="paragraph" w:styleId="Sumrio2">
    <w:name w:val="toc 2"/>
    <w:basedOn w:val="Normal"/>
    <w:next w:val="Normal"/>
    <w:autoRedefine/>
    <w:uiPriority w:val="39"/>
    <w:semiHidden/>
    <w:unhideWhenUsed/>
    <w:rsid w:val="00FC059B"/>
    <w:pPr>
      <w:spacing w:after="100"/>
      <w:ind w:left="220"/>
    </w:pPr>
  </w:style>
  <w:style w:type="paragraph" w:styleId="Sumrio3">
    <w:name w:val="toc 3"/>
    <w:basedOn w:val="Normal"/>
    <w:next w:val="Normal"/>
    <w:autoRedefine/>
    <w:uiPriority w:val="39"/>
    <w:semiHidden/>
    <w:unhideWhenUsed/>
    <w:rsid w:val="00FC059B"/>
    <w:pPr>
      <w:spacing w:after="100"/>
      <w:ind w:left="440"/>
    </w:pPr>
  </w:style>
  <w:style w:type="paragraph" w:styleId="Sumrio4">
    <w:name w:val="toc 4"/>
    <w:basedOn w:val="Normal"/>
    <w:next w:val="Normal"/>
    <w:autoRedefine/>
    <w:uiPriority w:val="39"/>
    <w:semiHidden/>
    <w:unhideWhenUsed/>
    <w:rsid w:val="00FC059B"/>
    <w:pPr>
      <w:spacing w:after="100"/>
      <w:ind w:left="660"/>
    </w:pPr>
  </w:style>
  <w:style w:type="paragraph" w:styleId="Sumrio5">
    <w:name w:val="toc 5"/>
    <w:basedOn w:val="Normal"/>
    <w:next w:val="Normal"/>
    <w:autoRedefine/>
    <w:uiPriority w:val="39"/>
    <w:semiHidden/>
    <w:unhideWhenUsed/>
    <w:rsid w:val="00FC059B"/>
    <w:pPr>
      <w:spacing w:after="100"/>
      <w:ind w:left="880"/>
    </w:pPr>
  </w:style>
  <w:style w:type="paragraph" w:styleId="Sumrio6">
    <w:name w:val="toc 6"/>
    <w:basedOn w:val="Normal"/>
    <w:next w:val="Normal"/>
    <w:autoRedefine/>
    <w:uiPriority w:val="39"/>
    <w:semiHidden/>
    <w:unhideWhenUsed/>
    <w:rsid w:val="00FC059B"/>
    <w:pPr>
      <w:spacing w:after="100"/>
      <w:ind w:left="1100"/>
    </w:pPr>
  </w:style>
  <w:style w:type="paragraph" w:styleId="Sumrio7">
    <w:name w:val="toc 7"/>
    <w:basedOn w:val="Normal"/>
    <w:next w:val="Normal"/>
    <w:autoRedefine/>
    <w:uiPriority w:val="39"/>
    <w:semiHidden/>
    <w:unhideWhenUsed/>
    <w:rsid w:val="00FC059B"/>
    <w:pPr>
      <w:spacing w:after="100"/>
      <w:ind w:left="1320"/>
    </w:pPr>
  </w:style>
  <w:style w:type="paragraph" w:styleId="Sumrio8">
    <w:name w:val="toc 8"/>
    <w:basedOn w:val="Normal"/>
    <w:next w:val="Normal"/>
    <w:autoRedefine/>
    <w:uiPriority w:val="39"/>
    <w:semiHidden/>
    <w:unhideWhenUsed/>
    <w:rsid w:val="00FC059B"/>
    <w:pPr>
      <w:spacing w:after="100"/>
      <w:ind w:left="1540"/>
    </w:pPr>
  </w:style>
  <w:style w:type="paragraph" w:styleId="Sumrio9">
    <w:name w:val="toc 9"/>
    <w:basedOn w:val="Normal"/>
    <w:next w:val="Normal"/>
    <w:autoRedefine/>
    <w:uiPriority w:val="39"/>
    <w:semiHidden/>
    <w:unhideWhenUsed/>
    <w:rsid w:val="00FC059B"/>
    <w:pPr>
      <w:spacing w:after="100"/>
      <w:ind w:left="1760"/>
    </w:pPr>
  </w:style>
  <w:style w:type="paragraph" w:styleId="Textodebalo">
    <w:name w:val="Balloon Text"/>
    <w:basedOn w:val="Normal"/>
    <w:link w:val="TextodebaloChar"/>
    <w:uiPriority w:val="99"/>
    <w:semiHidden/>
    <w:unhideWhenUsed/>
    <w:rsid w:val="00FC059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C059B"/>
    <w:rPr>
      <w:rFonts w:ascii="Segoe UI" w:hAnsi="Segoe UI" w:cs="Segoe UI"/>
      <w:sz w:val="18"/>
      <w:szCs w:val="18"/>
    </w:rPr>
  </w:style>
  <w:style w:type="paragraph" w:styleId="Textodemacro">
    <w:name w:val="macro"/>
    <w:link w:val="TextodemacroChar"/>
    <w:uiPriority w:val="99"/>
    <w:semiHidden/>
    <w:unhideWhenUsed/>
    <w:rsid w:val="00FC059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FC059B"/>
    <w:rPr>
      <w:rFonts w:ascii="Consolas" w:hAnsi="Consolas"/>
      <w:sz w:val="20"/>
      <w:szCs w:val="20"/>
    </w:rPr>
  </w:style>
  <w:style w:type="paragraph" w:styleId="Textodenotadefim">
    <w:name w:val="endnote text"/>
    <w:basedOn w:val="Normal"/>
    <w:link w:val="TextodenotadefimChar"/>
    <w:uiPriority w:val="99"/>
    <w:semiHidden/>
    <w:unhideWhenUsed/>
    <w:rsid w:val="00FC059B"/>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FC059B"/>
    <w:rPr>
      <w:sz w:val="20"/>
      <w:szCs w:val="20"/>
    </w:rPr>
  </w:style>
  <w:style w:type="paragraph" w:styleId="Textodenotaderodap">
    <w:name w:val="footnote text"/>
    <w:basedOn w:val="Normal"/>
    <w:link w:val="TextodenotaderodapChar"/>
    <w:uiPriority w:val="99"/>
    <w:semiHidden/>
    <w:unhideWhenUsed/>
    <w:rsid w:val="00FC059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C059B"/>
    <w:rPr>
      <w:sz w:val="20"/>
      <w:szCs w:val="20"/>
    </w:rPr>
  </w:style>
  <w:style w:type="paragraph" w:styleId="Textoembloco">
    <w:name w:val="Block Text"/>
    <w:basedOn w:val="Normal"/>
    <w:uiPriority w:val="99"/>
    <w:semiHidden/>
    <w:unhideWhenUsed/>
    <w:rsid w:val="00FC059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FC059B"/>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FC059B"/>
    <w:rPr>
      <w:rFonts w:ascii="Consolas" w:hAnsi="Consolas"/>
      <w:sz w:val="21"/>
      <w:szCs w:val="21"/>
    </w:rPr>
  </w:style>
  <w:style w:type="character" w:customStyle="1" w:styleId="Ttulo3Char">
    <w:name w:val="Título 3 Char"/>
    <w:basedOn w:val="Fontepargpadro"/>
    <w:link w:val="Ttulo3"/>
    <w:uiPriority w:val="9"/>
    <w:semiHidden/>
    <w:rsid w:val="00FC059B"/>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FC059B"/>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FC059B"/>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FC059B"/>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FC059B"/>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FC059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FC059B"/>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FC059B"/>
    <w:pPr>
      <w:spacing w:after="0" w:line="240" w:lineRule="auto"/>
    </w:pPr>
  </w:style>
  <w:style w:type="character" w:customStyle="1" w:styleId="TtulodanotaChar">
    <w:name w:val="Título da nota Char"/>
    <w:basedOn w:val="Fontepargpadro"/>
    <w:link w:val="Ttulodanota"/>
    <w:uiPriority w:val="99"/>
    <w:semiHidden/>
    <w:rsid w:val="00FC059B"/>
  </w:style>
  <w:style w:type="paragraph" w:styleId="Ttulodendicedeautoridades">
    <w:name w:val="toa heading"/>
    <w:basedOn w:val="Normal"/>
    <w:next w:val="Normal"/>
    <w:uiPriority w:val="99"/>
    <w:semiHidden/>
    <w:unhideWhenUsed/>
    <w:rsid w:val="00FC059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FC059B"/>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106</TotalTime>
  <Pages>9</Pages>
  <Words>2441</Words>
  <Characters>12669</Characters>
  <Application>Microsoft Office Word</Application>
  <DocSecurity>0</DocSecurity>
  <Lines>260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87</cp:revision>
  <cp:lastPrinted>2025-10-02T17:42:00Z</cp:lastPrinted>
  <dcterms:created xsi:type="dcterms:W3CDTF">2025-11-27T15:49:00Z</dcterms:created>
  <dcterms:modified xsi:type="dcterms:W3CDTF">2026-01-27T21:54:00Z</dcterms:modified>
</cp:coreProperties>
</file>