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681A8" w14:textId="3FD4F760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28D35" wp14:editId="2A736505">
                <wp:simplePos x="0" y="0"/>
                <wp:positionH relativeFrom="column">
                  <wp:posOffset>-62230</wp:posOffset>
                </wp:positionH>
                <wp:positionV relativeFrom="paragraph">
                  <wp:posOffset>-27305</wp:posOffset>
                </wp:positionV>
                <wp:extent cx="4000500" cy="904875"/>
                <wp:effectExtent l="0" t="0" r="19050" b="28575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0" cy="9048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D57C8" id="Retângulo: Cantos Diagonais Arredondados 1" o:spid="_x0000_s1026" style="position:absolute;margin-left:-4.9pt;margin-top:-2.15pt;width:315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00500,904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" path="m150816,l4000500,r,l4000500,754059v,83293,-67523,150816,-150816,150816l,904875r,l,150816c,67523,67523,,150816,xe" filled="f" strokecolor="#5b9bd5 [3208]" strokeweight="1pt">
                <v:stroke joinstyle="miter"/>
                <v:path arrowok="t" o:connecttype="custom" o:connectlocs="150816,0;4000500,0;4000500,0;4000500,754059;3849684,904875;0,904875;0,904875;0,150816;150816,0" o:connectangles="0,0,0,0,0,0,0,0,0"/>
              </v:shape>
            </w:pict>
          </mc:Fallback>
        </mc:AlternateContent>
      </w:r>
      <w:r w:rsidRPr="00506D87">
        <w:rPr>
          <w:rFonts w:ascii="Arial" w:eastAsia="Calibri" w:hAnsi="Arial" w:cs="Times New Roman"/>
        </w:rPr>
        <w:t>A</w:t>
      </w:r>
      <w:r w:rsidR="006520B2">
        <w:rPr>
          <w:rFonts w:ascii="Arial" w:eastAsia="Calibri" w:hAnsi="Arial" w:cs="Times New Roman"/>
        </w:rPr>
        <w:t xml:space="preserve">gravo de instrumento </w:t>
      </w:r>
      <w:r w:rsidRPr="00506D87">
        <w:rPr>
          <w:rFonts w:ascii="Arial" w:eastAsia="Calibri" w:hAnsi="Arial" w:cs="Times New Roman"/>
        </w:rPr>
        <w:t>n.</w:t>
      </w:r>
      <w:r>
        <w:rPr>
          <w:rFonts w:ascii="Arial" w:eastAsia="Calibri" w:hAnsi="Arial" w:cs="Times New Roman"/>
        </w:rPr>
        <w:t xml:space="preserve"> </w:t>
      </w:r>
      <w:r w:rsidR="006520B2" w:rsidRPr="006520B2">
        <w:rPr>
          <w:rFonts w:ascii="Arial" w:eastAsia="Calibri" w:hAnsi="Arial" w:cs="Times New Roman"/>
        </w:rPr>
        <w:t>5076795-79.2024.8.24.0000</w:t>
      </w:r>
      <w:r>
        <w:rPr>
          <w:rFonts w:ascii="Arial" w:eastAsia="Calibri" w:hAnsi="Arial" w:cs="Times New Roman"/>
        </w:rPr>
        <w:t>.</w:t>
      </w:r>
    </w:p>
    <w:p w14:paraId="4AE8D795" w14:textId="4C96DBE8" w:rsidR="00304E64" w:rsidRDefault="006520B2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Agravante</w:t>
      </w:r>
      <w:r w:rsidR="00304E64">
        <w:rPr>
          <w:rFonts w:ascii="Arial" w:eastAsia="Calibri" w:hAnsi="Arial" w:cs="Times New Roman"/>
        </w:rPr>
        <w:t xml:space="preserve">: </w:t>
      </w:r>
      <w:r w:rsidRPr="006520B2">
        <w:rPr>
          <w:rFonts w:ascii="Arial" w:eastAsia="Calibri" w:hAnsi="Arial" w:cs="Times New Roman"/>
        </w:rPr>
        <w:t xml:space="preserve">Valentina Nascimento Gastao </w:t>
      </w:r>
      <w:r>
        <w:rPr>
          <w:rFonts w:ascii="Arial" w:eastAsia="Calibri" w:hAnsi="Arial" w:cs="Times New Roman"/>
        </w:rPr>
        <w:t>d</w:t>
      </w:r>
      <w:r w:rsidRPr="006520B2">
        <w:rPr>
          <w:rFonts w:ascii="Arial" w:eastAsia="Calibri" w:hAnsi="Arial" w:cs="Times New Roman"/>
        </w:rPr>
        <w:t>a Rosa</w:t>
      </w:r>
    </w:p>
    <w:p w14:paraId="61A35465" w14:textId="37927A76" w:rsidR="00304E64" w:rsidRDefault="006520B2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Agravado</w:t>
      </w:r>
      <w:r w:rsidR="00304E64">
        <w:rPr>
          <w:rFonts w:ascii="Arial" w:eastAsia="Calibri" w:hAnsi="Arial" w:cs="Times New Roman"/>
        </w:rPr>
        <w:t xml:space="preserve">: </w:t>
      </w:r>
      <w:r>
        <w:rPr>
          <w:rFonts w:ascii="Arial" w:eastAsia="Calibri" w:hAnsi="Arial" w:cs="Times New Roman"/>
        </w:rPr>
        <w:t>Espólio de Cláudio Gastão da Rosa</w:t>
      </w:r>
    </w:p>
    <w:p w14:paraId="51E98001" w14:textId="134A18CB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E860A5">
        <w:rPr>
          <w:rFonts w:ascii="Arial" w:eastAsia="Calibri" w:hAnsi="Arial" w:cs="Times New Roman"/>
          <w:b/>
          <w:bCs/>
        </w:rPr>
        <w:t>Relator: Desembargador</w:t>
      </w:r>
      <w:r>
        <w:rPr>
          <w:rFonts w:ascii="Arial" w:eastAsia="Calibri" w:hAnsi="Arial" w:cs="Times New Roman"/>
          <w:b/>
          <w:bCs/>
        </w:rPr>
        <w:t xml:space="preserve"> </w:t>
      </w:r>
      <w:r w:rsidR="006520B2">
        <w:rPr>
          <w:rFonts w:ascii="Arial" w:eastAsia="Calibri" w:hAnsi="Arial" w:cs="Times New Roman"/>
          <w:b/>
          <w:bCs/>
        </w:rPr>
        <w:t>Saul Steil</w:t>
      </w:r>
      <w:r>
        <w:rPr>
          <w:rFonts w:ascii="Arial" w:eastAsia="Calibri" w:hAnsi="Arial" w:cs="Times New Roman"/>
        </w:rPr>
        <w:t>.</w:t>
      </w:r>
    </w:p>
    <w:p w14:paraId="05E093FD" w14:textId="291696BE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Data do julgamento: </w:t>
      </w:r>
      <w:r w:rsidR="006520B2">
        <w:rPr>
          <w:rFonts w:ascii="Arial" w:eastAsia="Calibri" w:hAnsi="Arial" w:cs="Times New Roman"/>
        </w:rPr>
        <w:t>15.4.2025</w:t>
      </w:r>
      <w:r>
        <w:rPr>
          <w:rFonts w:ascii="Arial" w:eastAsia="Calibri" w:hAnsi="Arial" w:cs="Times New Roman"/>
        </w:rPr>
        <w:tab/>
      </w:r>
      <w:r>
        <w:rPr>
          <w:rFonts w:ascii="Arial" w:eastAsia="Calibri" w:hAnsi="Arial" w:cs="Times New Roman"/>
        </w:rPr>
        <w:tab/>
      </w:r>
      <w:r w:rsidR="0031046B">
        <w:rPr>
          <w:rFonts w:ascii="Arial" w:eastAsia="Calibri" w:hAnsi="Arial" w:cs="Times New Roman"/>
        </w:rPr>
        <w:t>Pauta virtual n.</w:t>
      </w:r>
      <w:r>
        <w:rPr>
          <w:rFonts w:ascii="Arial" w:eastAsia="Calibri" w:hAnsi="Arial" w:cs="Times New Roman"/>
        </w:rPr>
        <w:t xml:space="preserve"> </w:t>
      </w:r>
      <w:r w:rsidR="00870B24">
        <w:rPr>
          <w:rFonts w:ascii="Arial" w:eastAsia="Calibri" w:hAnsi="Arial" w:cs="Times New Roman"/>
        </w:rPr>
        <w:t>125</w:t>
      </w:r>
    </w:p>
    <w:p w14:paraId="1399FA6C" w14:textId="77777777" w:rsidR="00304E64" w:rsidRPr="00506D87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</w:p>
    <w:p w14:paraId="1528CCD7" w14:textId="77777777" w:rsidR="00304E64" w:rsidRPr="00136102" w:rsidRDefault="00304E64" w:rsidP="00304E64">
      <w:pPr>
        <w:pStyle w:val="Ttulo2"/>
        <w:rPr>
          <w:rFonts w:eastAsia="Calibri"/>
        </w:rPr>
      </w:pPr>
    </w:p>
    <w:p w14:paraId="59471225" w14:textId="049D1B84" w:rsidR="00304E64" w:rsidRPr="00385759" w:rsidRDefault="00304E64" w:rsidP="00960B61">
      <w:pPr>
        <w:pStyle w:val="Qualificao"/>
        <w:ind w:left="0" w:right="284"/>
        <w:jc w:val="center"/>
        <w:rPr>
          <w:b/>
          <w:sz w:val="22"/>
        </w:rPr>
      </w:pPr>
      <w:r w:rsidRPr="00385759">
        <w:rPr>
          <w:b/>
          <w:sz w:val="22"/>
        </w:rPr>
        <w:t>MEMORIAIS PEL</w:t>
      </w:r>
      <w:r w:rsidR="006520B2">
        <w:rPr>
          <w:b/>
          <w:sz w:val="22"/>
        </w:rPr>
        <w:t xml:space="preserve">O </w:t>
      </w:r>
      <w:r w:rsidR="00F62AB2">
        <w:rPr>
          <w:b/>
          <w:sz w:val="22"/>
        </w:rPr>
        <w:t xml:space="preserve">ESPÓLIO </w:t>
      </w:r>
      <w:r w:rsidR="006520B2">
        <w:rPr>
          <w:b/>
          <w:sz w:val="22"/>
        </w:rPr>
        <w:t>AGRAVADO</w:t>
      </w:r>
    </w:p>
    <w:p w14:paraId="168FFE92" w14:textId="77777777" w:rsidR="00304E64" w:rsidRPr="00385759" w:rsidRDefault="00304E64" w:rsidP="00960B61">
      <w:pPr>
        <w:pStyle w:val="Qualificaodaspartes"/>
        <w:ind w:firstLine="0"/>
        <w:jc w:val="center"/>
      </w:pPr>
    </w:p>
    <w:p w14:paraId="2D25D472" w14:textId="77777777" w:rsidR="00304E64" w:rsidRPr="00385759" w:rsidRDefault="00304E64" w:rsidP="00960B61">
      <w:pPr>
        <w:ind w:right="284"/>
        <w:jc w:val="center"/>
        <w:rPr>
          <w:rFonts w:ascii="Arial" w:hAnsi="Arial" w:cs="Arial"/>
        </w:rPr>
      </w:pPr>
      <w:r w:rsidRPr="00385759">
        <w:rPr>
          <w:rFonts w:ascii="Arial" w:eastAsia="Calibri" w:hAnsi="Arial" w:cs="Arial"/>
          <w:b/>
        </w:rPr>
        <w:t xml:space="preserve">EMINENTE DESEMBARGADOR </w:t>
      </w:r>
      <w:r w:rsidR="00E62D00">
        <w:rPr>
          <w:rFonts w:ascii="Arial" w:eastAsia="Calibri" w:hAnsi="Arial" w:cs="Arial"/>
          <w:b/>
        </w:rPr>
        <w:t>RELATOR</w:t>
      </w:r>
    </w:p>
    <w:p w14:paraId="1F53F61A" w14:textId="77777777" w:rsidR="00304E64" w:rsidRPr="009D6648" w:rsidRDefault="00304E64" w:rsidP="00960B61">
      <w:pPr>
        <w:pStyle w:val="Qualificao"/>
        <w:spacing w:before="0"/>
        <w:ind w:left="0" w:right="284"/>
        <w:jc w:val="center"/>
        <w:rPr>
          <w:rFonts w:eastAsia="Calibri"/>
          <w:b/>
          <w:sz w:val="16"/>
          <w:szCs w:val="16"/>
        </w:rPr>
      </w:pPr>
    </w:p>
    <w:p w14:paraId="7315115E" w14:textId="73AB2AAE" w:rsidR="00304E64" w:rsidRPr="00385759" w:rsidRDefault="00304E64" w:rsidP="00960B61">
      <w:pPr>
        <w:pStyle w:val="Qualificao"/>
        <w:spacing w:before="0"/>
        <w:ind w:left="0" w:right="284"/>
        <w:jc w:val="center"/>
        <w:rPr>
          <w:b/>
          <w:sz w:val="22"/>
        </w:rPr>
      </w:pPr>
      <w:r w:rsidRPr="006520B2">
        <w:rPr>
          <w:b/>
          <w:sz w:val="22"/>
        </w:rPr>
        <w:t xml:space="preserve">COLENDA </w:t>
      </w:r>
      <w:r w:rsidR="006520B2" w:rsidRPr="006520B2">
        <w:rPr>
          <w:b/>
          <w:sz w:val="22"/>
        </w:rPr>
        <w:t>TERCEIRA</w:t>
      </w:r>
      <w:r w:rsidRPr="006520B2">
        <w:rPr>
          <w:b/>
          <w:sz w:val="22"/>
        </w:rPr>
        <w:t xml:space="preserve"> CÂMARA DE DIREITO CIVIL</w:t>
      </w:r>
    </w:p>
    <w:p w14:paraId="0A483FC2" w14:textId="77777777" w:rsidR="000169F1" w:rsidRPr="00136102" w:rsidRDefault="000169F1" w:rsidP="00960B61">
      <w:pPr>
        <w:pStyle w:val="SemEspaamento"/>
        <w:numPr>
          <w:ilvl w:val="0"/>
          <w:numId w:val="0"/>
        </w:numPr>
        <w:jc w:val="center"/>
      </w:pPr>
    </w:p>
    <w:p w14:paraId="10C2ABA7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59ADE29" w14:textId="5BF9A2D6" w:rsidR="00FB6490" w:rsidRDefault="005F7664" w:rsidP="00304E64">
      <w:pPr>
        <w:pStyle w:val="SemEspaamento"/>
      </w:pPr>
      <w:r>
        <w:t xml:space="preserve">Ao ter negado o pedido de pensão alimentícia contra o espólio agravado, a recorrente interpôs o presente agravo de instrumento argumentando, em síntese, que </w:t>
      </w:r>
      <w:r w:rsidR="005E7C24">
        <w:t>a obrigação alimentar persistiria mesmo após o falecimento do instituidor da pensão</w:t>
      </w:r>
      <w:r w:rsidR="00FB6490">
        <w:t xml:space="preserve">, </w:t>
      </w:r>
      <w:r w:rsidR="00F24DA1">
        <w:t xml:space="preserve">bem como </w:t>
      </w:r>
      <w:r w:rsidR="00FB6490">
        <w:t>que deveria ser arcada até o final do processo de inventário judicial</w:t>
      </w:r>
      <w:r w:rsidR="008717C9">
        <w:t>.</w:t>
      </w:r>
    </w:p>
    <w:p w14:paraId="35704672" w14:textId="18DDBCC6" w:rsidR="00785AB6" w:rsidRDefault="00785AB6" w:rsidP="00785AB6">
      <w:pPr>
        <w:pStyle w:val="SemEspaamento"/>
      </w:pPr>
      <w:r>
        <w:t>Ocorre que, a</w:t>
      </w:r>
      <w:r>
        <w:t xml:space="preserve">o contrário do que sustenta a agravante, Excelência, os alimentos constituem obrigação personalíssima e, portanto, a regra é a de </w:t>
      </w:r>
      <w:r w:rsidRPr="00785AB6">
        <w:rPr>
          <w:b/>
          <w:bCs/>
        </w:rPr>
        <w:t xml:space="preserve">não transmissibilidade do dever jurídico </w:t>
      </w:r>
      <w:r>
        <w:t xml:space="preserve">de prestá-los a terceiros, pois </w:t>
      </w:r>
      <w:r w:rsidRPr="00785AB6">
        <w:rPr>
          <w:b/>
          <w:bCs/>
        </w:rPr>
        <w:t>a obrigação é</w:t>
      </w:r>
      <w:r>
        <w:t xml:space="preserve"> </w:t>
      </w:r>
      <w:r w:rsidRPr="00785AB6">
        <w:rPr>
          <w:b/>
          <w:bCs/>
        </w:rPr>
        <w:t>extinta o falecimento do alimentante</w:t>
      </w:r>
      <w:r>
        <w:t xml:space="preserve">, conforme entendimento já sedimentado pela Colenda Corte Superior </w:t>
      </w:r>
      <w:r w:rsidRPr="00DE5D1D">
        <w:rPr>
          <w:sz w:val="20"/>
          <w:szCs w:val="18"/>
        </w:rPr>
        <w:t>(STJ, REsp n. 1.130.742/DF, rel. Min. Luis Felipe Salomão, Quarta Turma, julgado em 4.12.2012)</w:t>
      </w:r>
      <w:r>
        <w:t>.</w:t>
      </w:r>
    </w:p>
    <w:p w14:paraId="2F4B6100" w14:textId="30190EE5" w:rsidR="00785AB6" w:rsidRDefault="00785AB6" w:rsidP="00785AB6">
      <w:pPr>
        <w:pStyle w:val="SemEspaamento"/>
      </w:pPr>
      <w:r>
        <w:t xml:space="preserve">Ora, apenas por essa razão, já </w:t>
      </w:r>
      <w:r>
        <w:t xml:space="preserve">é possível constatar o acerto da decisão agravada, tendo em vista a impossibilidade </w:t>
      </w:r>
      <w:r>
        <w:t>de fixação dos alimentos em face do espólio ora agravado</w:t>
      </w:r>
      <w:r>
        <w:t xml:space="preserve"> no presente caso</w:t>
      </w:r>
      <w:r>
        <w:t xml:space="preserve">, ainda mais quando não há comprovação de qualquer situação excepcionalíssima que pudesse recomendar a transmissibilidade da obrigação alimentar. </w:t>
      </w:r>
    </w:p>
    <w:p w14:paraId="79D511D1" w14:textId="77777777" w:rsidR="00785AB6" w:rsidRDefault="00785AB6" w:rsidP="00785AB6">
      <w:pPr>
        <w:pStyle w:val="SemEspaamento"/>
      </w:pPr>
      <w:r>
        <w:t>E é evidente que o falecimento do responsável pelos alimentos altera substancialmente o binômio possibilidade-necessidade, sobretudo por afetar a questão relativa ao auferimento de renda pelo alimentante, de forma a reforçar a impossibilidade de fixação de alimentos contra o espólio agravado.</w:t>
      </w:r>
    </w:p>
    <w:p w14:paraId="7E197070" w14:textId="77777777" w:rsidR="00785AB6" w:rsidRDefault="00785AB6" w:rsidP="00785AB6">
      <w:pPr>
        <w:pStyle w:val="SemEspaamento"/>
      </w:pPr>
      <w:r>
        <w:t xml:space="preserve">Mas não é só. </w:t>
      </w:r>
    </w:p>
    <w:p w14:paraId="30FB8016" w14:textId="77777777" w:rsidR="00785AB6" w:rsidRDefault="00785AB6" w:rsidP="00785AB6">
      <w:pPr>
        <w:pStyle w:val="SemEspaamento"/>
      </w:pPr>
      <w:r>
        <w:lastRenderedPageBreak/>
        <w:t xml:space="preserve">A agravante </w:t>
      </w:r>
      <w:r w:rsidRPr="004E53F2">
        <w:rPr>
          <w:b/>
          <w:bCs/>
        </w:rPr>
        <w:t>já</w:t>
      </w:r>
      <w:r>
        <w:t xml:space="preserve"> </w:t>
      </w:r>
      <w:r w:rsidRPr="004E53F2">
        <w:rPr>
          <w:b/>
          <w:bCs/>
        </w:rPr>
        <w:t>atingiu a maioridade civil</w:t>
      </w:r>
      <w:r>
        <w:t xml:space="preserve"> e, por consectário, possui plena capacidade laboral, de modo que </w:t>
      </w:r>
      <w:r w:rsidRPr="00D27A7F">
        <w:rPr>
          <w:b/>
          <w:bCs/>
        </w:rPr>
        <w:t>não se pode presumir a sua dependência econômica</w:t>
      </w:r>
      <w:r>
        <w:t xml:space="preserve">, o que já foi firmado, inclusive, pela Colenda Corte Superior </w:t>
      </w:r>
      <w:r w:rsidRPr="006F7A9F">
        <w:rPr>
          <w:sz w:val="20"/>
          <w:szCs w:val="18"/>
        </w:rPr>
        <w:t>(STJ, REsp n. 1.337.862/SP, Rel. Ministro Luis Felipe Salomão, Quarta Turma, julgado em 11.2.2014)</w:t>
      </w:r>
      <w:r>
        <w:t>, sendo outro fato que reforça a necessidade de rejeição do pedido de fixação de alimentos em face do espólio.</w:t>
      </w:r>
    </w:p>
    <w:p w14:paraId="3B6D8829" w14:textId="77777777" w:rsidR="00785AB6" w:rsidRDefault="00785AB6" w:rsidP="00785AB6">
      <w:pPr>
        <w:pStyle w:val="SemEspaamento"/>
      </w:pPr>
      <w:r>
        <w:t xml:space="preserve">No mais, o espólio agravado registra que a recorrente </w:t>
      </w:r>
      <w:r w:rsidRPr="00B608D5">
        <w:rPr>
          <w:u w:val="single"/>
        </w:rPr>
        <w:t>também</w:t>
      </w:r>
      <w:r>
        <w:t xml:space="preserve"> </w:t>
      </w:r>
      <w:r w:rsidRPr="00B608D5">
        <w:rPr>
          <w:u w:val="single"/>
        </w:rPr>
        <w:t>recebe</w:t>
      </w:r>
      <w:r>
        <w:t xml:space="preserve"> </w:t>
      </w:r>
      <w:r w:rsidRPr="00B608D5">
        <w:rPr>
          <w:u w:val="single"/>
        </w:rPr>
        <w:t>metade</w:t>
      </w:r>
      <w:r>
        <w:t xml:space="preserve"> </w:t>
      </w:r>
      <w:r w:rsidRPr="00B608D5">
        <w:rPr>
          <w:u w:val="single"/>
        </w:rPr>
        <w:t>da</w:t>
      </w:r>
      <w:r>
        <w:t xml:space="preserve"> </w:t>
      </w:r>
      <w:r w:rsidRPr="00B608D5">
        <w:rPr>
          <w:u w:val="single"/>
        </w:rPr>
        <w:t>aposentadoria</w:t>
      </w:r>
      <w:r>
        <w:t xml:space="preserve"> </w:t>
      </w:r>
      <w:r w:rsidRPr="00A43BC3">
        <w:rPr>
          <w:u w:val="single"/>
        </w:rPr>
        <w:t>do</w:t>
      </w:r>
      <w:r>
        <w:t xml:space="preserve"> </w:t>
      </w:r>
      <w:r w:rsidRPr="00A43BC3">
        <w:rPr>
          <w:u w:val="single"/>
        </w:rPr>
        <w:t>INSS</w:t>
      </w:r>
      <w:r>
        <w:t xml:space="preserve"> deixada pelo </w:t>
      </w:r>
      <w:r>
        <w:rPr>
          <w:i/>
          <w:iCs/>
        </w:rPr>
        <w:t>de cujus</w:t>
      </w:r>
      <w:r>
        <w:t>, o que, de fato, já constitui uma contribuição para o desenvolvimento de Valentina, que, vale registrar, também pode receber auxílio de sua genitora.</w:t>
      </w:r>
    </w:p>
    <w:p w14:paraId="740D6143" w14:textId="77777777" w:rsidR="00785AB6" w:rsidRDefault="00785AB6" w:rsidP="00785AB6">
      <w:pPr>
        <w:pStyle w:val="SemEspaamento"/>
      </w:pPr>
      <w:r>
        <w:t xml:space="preserve">E agravante ainda alega que, por ser acometida da doença de Crohn, isso lhe traria despesas que não seriam possíveis de suportar sem o prejuízo do sustento de seu núcleo familiar. </w:t>
      </w:r>
    </w:p>
    <w:p w14:paraId="40593569" w14:textId="77777777" w:rsidR="00785AB6" w:rsidRDefault="00785AB6" w:rsidP="00785AB6">
      <w:pPr>
        <w:pStyle w:val="SemEspaamento"/>
      </w:pPr>
      <w:r>
        <w:t>Ocorre, no entanto, que essa é uma doença inflamatória intestinal e não acarreta em invalidez ou fatalidade da pessoa acometida, que, na esmagadora maioria das vezes, mantém a sua vida de forma útil e produtiva, sem qualquer restrição significativa em seu dia a dia.</w:t>
      </w:r>
    </w:p>
    <w:p w14:paraId="3962D08A" w14:textId="77777777" w:rsidR="00785AB6" w:rsidRDefault="00785AB6" w:rsidP="00785AB6">
      <w:pPr>
        <w:pStyle w:val="SemEspaamento"/>
      </w:pPr>
      <w:r>
        <w:t>Portanto, além da ausência de gravidade substancial dessa condição, convém expor que a recorrente também não se desincumbiu do ônus de comprovar as suas eventuais limitações decorrentes dessa doença, razão pela qual essa suposta enfermidade não se mostra o suficiente para afastar a sua capacidade laboral e autorizar a concessão dos alimentos pleiteados.</w:t>
      </w:r>
    </w:p>
    <w:p w14:paraId="65D06FAA" w14:textId="61E75016" w:rsidR="00304E64" w:rsidRDefault="00785AB6" w:rsidP="00785AB6">
      <w:pPr>
        <w:pStyle w:val="SemEspaamento"/>
      </w:pPr>
      <w:r>
        <w:t xml:space="preserve">Assim, diante da inexistência de qualquer justificativa excepcional que autorize a imposição de obrigação alimentar contra o espólio após o falecimento do autor da herança, somado ao fato de que a agravante já atingiu a maioridade civil e possui plenas condições laborais, o </w:t>
      </w:r>
      <w:r w:rsidR="00F24DA1">
        <w:t xml:space="preserve">agravado confia no </w:t>
      </w:r>
      <w:r>
        <w:t>desprovimento do presente agravo de instrumento</w:t>
      </w:r>
      <w:r w:rsidR="00F24DA1">
        <w:t xml:space="preserve">, por ser </w:t>
      </w:r>
      <w:r>
        <w:t xml:space="preserve">medida </w:t>
      </w:r>
      <w:r w:rsidR="00440FED">
        <w:t>de Justiça</w:t>
      </w:r>
      <w:r>
        <w:t>.</w:t>
      </w:r>
    </w:p>
    <w:p w14:paraId="4DDEF787" w14:textId="77777777" w:rsidR="00304E64" w:rsidRDefault="00304E64" w:rsidP="00F24DA1">
      <w:pPr>
        <w:pStyle w:val="Ttulo2"/>
        <w:rPr>
          <w:rFonts w:eastAsia="Calibri"/>
        </w:rPr>
      </w:pPr>
    </w:p>
    <w:p w14:paraId="683FA6A7" w14:textId="03724784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70B24">
        <w:rPr>
          <w:rFonts w:ascii="Arial" w:eastAsia="Calibri" w:hAnsi="Arial" w:cs="Times New Roman"/>
          <w:noProof/>
          <w:sz w:val="24"/>
          <w:szCs w:val="24"/>
        </w:rPr>
        <w:t>14 de abril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CE9369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9E074EE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2F2B74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46E49C7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46114477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E9A3AE7" w14:textId="77777777" w:rsidR="00131BEB" w:rsidRPr="000169F1" w:rsidRDefault="00131BEB" w:rsidP="000169F1"/>
    <w:sectPr w:rsidR="00131BEB" w:rsidRPr="000169F1" w:rsidSect="00F96DE0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69061" w14:textId="77777777" w:rsidR="006520B2" w:rsidRDefault="006520B2" w:rsidP="00943258">
      <w:pPr>
        <w:spacing w:after="0" w:line="240" w:lineRule="auto"/>
      </w:pPr>
      <w:r>
        <w:separator/>
      </w:r>
    </w:p>
  </w:endnote>
  <w:endnote w:type="continuationSeparator" w:id="0">
    <w:p w14:paraId="37CD2C0B" w14:textId="77777777" w:rsidR="006520B2" w:rsidRDefault="006520B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6906242F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E85B0CE" wp14:editId="29DCA11C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BA71CE1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A870F" w14:textId="77777777" w:rsidR="006520B2" w:rsidRDefault="006520B2" w:rsidP="00943258">
      <w:pPr>
        <w:spacing w:after="0" w:line="240" w:lineRule="auto"/>
      </w:pPr>
      <w:r>
        <w:separator/>
      </w:r>
    </w:p>
  </w:footnote>
  <w:footnote w:type="continuationSeparator" w:id="0">
    <w:p w14:paraId="60471B97" w14:textId="77777777" w:rsidR="006520B2" w:rsidRDefault="006520B2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649D3" w14:textId="3BDA663E" w:rsidR="00131BEB" w:rsidRDefault="00FB3A3F" w:rsidP="00FB3A3F">
    <w:pPr>
      <w:pStyle w:val="Cabealho"/>
      <w:tabs>
        <w:tab w:val="clear" w:pos="4252"/>
        <w:tab w:val="clear" w:pos="8504"/>
        <w:tab w:val="left" w:pos="6932"/>
      </w:tabs>
    </w:pPr>
    <w:r>
      <w:tab/>
    </w:r>
  </w:p>
  <w:p w14:paraId="04DAE7B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CF72214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FE33CA0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B2"/>
    <w:rsid w:val="00003F31"/>
    <w:rsid w:val="000169F1"/>
    <w:rsid w:val="0004298B"/>
    <w:rsid w:val="00097661"/>
    <w:rsid w:val="000D228C"/>
    <w:rsid w:val="000D5A0E"/>
    <w:rsid w:val="000E5B45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04E64"/>
    <w:rsid w:val="0031046B"/>
    <w:rsid w:val="00377A2E"/>
    <w:rsid w:val="003801CD"/>
    <w:rsid w:val="003E46B9"/>
    <w:rsid w:val="00440FED"/>
    <w:rsid w:val="004949AD"/>
    <w:rsid w:val="004E53F2"/>
    <w:rsid w:val="004F2B78"/>
    <w:rsid w:val="004F384D"/>
    <w:rsid w:val="00501A18"/>
    <w:rsid w:val="005321DA"/>
    <w:rsid w:val="005B67EA"/>
    <w:rsid w:val="005E58E2"/>
    <w:rsid w:val="005E7C24"/>
    <w:rsid w:val="005F7664"/>
    <w:rsid w:val="006520B2"/>
    <w:rsid w:val="00673228"/>
    <w:rsid w:val="00693F8B"/>
    <w:rsid w:val="00696295"/>
    <w:rsid w:val="006C0DFC"/>
    <w:rsid w:val="00722DF5"/>
    <w:rsid w:val="00785AB6"/>
    <w:rsid w:val="00795616"/>
    <w:rsid w:val="00797900"/>
    <w:rsid w:val="007C36DB"/>
    <w:rsid w:val="00810D34"/>
    <w:rsid w:val="00870B24"/>
    <w:rsid w:val="008717C9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960B61"/>
    <w:rsid w:val="00A049FC"/>
    <w:rsid w:val="00A43BC3"/>
    <w:rsid w:val="00B14A81"/>
    <w:rsid w:val="00B6363E"/>
    <w:rsid w:val="00BA2544"/>
    <w:rsid w:val="00C03B4C"/>
    <w:rsid w:val="00C0456B"/>
    <w:rsid w:val="00CA321F"/>
    <w:rsid w:val="00CB5FC5"/>
    <w:rsid w:val="00D32740"/>
    <w:rsid w:val="00DE0162"/>
    <w:rsid w:val="00DE0552"/>
    <w:rsid w:val="00DF5478"/>
    <w:rsid w:val="00E05790"/>
    <w:rsid w:val="00E62D00"/>
    <w:rsid w:val="00E90F3C"/>
    <w:rsid w:val="00E968BB"/>
    <w:rsid w:val="00EB4346"/>
    <w:rsid w:val="00EE3903"/>
    <w:rsid w:val="00F11B2C"/>
    <w:rsid w:val="00F17E4E"/>
    <w:rsid w:val="00F22B73"/>
    <w:rsid w:val="00F24DA1"/>
    <w:rsid w:val="00F62AB2"/>
    <w:rsid w:val="00F96DE0"/>
    <w:rsid w:val="00FB3A3F"/>
    <w:rsid w:val="00FB6490"/>
    <w:rsid w:val="00FC2AB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BF0A7F"/>
  <w15:chartTrackingRefBased/>
  <w15:docId w15:val="{D3BFDCFB-0728-4BFE-AA6F-4B1B549E9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unhideWhenUsed/>
    <w:rsid w:val="006520B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520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16</TotalTime>
  <Pages>2</Pages>
  <Words>545</Words>
  <Characters>3183</Characters>
  <Application>Microsoft Office Word</Application>
  <DocSecurity>0</DocSecurity>
  <Lines>64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17</cp:revision>
  <cp:lastPrinted>2022-07-18T22:35:00Z</cp:lastPrinted>
  <dcterms:created xsi:type="dcterms:W3CDTF">2025-04-14T18:17:00Z</dcterms:created>
  <dcterms:modified xsi:type="dcterms:W3CDTF">2025-04-14T18:33:00Z</dcterms:modified>
</cp:coreProperties>
</file>