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13412" w14:textId="18B64287" w:rsidR="00134570" w:rsidRPr="00134570" w:rsidRDefault="00134570" w:rsidP="00304E64">
      <w:pPr>
        <w:spacing w:after="0" w:line="240" w:lineRule="auto"/>
        <w:contextualSpacing/>
        <w:jc w:val="both"/>
        <w:rPr>
          <w:rFonts w:ascii="Arial" w:eastAsia="Calibri" w:hAnsi="Arial" w:cs="Times New Roman"/>
          <w:i/>
          <w:iCs/>
          <w:sz w:val="12"/>
          <w:szCs w:val="12"/>
        </w:rPr>
      </w:pPr>
      <w:r w:rsidRPr="00134570">
        <w:rPr>
          <w:rFonts w:eastAsia="Calibri"/>
          <w:i/>
          <w:i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14F1C7" wp14:editId="715335F2">
                <wp:simplePos x="0" y="0"/>
                <wp:positionH relativeFrom="column">
                  <wp:posOffset>-109855</wp:posOffset>
                </wp:positionH>
                <wp:positionV relativeFrom="paragraph">
                  <wp:posOffset>42545</wp:posOffset>
                </wp:positionV>
                <wp:extent cx="3848100" cy="800100"/>
                <wp:effectExtent l="0" t="0" r="19050" b="19050"/>
                <wp:wrapNone/>
                <wp:docPr id="1322490275" name="Retângulo: Cantos Diagonai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48100" cy="800100"/>
                        </a:xfrm>
                        <a:prstGeom prst="round2DiagRect">
                          <a:avLst/>
                        </a:prstGeom>
                        <a:noFill/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79C432" id="Retângulo: Cantos Diagonais Arredondados 1" o:spid="_x0000_s1026" style="position:absolute;margin-left:-8.65pt;margin-top:3.35pt;width:303pt;height:6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848100,800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" path="m133353,l3848100,r,l3848100,666747v,73649,-59704,133353,-133353,133353l,800100r,l,133353c,59704,59704,,133353,xe" filled="f" strokecolor="#5b9bd5 [3208]" strokeweight="1pt">
                <v:stroke joinstyle="miter"/>
                <v:path arrowok="t" o:connecttype="custom" o:connectlocs="133353,0;3848100,0;3848100,0;3848100,666747;3714747,800100;0,800100;0,800100;0,133353;133353,0" o:connectangles="0,0,0,0,0,0,0,0,0"/>
              </v:shape>
            </w:pict>
          </mc:Fallback>
        </mc:AlternateContent>
      </w:r>
    </w:p>
    <w:p w14:paraId="7C95EB20" w14:textId="08FFC2A1" w:rsidR="00304E64" w:rsidRDefault="00134570" w:rsidP="00304E64">
      <w:pPr>
        <w:spacing w:after="0" w:line="240" w:lineRule="auto"/>
        <w:contextualSpacing/>
        <w:jc w:val="both"/>
        <w:rPr>
          <w:rFonts w:ascii="Arial" w:eastAsia="Calibri" w:hAnsi="Arial" w:cs="Times New Roman"/>
        </w:rPr>
      </w:pPr>
      <w:r>
        <w:rPr>
          <w:rFonts w:ascii="Arial" w:eastAsia="Calibri" w:hAnsi="Arial" w:cs="Times New Roman"/>
          <w:i/>
          <w:iCs/>
        </w:rPr>
        <w:t xml:space="preserve">Habeas corpus </w:t>
      </w:r>
      <w:r w:rsidR="00304E64" w:rsidRPr="00506D87">
        <w:rPr>
          <w:rFonts w:ascii="Arial" w:eastAsia="Calibri" w:hAnsi="Arial" w:cs="Times New Roman"/>
        </w:rPr>
        <w:t>n.</w:t>
      </w:r>
      <w:r w:rsidR="00304E64">
        <w:rPr>
          <w:rFonts w:ascii="Arial" w:eastAsia="Calibri" w:hAnsi="Arial" w:cs="Times New Roman"/>
        </w:rPr>
        <w:t xml:space="preserve"> </w:t>
      </w:r>
      <w:r w:rsidR="002A6EA1" w:rsidRPr="002A6EA1">
        <w:rPr>
          <w:rFonts w:ascii="Arial" w:eastAsia="Calibri" w:hAnsi="Arial" w:cs="Times New Roman"/>
        </w:rPr>
        <w:t>1</w:t>
      </w:r>
      <w:r w:rsidR="002A6EA1">
        <w:rPr>
          <w:rFonts w:ascii="Arial" w:eastAsia="Calibri" w:hAnsi="Arial" w:cs="Times New Roman"/>
        </w:rPr>
        <w:t>.</w:t>
      </w:r>
      <w:r w:rsidR="002A6EA1" w:rsidRPr="002A6EA1">
        <w:rPr>
          <w:rFonts w:ascii="Arial" w:eastAsia="Calibri" w:hAnsi="Arial" w:cs="Times New Roman"/>
        </w:rPr>
        <w:t>018</w:t>
      </w:r>
      <w:r w:rsidR="002A6EA1">
        <w:rPr>
          <w:rFonts w:ascii="Arial" w:eastAsia="Calibri" w:hAnsi="Arial" w:cs="Times New Roman"/>
        </w:rPr>
        <w:t>.</w:t>
      </w:r>
      <w:r w:rsidR="002A6EA1" w:rsidRPr="002A6EA1">
        <w:rPr>
          <w:rFonts w:ascii="Arial" w:eastAsia="Calibri" w:hAnsi="Arial" w:cs="Times New Roman"/>
        </w:rPr>
        <w:t>563/SC</w:t>
      </w:r>
    </w:p>
    <w:p w14:paraId="1E6A2369" w14:textId="5F97A7BC" w:rsidR="00304E64" w:rsidRDefault="00134570" w:rsidP="00304E64">
      <w:pPr>
        <w:spacing w:after="0" w:line="240" w:lineRule="auto"/>
        <w:contextualSpacing/>
        <w:jc w:val="both"/>
        <w:rPr>
          <w:rFonts w:ascii="Arial" w:eastAsia="Calibri" w:hAnsi="Arial" w:cs="Times New Roman"/>
        </w:rPr>
      </w:pPr>
      <w:r>
        <w:rPr>
          <w:rFonts w:ascii="Arial" w:eastAsia="Calibri" w:hAnsi="Arial" w:cs="Times New Roman"/>
        </w:rPr>
        <w:t>Paciente</w:t>
      </w:r>
      <w:r w:rsidR="00304E64">
        <w:rPr>
          <w:rFonts w:ascii="Arial" w:eastAsia="Calibri" w:hAnsi="Arial" w:cs="Times New Roman"/>
        </w:rPr>
        <w:t>:</w:t>
      </w:r>
      <w:r>
        <w:rPr>
          <w:rFonts w:ascii="Arial" w:eastAsia="Calibri" w:hAnsi="Arial" w:cs="Times New Roman"/>
        </w:rPr>
        <w:t xml:space="preserve"> </w:t>
      </w:r>
      <w:proofErr w:type="spellStart"/>
      <w:r>
        <w:rPr>
          <w:rFonts w:ascii="Arial" w:eastAsia="Calibri" w:hAnsi="Arial" w:cs="Times New Roman"/>
        </w:rPr>
        <w:t>Mayck</w:t>
      </w:r>
      <w:proofErr w:type="spellEnd"/>
      <w:r>
        <w:rPr>
          <w:rFonts w:ascii="Arial" w:eastAsia="Calibri" w:hAnsi="Arial" w:cs="Times New Roman"/>
        </w:rPr>
        <w:t xml:space="preserve"> Torres Mates</w:t>
      </w:r>
      <w:r w:rsidR="00304E64">
        <w:rPr>
          <w:rFonts w:ascii="Arial" w:eastAsia="Calibri" w:hAnsi="Arial" w:cs="Times New Roman"/>
        </w:rPr>
        <w:t xml:space="preserve"> </w:t>
      </w:r>
    </w:p>
    <w:p w14:paraId="68DD457D" w14:textId="61C2A63A" w:rsidR="00304E64" w:rsidRDefault="00134570" w:rsidP="00304E64">
      <w:pPr>
        <w:spacing w:after="0" w:line="240" w:lineRule="auto"/>
        <w:contextualSpacing/>
        <w:jc w:val="both"/>
        <w:rPr>
          <w:rFonts w:ascii="Arial" w:eastAsia="Calibri" w:hAnsi="Arial" w:cs="Times New Roman"/>
        </w:rPr>
      </w:pPr>
      <w:r>
        <w:rPr>
          <w:rFonts w:ascii="Arial" w:eastAsia="Calibri" w:hAnsi="Arial" w:cs="Times New Roman"/>
        </w:rPr>
        <w:t>Autoridade coatora</w:t>
      </w:r>
      <w:r w:rsidR="00304E64">
        <w:rPr>
          <w:rFonts w:ascii="Arial" w:eastAsia="Calibri" w:hAnsi="Arial" w:cs="Times New Roman"/>
        </w:rPr>
        <w:t xml:space="preserve">: </w:t>
      </w:r>
      <w:r>
        <w:rPr>
          <w:rFonts w:ascii="Arial" w:eastAsia="Calibri" w:hAnsi="Arial" w:cs="Times New Roman"/>
        </w:rPr>
        <w:t>Tribunal de Justiça de Santa Catarina</w:t>
      </w:r>
    </w:p>
    <w:p w14:paraId="0BBFBE28" w14:textId="1B29412E" w:rsidR="00304E64" w:rsidRDefault="00304E64" w:rsidP="00304E64">
      <w:pPr>
        <w:spacing w:after="0" w:line="240" w:lineRule="auto"/>
        <w:contextualSpacing/>
        <w:jc w:val="both"/>
        <w:rPr>
          <w:rFonts w:ascii="Arial" w:eastAsia="Calibri" w:hAnsi="Arial" w:cs="Times New Roman"/>
        </w:rPr>
      </w:pPr>
      <w:r w:rsidRPr="00E860A5">
        <w:rPr>
          <w:rFonts w:ascii="Arial" w:eastAsia="Calibri" w:hAnsi="Arial" w:cs="Times New Roman"/>
          <w:b/>
          <w:bCs/>
        </w:rPr>
        <w:t xml:space="preserve">Relator: </w:t>
      </w:r>
      <w:r w:rsidR="00134570">
        <w:rPr>
          <w:rFonts w:ascii="Arial" w:eastAsia="Calibri" w:hAnsi="Arial" w:cs="Times New Roman"/>
          <w:b/>
          <w:bCs/>
        </w:rPr>
        <w:t xml:space="preserve">Ministro </w:t>
      </w:r>
      <w:r w:rsidR="00134570" w:rsidRPr="00134570">
        <w:rPr>
          <w:rFonts w:ascii="Arial" w:eastAsia="Calibri" w:hAnsi="Arial" w:cs="Times New Roman"/>
          <w:b/>
          <w:bCs/>
        </w:rPr>
        <w:t>Sebastião Reis Júnior</w:t>
      </w:r>
    </w:p>
    <w:p w14:paraId="55EEADAA" w14:textId="7CA87947" w:rsidR="00304E64" w:rsidRDefault="00304E64" w:rsidP="00304E64">
      <w:pPr>
        <w:spacing w:after="0" w:line="240" w:lineRule="auto"/>
        <w:contextualSpacing/>
        <w:jc w:val="both"/>
        <w:rPr>
          <w:rFonts w:ascii="Arial" w:eastAsia="Calibri" w:hAnsi="Arial" w:cs="Times New Roman"/>
        </w:rPr>
      </w:pPr>
    </w:p>
    <w:p w14:paraId="6DA56B88" w14:textId="77777777" w:rsidR="00304E64" w:rsidRPr="00136102" w:rsidRDefault="00304E64" w:rsidP="003C74B8">
      <w:pPr>
        <w:pStyle w:val="Ttulo2"/>
        <w:ind w:left="0"/>
        <w:rPr>
          <w:rFonts w:eastAsia="Calibri"/>
        </w:rPr>
      </w:pPr>
    </w:p>
    <w:p w14:paraId="7E1B27A7" w14:textId="3584A651" w:rsidR="00304E64" w:rsidRPr="00385759" w:rsidRDefault="00304E64" w:rsidP="00304E64">
      <w:pPr>
        <w:pStyle w:val="Qualificao"/>
        <w:ind w:left="0" w:right="284"/>
        <w:jc w:val="center"/>
        <w:rPr>
          <w:b/>
          <w:sz w:val="22"/>
        </w:rPr>
      </w:pPr>
      <w:r>
        <w:rPr>
          <w:rFonts w:eastAsia="Calibri"/>
          <w:sz w:val="24"/>
          <w:szCs w:val="24"/>
        </w:rPr>
        <w:tab/>
      </w:r>
      <w:r w:rsidRPr="00385759">
        <w:rPr>
          <w:b/>
          <w:sz w:val="22"/>
        </w:rPr>
        <w:t xml:space="preserve">MEMORIAIS </w:t>
      </w:r>
      <w:r w:rsidR="00444C28">
        <w:rPr>
          <w:b/>
          <w:sz w:val="22"/>
        </w:rPr>
        <w:t>SOBRE</w:t>
      </w:r>
      <w:r w:rsidR="00134570">
        <w:rPr>
          <w:b/>
          <w:sz w:val="22"/>
        </w:rPr>
        <w:t xml:space="preserve"> </w:t>
      </w:r>
      <w:r w:rsidR="00444C28">
        <w:rPr>
          <w:b/>
          <w:sz w:val="22"/>
        </w:rPr>
        <w:t xml:space="preserve">A </w:t>
      </w:r>
      <w:r w:rsidR="00134570">
        <w:rPr>
          <w:b/>
          <w:sz w:val="22"/>
        </w:rPr>
        <w:t xml:space="preserve">LIMINAR PLEITEADA </w:t>
      </w:r>
      <w:r w:rsidRPr="00385759">
        <w:rPr>
          <w:b/>
          <w:sz w:val="22"/>
        </w:rPr>
        <w:t>PEL</w:t>
      </w:r>
      <w:r w:rsidR="00E62D00">
        <w:rPr>
          <w:b/>
          <w:sz w:val="22"/>
        </w:rPr>
        <w:t>O</w:t>
      </w:r>
      <w:r>
        <w:rPr>
          <w:b/>
          <w:sz w:val="22"/>
        </w:rPr>
        <w:t xml:space="preserve"> APELANTE </w:t>
      </w:r>
    </w:p>
    <w:p w14:paraId="72CD3D8E" w14:textId="77777777" w:rsidR="00304E64" w:rsidRPr="00D538EF" w:rsidRDefault="00304E64" w:rsidP="00D538EF">
      <w:pPr>
        <w:pStyle w:val="SemEspaamento"/>
        <w:numPr>
          <w:ilvl w:val="0"/>
          <w:numId w:val="0"/>
        </w:numPr>
        <w:ind w:left="1701"/>
      </w:pPr>
    </w:p>
    <w:p w14:paraId="46BF7595" w14:textId="386E8C1A" w:rsidR="00304E64" w:rsidRPr="00385759" w:rsidRDefault="00304E64" w:rsidP="00304E64">
      <w:pPr>
        <w:ind w:right="284"/>
        <w:jc w:val="center"/>
        <w:rPr>
          <w:rFonts w:ascii="Arial" w:hAnsi="Arial" w:cs="Arial"/>
        </w:rPr>
      </w:pPr>
      <w:r w:rsidRPr="00385759">
        <w:rPr>
          <w:rFonts w:ascii="Arial" w:eastAsia="Calibri" w:hAnsi="Arial" w:cs="Arial"/>
          <w:b/>
        </w:rPr>
        <w:t xml:space="preserve">EMINENTE </w:t>
      </w:r>
      <w:r w:rsidR="00134570">
        <w:rPr>
          <w:rFonts w:ascii="Arial" w:eastAsia="Calibri" w:hAnsi="Arial" w:cs="Arial"/>
          <w:b/>
        </w:rPr>
        <w:t xml:space="preserve">MINISTRO </w:t>
      </w:r>
      <w:r w:rsidR="00D538EF">
        <w:rPr>
          <w:rFonts w:ascii="Arial" w:eastAsia="Calibri" w:hAnsi="Arial" w:cs="Arial"/>
          <w:b/>
        </w:rPr>
        <w:t>PRESIDENTE DO</w:t>
      </w:r>
      <w:r w:rsidR="00B871D1">
        <w:rPr>
          <w:rFonts w:ascii="Arial" w:eastAsia="Calibri" w:hAnsi="Arial" w:cs="Arial"/>
          <w:b/>
        </w:rPr>
        <w:t xml:space="preserve"> EGRÉGIO</w:t>
      </w:r>
    </w:p>
    <w:p w14:paraId="3A0EBEDA" w14:textId="77777777" w:rsidR="00304E64" w:rsidRPr="009D6648" w:rsidRDefault="00304E64" w:rsidP="00304E64">
      <w:pPr>
        <w:pStyle w:val="Qualificao"/>
        <w:spacing w:before="0"/>
        <w:ind w:left="0" w:right="284"/>
        <w:rPr>
          <w:rFonts w:eastAsia="Calibri"/>
          <w:b/>
          <w:sz w:val="16"/>
          <w:szCs w:val="16"/>
        </w:rPr>
      </w:pPr>
    </w:p>
    <w:p w14:paraId="62BC9659" w14:textId="10BFD597" w:rsidR="00304E64" w:rsidRPr="00385759" w:rsidRDefault="00D538EF" w:rsidP="00304E64">
      <w:pPr>
        <w:pStyle w:val="Qualificao"/>
        <w:spacing w:before="0"/>
        <w:ind w:left="0" w:right="284"/>
        <w:jc w:val="center"/>
        <w:rPr>
          <w:b/>
          <w:sz w:val="22"/>
        </w:rPr>
      </w:pPr>
      <w:r>
        <w:rPr>
          <w:b/>
          <w:sz w:val="22"/>
        </w:rPr>
        <w:t xml:space="preserve">SUPERIOR TRIBUNAL DE JUSTIÇA </w:t>
      </w:r>
    </w:p>
    <w:p w14:paraId="02C2D16F" w14:textId="77777777" w:rsidR="000169F1" w:rsidRDefault="000169F1" w:rsidP="00D538EF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6E94966" w14:textId="2D760F59" w:rsidR="00304E64" w:rsidRDefault="00444C28" w:rsidP="00444C28">
      <w:pPr>
        <w:pStyle w:val="SemEspaamento"/>
      </w:pPr>
      <w:r>
        <w:t>Em sede de apelação, o ato coator aumentou a condenação imposta ao paciente e lhe impôs a</w:t>
      </w:r>
      <w:r w:rsidR="00134570">
        <w:t xml:space="preserve"> pena de 8 </w:t>
      </w:r>
      <w:r w:rsidR="00134570" w:rsidRPr="000C68E4">
        <w:rPr>
          <w:sz w:val="20"/>
          <w:szCs w:val="18"/>
        </w:rPr>
        <w:t>(oito)</w:t>
      </w:r>
      <w:r w:rsidR="00134570">
        <w:t xml:space="preserve"> anos, 11 </w:t>
      </w:r>
      <w:r w:rsidR="00134570" w:rsidRPr="000C68E4">
        <w:rPr>
          <w:sz w:val="20"/>
          <w:szCs w:val="18"/>
        </w:rPr>
        <w:t>(onze)</w:t>
      </w:r>
      <w:r w:rsidR="00134570">
        <w:t xml:space="preserve"> meses e 10 </w:t>
      </w:r>
      <w:r w:rsidR="00134570" w:rsidRPr="000C68E4">
        <w:rPr>
          <w:sz w:val="20"/>
          <w:szCs w:val="18"/>
        </w:rPr>
        <w:t>(dez)</w:t>
      </w:r>
      <w:r w:rsidR="00134570">
        <w:t xml:space="preserve"> dias </w:t>
      </w:r>
      <w:r>
        <w:t xml:space="preserve">de reclusão </w:t>
      </w:r>
      <w:r w:rsidR="00134570">
        <w:t xml:space="preserve">pelos delitos previstos no art. 33, </w:t>
      </w:r>
      <w:r w:rsidR="00134570" w:rsidRPr="00444C28">
        <w:rPr>
          <w:i/>
          <w:iCs/>
        </w:rPr>
        <w:t>caput</w:t>
      </w:r>
      <w:r w:rsidR="00134570">
        <w:t xml:space="preserve">, da Lei n. 11.343/06 e </w:t>
      </w:r>
      <w:r>
        <w:t xml:space="preserve">art. 15 da Lei n. 10.826/03, além de detenção 9 </w:t>
      </w:r>
      <w:r w:rsidRPr="000C68E4">
        <w:rPr>
          <w:sz w:val="20"/>
          <w:szCs w:val="18"/>
        </w:rPr>
        <w:t>(nove)</w:t>
      </w:r>
      <w:r>
        <w:t xml:space="preserve"> meses e 5 </w:t>
      </w:r>
      <w:r w:rsidRPr="000C68E4">
        <w:rPr>
          <w:sz w:val="20"/>
          <w:szCs w:val="18"/>
        </w:rPr>
        <w:t>(cinco)</w:t>
      </w:r>
      <w:r>
        <w:t xml:space="preserve"> dias pelos crimes descritos no </w:t>
      </w:r>
      <w:r w:rsidRPr="00444C28">
        <w:t>art. 311 do CTB, art. 147 do CP e art. 12 da Lei n.</w:t>
      </w:r>
      <w:r>
        <w:t xml:space="preserve"> </w:t>
      </w:r>
      <w:r w:rsidRPr="00444C28">
        <w:t>10.826/03</w:t>
      </w:r>
      <w:r w:rsidR="000C68E4">
        <w:t xml:space="preserve"> </w:t>
      </w:r>
      <w:r w:rsidR="000C68E4" w:rsidRPr="000C68E4">
        <w:rPr>
          <w:sz w:val="20"/>
          <w:szCs w:val="18"/>
        </w:rPr>
        <w:t>(fls. 19/29)</w:t>
      </w:r>
      <w:r>
        <w:t>.</w:t>
      </w:r>
    </w:p>
    <w:p w14:paraId="6D89CD00" w14:textId="652348EB" w:rsidR="00444C28" w:rsidRDefault="00444C28" w:rsidP="00304E64">
      <w:pPr>
        <w:pStyle w:val="SemEspaamento"/>
      </w:pPr>
      <w:r w:rsidRPr="00444C28">
        <w:t xml:space="preserve">Ocorre, no entanto, que a condenação pelos crimes de posse ilegal de arma de fogo, disparo de arma de fogo, direção perigosa em veículo automotor e ameaça estão fundamentados </w:t>
      </w:r>
      <w:r>
        <w:t xml:space="preserve">essencialmente </w:t>
      </w:r>
      <w:r w:rsidRPr="00444C28">
        <w:t xml:space="preserve">nos depoimentos de policiais, que </w:t>
      </w:r>
      <w:r w:rsidRPr="00444C28">
        <w:rPr>
          <w:b/>
          <w:bCs/>
        </w:rPr>
        <w:t>portavam câmeras corporais, mas simplesmente optaram por desligá-las e NÃO GRAVAR a ocorrência</w:t>
      </w:r>
      <w:r w:rsidRPr="00444C28">
        <w:t xml:space="preserve"> </w:t>
      </w:r>
      <w:r w:rsidRPr="00444C28">
        <w:rPr>
          <w:sz w:val="20"/>
          <w:szCs w:val="18"/>
        </w:rPr>
        <w:t>(evento 150, VIDEO2 e VIDEO3 – 1º grau)</w:t>
      </w:r>
      <w:r w:rsidRPr="00444C28">
        <w:t>,</w:t>
      </w:r>
      <w:r>
        <w:t xml:space="preserve"> de modo que o seu relato não pode ser considerado para fins de condenação, o que demonstra o constrangimento ilegal a que está sendo submetido o paciente.</w:t>
      </w:r>
    </w:p>
    <w:p w14:paraId="526597CF" w14:textId="6A4D0B1D" w:rsidR="00FA3409" w:rsidRDefault="00FA3409" w:rsidP="00304E64">
      <w:pPr>
        <w:pStyle w:val="SemEspaamento"/>
      </w:pPr>
      <w:r>
        <w:t xml:space="preserve">Essa tese, aliás, foi deduzida pelo paciente nas razões de apelação, fundamentada em entendimento dessa Colenda Corte Superior sobre caso muito similar ao dos autos </w:t>
      </w:r>
      <w:r w:rsidRPr="00FA3409">
        <w:rPr>
          <w:sz w:val="20"/>
          <w:szCs w:val="18"/>
        </w:rPr>
        <w:t>(</w:t>
      </w:r>
      <w:r w:rsidRPr="00FA3409">
        <w:rPr>
          <w:i/>
          <w:iCs/>
          <w:sz w:val="20"/>
          <w:szCs w:val="18"/>
        </w:rPr>
        <w:t xml:space="preserve">vide </w:t>
      </w:r>
      <w:r w:rsidRPr="00FA3409">
        <w:rPr>
          <w:sz w:val="20"/>
          <w:szCs w:val="18"/>
        </w:rPr>
        <w:t>HC n. 841.939/MG)</w:t>
      </w:r>
      <w:r>
        <w:t>, mas não foi devidamente enfrentada pelo ato coator.</w:t>
      </w:r>
    </w:p>
    <w:p w14:paraId="7AE15648" w14:textId="1391909D" w:rsidR="00444C28" w:rsidRDefault="00444C28" w:rsidP="00304E64">
      <w:pPr>
        <w:pStyle w:val="SemEspaamento"/>
      </w:pPr>
      <w:r>
        <w:t>Mas não é só.</w:t>
      </w:r>
    </w:p>
    <w:p w14:paraId="6C60C330" w14:textId="0B81B2DD" w:rsidR="00444C28" w:rsidRDefault="00444C28" w:rsidP="00304E64">
      <w:pPr>
        <w:pStyle w:val="SemEspaamento"/>
      </w:pPr>
      <w:r>
        <w:t xml:space="preserve">No caso vertente, também foi realizada busca e apreensão na casa do paciente, </w:t>
      </w:r>
      <w:r w:rsidR="00F8703E">
        <w:t xml:space="preserve">de forma flagrantemente ilegal, </w:t>
      </w:r>
      <w:r>
        <w:t>após a sua prisão</w:t>
      </w:r>
      <w:r w:rsidR="00F8703E">
        <w:t xml:space="preserve"> em local ermo</w:t>
      </w:r>
      <w:r>
        <w:t xml:space="preserve">, sobretudo porque não havia </w:t>
      </w:r>
      <w:r w:rsidR="00FA3409">
        <w:t xml:space="preserve">qualquer </w:t>
      </w:r>
      <w:r>
        <w:t xml:space="preserve">justificativa idônea ou decisão judicial </w:t>
      </w:r>
      <w:r w:rsidR="00FA3409">
        <w:t xml:space="preserve">que autorizasse </w:t>
      </w:r>
      <w:r>
        <w:t xml:space="preserve">o ingresso em seu domicílio. </w:t>
      </w:r>
    </w:p>
    <w:p w14:paraId="4524DF5D" w14:textId="62EB2F58" w:rsidR="00444C28" w:rsidRDefault="00444C28" w:rsidP="00304E64">
      <w:pPr>
        <w:pStyle w:val="SemEspaamento"/>
      </w:pPr>
      <w:r w:rsidRPr="00FA3409">
        <w:t xml:space="preserve">E isso é constatado pelo fato de que toda a argumentação utilizada pelo ato coator é pautada </w:t>
      </w:r>
      <w:r w:rsidRPr="00FA3409">
        <w:rPr>
          <w:b/>
          <w:bCs/>
        </w:rPr>
        <w:t>somente na palavra dos policiais</w:t>
      </w:r>
      <w:r w:rsidRPr="00FA3409">
        <w:t xml:space="preserve">, que alegam que já tinham informações </w:t>
      </w:r>
      <w:r w:rsidRPr="00FA3409">
        <w:rPr>
          <w:sz w:val="22"/>
          <w:szCs w:val="20"/>
        </w:rPr>
        <w:t>– não documentadas nos autos –</w:t>
      </w:r>
      <w:r w:rsidRPr="00FA3409">
        <w:t xml:space="preserve"> da prática de crime pelo </w:t>
      </w:r>
      <w:r w:rsidRPr="00FA3409">
        <w:lastRenderedPageBreak/>
        <w:t>paciente e que o próprio paciente teria ameaçado os policiais, além de terem dito que ele teria arma de fogo em sua residência</w:t>
      </w:r>
      <w:r w:rsidR="00FA3409">
        <w:t xml:space="preserve"> e</w:t>
      </w:r>
      <w:r w:rsidRPr="00FA3409">
        <w:t xml:space="preserve"> </w:t>
      </w:r>
      <w:r w:rsidR="00FA3409">
        <w:t>por</w:t>
      </w:r>
      <w:r w:rsidRPr="00FA3409">
        <w:t xml:space="preserve">que teria sido apreendido droga </w:t>
      </w:r>
      <w:r w:rsidRPr="00FA3409">
        <w:rPr>
          <w:sz w:val="20"/>
          <w:szCs w:val="18"/>
        </w:rPr>
        <w:t>(cocaína)</w:t>
      </w:r>
      <w:r w:rsidRPr="00FA3409">
        <w:t xml:space="preserve"> atribuída ao paciente</w:t>
      </w:r>
      <w:r w:rsidR="00FA3409">
        <w:t>.</w:t>
      </w:r>
    </w:p>
    <w:p w14:paraId="5E172CE3" w14:textId="331E2038" w:rsidR="00FA3409" w:rsidRDefault="00FA3409" w:rsidP="00304E64">
      <w:pPr>
        <w:pStyle w:val="SemEspaamento"/>
      </w:pPr>
      <w:r>
        <w:t>Contudo, como dito, o ato coator,</w:t>
      </w:r>
      <w:r w:rsidRPr="00FA3409">
        <w:t xml:space="preserve"> </w:t>
      </w:r>
      <w:r>
        <w:t>no afã de validar essa diligência ilegal, ignorou a tese defensiva de que o relato dos policiais não constituem justificativa idônea para entrar na residência do paciente, sobretudo a partir do momento em que os policiais optam por desligar as câmeras policiais, ligando-as somente ao final da ocorrência, no momento da busca e apreensão realizada, restando caracterizada a violação ilegal de domicílio.</w:t>
      </w:r>
    </w:p>
    <w:p w14:paraId="7B866FB0" w14:textId="77777777" w:rsidR="00972FA4" w:rsidRDefault="00FA3409" w:rsidP="00FA3409">
      <w:pPr>
        <w:pStyle w:val="SemEspaamento"/>
      </w:pPr>
      <w:r>
        <w:t xml:space="preserve">E a condenação do paciente aos delitos de posse ilegal de arma de fogo </w:t>
      </w:r>
      <w:r w:rsidRPr="00FA3409">
        <w:rPr>
          <w:sz w:val="20"/>
          <w:szCs w:val="18"/>
        </w:rPr>
        <w:t>(art. 12 da Lei n. 10.826/03)</w:t>
      </w:r>
      <w:r>
        <w:t xml:space="preserve">, com base na busca e apreensão realizada de forma ilegal, </w:t>
      </w:r>
      <w:r w:rsidR="000C68E4">
        <w:t>assim como aos</w:t>
      </w:r>
      <w:r w:rsidR="00F8703E">
        <w:t xml:space="preserve"> crimes</w:t>
      </w:r>
      <w:r w:rsidR="000C68E4">
        <w:t xml:space="preserve"> </w:t>
      </w:r>
      <w:r>
        <w:t xml:space="preserve">de disparo de arma de fogo </w:t>
      </w:r>
      <w:r w:rsidRPr="000C68E4">
        <w:rPr>
          <w:sz w:val="20"/>
          <w:szCs w:val="18"/>
        </w:rPr>
        <w:t>(art. 15 da Lei n. 10.826/03)</w:t>
      </w:r>
      <w:r>
        <w:t xml:space="preserve">, direção perigosa em veículo automotor </w:t>
      </w:r>
      <w:r w:rsidRPr="000C68E4">
        <w:rPr>
          <w:sz w:val="20"/>
          <w:szCs w:val="18"/>
        </w:rPr>
        <w:t>(art. 311 do CTB)</w:t>
      </w:r>
      <w:r>
        <w:t xml:space="preserve"> e ameaça </w:t>
      </w:r>
      <w:r w:rsidRPr="000C68E4">
        <w:rPr>
          <w:sz w:val="20"/>
          <w:szCs w:val="18"/>
        </w:rPr>
        <w:t>(art. 147 do CP)</w:t>
      </w:r>
      <w:r w:rsidR="000C68E4">
        <w:t>, que</w:t>
      </w:r>
      <w:r>
        <w:t xml:space="preserve"> estão fundamentados nos depoimentos dos policiais</w:t>
      </w:r>
      <w:r w:rsidR="00F8703E">
        <w:t xml:space="preserve"> e, repita-se,</w:t>
      </w:r>
      <w:r>
        <w:t xml:space="preserve"> tinham os meios para gravar a ocorrência</w:t>
      </w:r>
      <w:r w:rsidR="00F8703E">
        <w:t>,</w:t>
      </w:r>
      <w:r>
        <w:t xml:space="preserve"> mas optaram por desligar as câmeras corporais,</w:t>
      </w:r>
      <w:r w:rsidR="000C68E4">
        <w:t xml:space="preserve"> </w:t>
      </w:r>
      <w:r w:rsidR="000C68E4">
        <w:rPr>
          <w:b/>
          <w:bCs/>
        </w:rPr>
        <w:t xml:space="preserve">bem demonstram </w:t>
      </w:r>
      <w:r w:rsidRPr="002D34DE">
        <w:rPr>
          <w:b/>
          <w:bCs/>
        </w:rPr>
        <w:t xml:space="preserve">a existência de </w:t>
      </w:r>
      <w:r w:rsidRPr="002D34DE">
        <w:rPr>
          <w:b/>
          <w:bCs/>
          <w:i/>
          <w:iCs/>
        </w:rPr>
        <w:t xml:space="preserve">fumus boni juris </w:t>
      </w:r>
      <w:r>
        <w:t>no presente caso.</w:t>
      </w:r>
      <w:r w:rsidR="00972FA4">
        <w:t xml:space="preserve"> </w:t>
      </w:r>
    </w:p>
    <w:p w14:paraId="7324DF4B" w14:textId="30FD0065" w:rsidR="001F2959" w:rsidRDefault="00972FA4" w:rsidP="00FA3409">
      <w:pPr>
        <w:pStyle w:val="SemEspaamento"/>
      </w:pPr>
      <w:r>
        <w:t>Quanto ao crime de disparo de arma de fogo, aliás, é preciso registrar que não foi encontrada nenhuma arma que teria efetuado o alegado disparo nem projetil ou cápsula</w:t>
      </w:r>
      <w:r w:rsidR="001F2959">
        <w:t xml:space="preserve"> da munição, o que evidencia a total a falta de materialidade do delito pelo qual o paciente foi condenado e reforça a presença do </w:t>
      </w:r>
      <w:r w:rsidR="001F2959">
        <w:rPr>
          <w:i/>
          <w:iCs/>
        </w:rPr>
        <w:t>fumus boni juris</w:t>
      </w:r>
      <w:r w:rsidR="001F2959">
        <w:t xml:space="preserve"> no caso.</w:t>
      </w:r>
    </w:p>
    <w:p w14:paraId="7B9C88C8" w14:textId="73059031" w:rsidR="00FA3409" w:rsidRDefault="001F2959" w:rsidP="00CD5ED5">
      <w:pPr>
        <w:pStyle w:val="SemEspaamento"/>
      </w:pPr>
      <w:r>
        <w:t xml:space="preserve">Não fosse isso o suficiente, </w:t>
      </w:r>
      <w:r w:rsidR="00CD5ED5">
        <w:t>outro</w:t>
      </w:r>
      <w:r w:rsidR="00D87C60">
        <w:t xml:space="preserve"> ponto </w:t>
      </w:r>
      <w:r w:rsidR="00CD5ED5">
        <w:t xml:space="preserve">que confere maior robustez ao </w:t>
      </w:r>
      <w:r w:rsidR="00CD5ED5">
        <w:rPr>
          <w:i/>
          <w:iCs/>
        </w:rPr>
        <w:t>fumus boni juris</w:t>
      </w:r>
      <w:r w:rsidR="00D87C60">
        <w:t>,</w:t>
      </w:r>
      <w:r w:rsidR="00CD5ED5">
        <w:t xml:space="preserve"> já </w:t>
      </w:r>
      <w:r w:rsidR="007506BD">
        <w:t xml:space="preserve">amplamente </w:t>
      </w:r>
      <w:r w:rsidR="00CD5ED5">
        <w:t>demonstrado</w:t>
      </w:r>
      <w:r w:rsidR="00D87C60">
        <w:t>,</w:t>
      </w:r>
      <w:r w:rsidR="00CD5ED5">
        <w:t xml:space="preserve"> diz respe</w:t>
      </w:r>
      <w:r w:rsidR="00D87C60">
        <w:t xml:space="preserve">ito ao fato de que </w:t>
      </w:r>
      <w:r w:rsidRPr="00681375">
        <w:rPr>
          <w:b/>
          <w:bCs/>
        </w:rPr>
        <w:t xml:space="preserve">o próprio paciente negou </w:t>
      </w:r>
      <w:r w:rsidR="00CD5ED5" w:rsidRPr="00681375">
        <w:rPr>
          <w:b/>
          <w:bCs/>
        </w:rPr>
        <w:t xml:space="preserve">que fez </w:t>
      </w:r>
      <w:r w:rsidRPr="00681375">
        <w:rPr>
          <w:b/>
          <w:bCs/>
        </w:rPr>
        <w:t>o disparo</w:t>
      </w:r>
      <w:r>
        <w:t xml:space="preserve"> </w:t>
      </w:r>
      <w:r w:rsidRPr="00681375">
        <w:rPr>
          <w:b/>
          <w:bCs/>
        </w:rPr>
        <w:t>e</w:t>
      </w:r>
      <w:r>
        <w:t xml:space="preserve">, mais, </w:t>
      </w:r>
      <w:r w:rsidR="00CD5ED5">
        <w:t xml:space="preserve">para comprovar a sua afirmação, </w:t>
      </w:r>
      <w:r w:rsidR="00CD5ED5" w:rsidRPr="00681375">
        <w:rPr>
          <w:b/>
          <w:bCs/>
        </w:rPr>
        <w:t>solicitou a realização do</w:t>
      </w:r>
      <w:r w:rsidR="00CD5ED5">
        <w:t xml:space="preserve"> </w:t>
      </w:r>
      <w:r w:rsidR="00CD5ED5" w:rsidRPr="006C3875">
        <w:rPr>
          <w:b/>
          <w:bCs/>
          <w:u w:val="single"/>
        </w:rPr>
        <w:t>exame</w:t>
      </w:r>
      <w:r w:rsidR="00CD5ED5" w:rsidRPr="006C3875">
        <w:rPr>
          <w:b/>
          <w:bCs/>
        </w:rPr>
        <w:t xml:space="preserve"> </w:t>
      </w:r>
      <w:r w:rsidR="00CD5ED5" w:rsidRPr="006C3875">
        <w:rPr>
          <w:b/>
          <w:bCs/>
          <w:u w:val="single"/>
        </w:rPr>
        <w:t>residuográfico</w:t>
      </w:r>
      <w:r w:rsidR="007506BD">
        <w:rPr>
          <w:b/>
          <w:bCs/>
        </w:rPr>
        <w:t xml:space="preserve">, </w:t>
      </w:r>
      <w:r w:rsidR="00CD5ED5" w:rsidRPr="006C3875">
        <w:rPr>
          <w:b/>
          <w:bCs/>
        </w:rPr>
        <w:t xml:space="preserve">para </w:t>
      </w:r>
      <w:r w:rsidR="00CD5ED5">
        <w:rPr>
          <w:b/>
          <w:bCs/>
        </w:rPr>
        <w:t xml:space="preserve">afastar qualquer dúvida de </w:t>
      </w:r>
      <w:r w:rsidR="00CD5ED5" w:rsidRPr="006C3875">
        <w:rPr>
          <w:b/>
          <w:bCs/>
        </w:rPr>
        <w:t>que o não efetuou disparo</w:t>
      </w:r>
      <w:r w:rsidR="00CD5ED5" w:rsidRPr="00D01380">
        <w:rPr>
          <w:b/>
          <w:bCs/>
        </w:rPr>
        <w:t xml:space="preserve">, o que foi deferido, mas não foi realizado pela Polícia Científica </w:t>
      </w:r>
      <w:r w:rsidR="00CD5ED5">
        <w:t xml:space="preserve">de Santa Catarina por conta da Ordem de Serviço n. 1/23/PCI/IAF/DIR </w:t>
      </w:r>
      <w:r w:rsidR="00CD5ED5" w:rsidRPr="006547C1">
        <w:rPr>
          <w:sz w:val="20"/>
          <w:szCs w:val="18"/>
        </w:rPr>
        <w:t>(evento 42 do IP correlato</w:t>
      </w:r>
      <w:r w:rsidR="00CD5ED5">
        <w:rPr>
          <w:sz w:val="20"/>
          <w:szCs w:val="18"/>
        </w:rPr>
        <w:t xml:space="preserve"> – </w:t>
      </w:r>
      <w:r w:rsidR="00CD5ED5">
        <w:rPr>
          <w:b/>
          <w:bCs/>
          <w:sz w:val="20"/>
          <w:szCs w:val="18"/>
        </w:rPr>
        <w:t>doc. 7</w:t>
      </w:r>
      <w:r w:rsidR="00CD5ED5">
        <w:rPr>
          <w:sz w:val="20"/>
          <w:szCs w:val="18"/>
        </w:rPr>
        <w:t xml:space="preserve"> do </w:t>
      </w:r>
      <w:r w:rsidR="00CD5ED5">
        <w:rPr>
          <w:i/>
          <w:iCs/>
          <w:sz w:val="20"/>
          <w:szCs w:val="18"/>
        </w:rPr>
        <w:t>habeas corpus</w:t>
      </w:r>
      <w:r w:rsidR="00CD5ED5" w:rsidRPr="006547C1">
        <w:rPr>
          <w:sz w:val="20"/>
          <w:szCs w:val="18"/>
        </w:rPr>
        <w:t>)</w:t>
      </w:r>
      <w:r w:rsidR="00CD5ED5">
        <w:t>.</w:t>
      </w:r>
    </w:p>
    <w:p w14:paraId="035FB55B" w14:textId="79B76D1E" w:rsidR="000C68E4" w:rsidRDefault="000C68E4" w:rsidP="00304E64">
      <w:pPr>
        <w:pStyle w:val="SemEspaamento"/>
      </w:pPr>
      <w:r>
        <w:t xml:space="preserve">O </w:t>
      </w:r>
      <w:r w:rsidRPr="000C68E4">
        <w:rPr>
          <w:b/>
          <w:bCs/>
          <w:i/>
          <w:iCs/>
        </w:rPr>
        <w:t>periculum in mora</w:t>
      </w:r>
      <w:r>
        <w:t xml:space="preserve">, por sua vez, decorre do fato de que paciente já está preso preventivamente há mais de 2 </w:t>
      </w:r>
      <w:r w:rsidRPr="000C68E4">
        <w:rPr>
          <w:sz w:val="20"/>
          <w:szCs w:val="18"/>
        </w:rPr>
        <w:t>(dois)</w:t>
      </w:r>
      <w:r>
        <w:t xml:space="preserve"> anos </w:t>
      </w:r>
      <w:r w:rsidRPr="000C68E4">
        <w:rPr>
          <w:sz w:val="20"/>
          <w:szCs w:val="18"/>
        </w:rPr>
        <w:t>(desde 13.4.2023 – evento 1 do IP)</w:t>
      </w:r>
      <w:r>
        <w:t>, além da evidência de que, diante das condenações indevidas</w:t>
      </w:r>
      <w:r w:rsidRPr="000C68E4">
        <w:t xml:space="preserve"> </w:t>
      </w:r>
      <w:r>
        <w:t xml:space="preserve">somente pelo relato dos policiais e pela busca e apreensão ilegal realizada, provavelmente está </w:t>
      </w:r>
      <w:r w:rsidRPr="0045348B">
        <w:rPr>
          <w:b/>
          <w:bCs/>
        </w:rPr>
        <w:t>cumprindo pena excessiva em regime fechado, deixando de progredir de regime, além de esse tempo de custódia cautelar constituir excesso de prazo e forma ilícita de antecipação da pena</w:t>
      </w:r>
      <w:r>
        <w:t>.</w:t>
      </w:r>
    </w:p>
    <w:p w14:paraId="769801EC" w14:textId="7D7A6AB8" w:rsidR="00FA3409" w:rsidRDefault="000C68E4" w:rsidP="00304E64">
      <w:pPr>
        <w:pStyle w:val="SemEspaamento"/>
      </w:pPr>
      <w:r>
        <w:t xml:space="preserve">Por fim, mas não menos importante, as provas carreadas aos autos também comprovam a </w:t>
      </w:r>
      <w:r>
        <w:rPr>
          <w:b/>
        </w:rPr>
        <w:t xml:space="preserve">ausência de </w:t>
      </w:r>
      <w:r>
        <w:rPr>
          <w:b/>
          <w:i/>
          <w:iCs/>
        </w:rPr>
        <w:t>periculum libertatis</w:t>
      </w:r>
      <w:r>
        <w:rPr>
          <w:bCs/>
        </w:rPr>
        <w:t xml:space="preserve"> no caso, tendo em vista que o paciente é primário, com bons antecedentes </w:t>
      </w:r>
      <w:r w:rsidRPr="000C68E4">
        <w:rPr>
          <w:bCs/>
          <w:sz w:val="20"/>
          <w:szCs w:val="18"/>
        </w:rPr>
        <w:t>(</w:t>
      </w:r>
      <w:r>
        <w:rPr>
          <w:bCs/>
          <w:i/>
          <w:iCs/>
          <w:sz w:val="20"/>
          <w:szCs w:val="18"/>
        </w:rPr>
        <w:t xml:space="preserve">vide </w:t>
      </w:r>
      <w:r>
        <w:rPr>
          <w:bCs/>
          <w:sz w:val="20"/>
          <w:szCs w:val="18"/>
        </w:rPr>
        <w:t xml:space="preserve">certidão de </w:t>
      </w:r>
      <w:r w:rsidRPr="000C68E4">
        <w:rPr>
          <w:bCs/>
          <w:sz w:val="20"/>
          <w:szCs w:val="18"/>
        </w:rPr>
        <w:t>fl. 76)</w:t>
      </w:r>
      <w:r>
        <w:rPr>
          <w:bCs/>
        </w:rPr>
        <w:t xml:space="preserve">, tinha ocupação lícita </w:t>
      </w:r>
      <w:r w:rsidRPr="000C68E4">
        <w:rPr>
          <w:bCs/>
          <w:sz w:val="20"/>
          <w:szCs w:val="18"/>
        </w:rPr>
        <w:t>(pintor)</w:t>
      </w:r>
      <w:r>
        <w:rPr>
          <w:bCs/>
        </w:rPr>
        <w:t xml:space="preserve">, </w:t>
      </w:r>
      <w:r w:rsidRPr="000C68E4">
        <w:t>não se dedica às atividades criminosas</w:t>
      </w:r>
      <w:r w:rsidRPr="000B6594">
        <w:t>, além de</w:t>
      </w:r>
      <w:r>
        <w:t xml:space="preserve"> </w:t>
      </w:r>
      <w:r w:rsidRPr="00AB0FF5">
        <w:t>não ter vinculação a organização criminosa</w:t>
      </w:r>
      <w:r>
        <w:t xml:space="preserve">, </w:t>
      </w:r>
      <w:r w:rsidRPr="00AB0FF5">
        <w:t>nem</w:t>
      </w:r>
      <w:r>
        <w:t xml:space="preserve"> mesmo existe qualquer elemento de prova que aponte para a reiteração na prática de crimes ou contato com pessoas envolvidas em condutas delitivas</w:t>
      </w:r>
    </w:p>
    <w:p w14:paraId="0EB576C8" w14:textId="4C333886" w:rsidR="00304E64" w:rsidRDefault="000C68E4" w:rsidP="000C68E4">
      <w:pPr>
        <w:pStyle w:val="SemEspaamento"/>
      </w:pPr>
      <w:r>
        <w:t>Assim, Excelência, como não há comprometimento à ordem pública, nem necessidade de assegurar a instrução criminal, que já se encerrou, ou a aplicação da lei penal, estão ausentes os requisitos autorizadores do art. 312 do CPP para a manutenção da prisão preventiva, a evidenciar o constrangimento ilegal a que o paciente está submetido, o paciente confia na concessão da liminar pleiteada para determinar a sua soltura, com ou sem a aplicação de cautelares diversas da prisão, a critério de Vossa Excelência.</w:t>
      </w:r>
    </w:p>
    <w:p w14:paraId="629A9512" w14:textId="2AA75105" w:rsidR="000169F1" w:rsidRPr="00A36042" w:rsidRDefault="000169F1" w:rsidP="00A36042">
      <w:pPr>
        <w:pStyle w:val="Ttulo2"/>
        <w:rPr>
          <w:rFonts w:eastAsia="Calibri"/>
          <w:sz w:val="14"/>
          <w:szCs w:val="14"/>
        </w:rPr>
      </w:pPr>
    </w:p>
    <w:p w14:paraId="5F55B924" w14:textId="1D41EFDC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681375">
        <w:rPr>
          <w:rFonts w:ascii="Arial" w:eastAsia="Calibri" w:hAnsi="Arial" w:cs="Times New Roman"/>
          <w:noProof/>
          <w:sz w:val="24"/>
          <w:szCs w:val="24"/>
        </w:rPr>
        <w:t>14 de julho de 2025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52A83BDE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1B0D967B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7352B68F" w14:textId="77777777" w:rsidR="000169F1" w:rsidRPr="00136102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47328FE6" w14:textId="77777777" w:rsidR="000169F1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136102">
        <w:rPr>
          <w:rFonts w:ascii="Arial" w:eastAsia="Times New Roman" w:hAnsi="Arial" w:cs="Times New Roman"/>
          <w:sz w:val="24"/>
          <w:szCs w:val="24"/>
        </w:rPr>
        <w:t xml:space="preserve">OAB/SC </w:t>
      </w:r>
      <w:r>
        <w:rPr>
          <w:rFonts w:ascii="Arial" w:eastAsia="Times New Roman" w:hAnsi="Arial" w:cs="Times New Roman"/>
          <w:sz w:val="24"/>
          <w:szCs w:val="24"/>
        </w:rPr>
        <w:t>36.591</w:t>
      </w:r>
    </w:p>
    <w:p w14:paraId="79C73F72" w14:textId="77777777" w:rsidR="000169F1" w:rsidRDefault="000169F1" w:rsidP="000169F1">
      <w:pPr>
        <w:pStyle w:val="Ttulo2"/>
        <w:spacing w:line="276" w:lineRule="auto"/>
        <w:ind w:left="0"/>
        <w:rPr>
          <w:rFonts w:cs="Arial"/>
          <w:u w:val="single"/>
        </w:rPr>
      </w:pPr>
    </w:p>
    <w:p w14:paraId="6BD9F0E5" w14:textId="77777777" w:rsidR="000169F1" w:rsidRDefault="000169F1" w:rsidP="000169F1"/>
    <w:p w14:paraId="28A20432" w14:textId="77777777" w:rsidR="000169F1" w:rsidRPr="00377A2E" w:rsidRDefault="000169F1" w:rsidP="000169F1"/>
    <w:p w14:paraId="6A87BAC4" w14:textId="77777777" w:rsidR="00131BEB" w:rsidRPr="000169F1" w:rsidRDefault="00131BEB" w:rsidP="000169F1"/>
    <w:sectPr w:rsidR="00131BEB" w:rsidRPr="000169F1" w:rsidSect="00444C28">
      <w:headerReference w:type="default" r:id="rId8"/>
      <w:footerReference w:type="default" r:id="rId9"/>
      <w:pgSz w:w="11906" w:h="16838"/>
      <w:pgMar w:top="1843" w:right="1416" w:bottom="993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DBCD76" w14:textId="77777777" w:rsidR="00134570" w:rsidRDefault="00134570" w:rsidP="00943258">
      <w:pPr>
        <w:spacing w:after="0" w:line="240" w:lineRule="auto"/>
      </w:pPr>
      <w:r>
        <w:separator/>
      </w:r>
    </w:p>
  </w:endnote>
  <w:endnote w:type="continuationSeparator" w:id="0">
    <w:p w14:paraId="1DF19C31" w14:textId="77777777" w:rsidR="00134570" w:rsidRDefault="00134570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45BA20C0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34E3F1ED" wp14:editId="27C4F13C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169112120" name="Imagem 16911212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10874117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67A384" w14:textId="77777777" w:rsidR="00134570" w:rsidRDefault="00134570" w:rsidP="00943258">
      <w:pPr>
        <w:spacing w:after="0" w:line="240" w:lineRule="auto"/>
      </w:pPr>
      <w:r>
        <w:separator/>
      </w:r>
    </w:p>
  </w:footnote>
  <w:footnote w:type="continuationSeparator" w:id="0">
    <w:p w14:paraId="20037106" w14:textId="77777777" w:rsidR="00134570" w:rsidRDefault="00134570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B7D8BA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11EAB59C" wp14:editId="7445CD5A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213019427" name="Imagem 213019427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4602257F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5B654F61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58A318B3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570"/>
    <w:rsid w:val="00003F31"/>
    <w:rsid w:val="000169F1"/>
    <w:rsid w:val="0004298B"/>
    <w:rsid w:val="00097661"/>
    <w:rsid w:val="000C68E4"/>
    <w:rsid w:val="000D228C"/>
    <w:rsid w:val="00131BEB"/>
    <w:rsid w:val="00134570"/>
    <w:rsid w:val="001667B0"/>
    <w:rsid w:val="001761C0"/>
    <w:rsid w:val="00183BE2"/>
    <w:rsid w:val="001B2B98"/>
    <w:rsid w:val="001B2E75"/>
    <w:rsid w:val="001F2959"/>
    <w:rsid w:val="00201F45"/>
    <w:rsid w:val="00207BE4"/>
    <w:rsid w:val="00214E09"/>
    <w:rsid w:val="00252AC4"/>
    <w:rsid w:val="00272BFB"/>
    <w:rsid w:val="00291F6C"/>
    <w:rsid w:val="002A6EA1"/>
    <w:rsid w:val="00304E64"/>
    <w:rsid w:val="00377A2E"/>
    <w:rsid w:val="003801CD"/>
    <w:rsid w:val="00397403"/>
    <w:rsid w:val="003C74B8"/>
    <w:rsid w:val="003E46B9"/>
    <w:rsid w:val="00437854"/>
    <w:rsid w:val="00444C28"/>
    <w:rsid w:val="0045348B"/>
    <w:rsid w:val="004703E6"/>
    <w:rsid w:val="00492209"/>
    <w:rsid w:val="004949AD"/>
    <w:rsid w:val="004F2B78"/>
    <w:rsid w:val="004F384D"/>
    <w:rsid w:val="00501A18"/>
    <w:rsid w:val="005319F0"/>
    <w:rsid w:val="005321DA"/>
    <w:rsid w:val="005B67EA"/>
    <w:rsid w:val="005E58E2"/>
    <w:rsid w:val="00654B2A"/>
    <w:rsid w:val="00673228"/>
    <w:rsid w:val="00681375"/>
    <w:rsid w:val="00693F8B"/>
    <w:rsid w:val="00696295"/>
    <w:rsid w:val="006C0DFC"/>
    <w:rsid w:val="00722DF5"/>
    <w:rsid w:val="007506BD"/>
    <w:rsid w:val="00795616"/>
    <w:rsid w:val="00797900"/>
    <w:rsid w:val="007C36DB"/>
    <w:rsid w:val="00810D34"/>
    <w:rsid w:val="008A0012"/>
    <w:rsid w:val="008E31FF"/>
    <w:rsid w:val="008E377D"/>
    <w:rsid w:val="008F2218"/>
    <w:rsid w:val="008F53CE"/>
    <w:rsid w:val="008F7B29"/>
    <w:rsid w:val="0090226D"/>
    <w:rsid w:val="00924163"/>
    <w:rsid w:val="00943258"/>
    <w:rsid w:val="00972FA4"/>
    <w:rsid w:val="00A049FC"/>
    <w:rsid w:val="00A36042"/>
    <w:rsid w:val="00B14A81"/>
    <w:rsid w:val="00B6363E"/>
    <w:rsid w:val="00B871D1"/>
    <w:rsid w:val="00BA2544"/>
    <w:rsid w:val="00C03B4C"/>
    <w:rsid w:val="00C0456B"/>
    <w:rsid w:val="00CB5FC5"/>
    <w:rsid w:val="00CD5ED5"/>
    <w:rsid w:val="00D32740"/>
    <w:rsid w:val="00D538EF"/>
    <w:rsid w:val="00D87C60"/>
    <w:rsid w:val="00DE0162"/>
    <w:rsid w:val="00DE0552"/>
    <w:rsid w:val="00DF5478"/>
    <w:rsid w:val="00E05790"/>
    <w:rsid w:val="00E24266"/>
    <w:rsid w:val="00E62D00"/>
    <w:rsid w:val="00E90F3C"/>
    <w:rsid w:val="00E968BB"/>
    <w:rsid w:val="00EA2E67"/>
    <w:rsid w:val="00EB4346"/>
    <w:rsid w:val="00EE3903"/>
    <w:rsid w:val="00F11B2C"/>
    <w:rsid w:val="00F22B73"/>
    <w:rsid w:val="00F8703E"/>
    <w:rsid w:val="00F94C33"/>
    <w:rsid w:val="00F96DE0"/>
    <w:rsid w:val="00FA3409"/>
    <w:rsid w:val="00FB3A3F"/>
    <w:rsid w:val="00FC6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0EF221"/>
  <w15:chartTrackingRefBased/>
  <w15:docId w15:val="{613F4C9F-6E8E-4095-AB4C-33F9F0D84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,Formatação padrã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link w:val="QualificaoChar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character" w:customStyle="1" w:styleId="QualificaoChar">
    <w:name w:val="Qualificação Char"/>
    <w:basedOn w:val="Fontepargpadro"/>
    <w:link w:val="Qualificao"/>
    <w:rsid w:val="00304E64"/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Memoriais%20para%20entrega%20pessoal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Memoriais para entrega pessoal</Template>
  <TotalTime>58</TotalTime>
  <Pages>3</Pages>
  <Words>927</Words>
  <Characters>4666</Characters>
  <Application>Microsoft Office Word</Application>
  <DocSecurity>0</DocSecurity>
  <Lines>97</Lines>
  <Paragraphs>27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3</vt:i4>
      </vt:variant>
    </vt:vector>
  </HeadingPairs>
  <TitlesOfParts>
    <vt:vector size="4" baseType="lpstr">
      <vt:lpstr/>
      <vt:lpstr>    </vt:lpstr>
      <vt:lpstr>    </vt:lpstr>
      <vt:lpstr>    DOCUMENTOS QUE INSTRUEM ESTA INICIAL </vt:lpstr>
    </vt:vector>
  </TitlesOfParts>
  <Company/>
  <LinksUpToDate>false</LinksUpToDate>
  <CharactersWithSpaces>5566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21</cp:revision>
  <cp:lastPrinted>2022-07-18T22:35:00Z</cp:lastPrinted>
  <dcterms:created xsi:type="dcterms:W3CDTF">2025-06-06T19:00:00Z</dcterms:created>
  <dcterms:modified xsi:type="dcterms:W3CDTF">2025-07-14T18:31:00Z</dcterms:modified>
</cp:coreProperties>
</file>