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D857" w14:textId="633653B3" w:rsidR="00304E64" w:rsidRDefault="00AE4E2C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CAEF1" wp14:editId="5B7B0CD0">
                <wp:simplePos x="0" y="0"/>
                <wp:positionH relativeFrom="column">
                  <wp:posOffset>-145518</wp:posOffset>
                </wp:positionH>
                <wp:positionV relativeFrom="paragraph">
                  <wp:posOffset>-53886</wp:posOffset>
                </wp:positionV>
                <wp:extent cx="4253023" cy="914400"/>
                <wp:effectExtent l="0" t="0" r="14605" b="19050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3023" cy="9144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D9D21" id="Retângulo: Cantos Diagonais Arredondados 1" o:spid="_x0000_s1026" style="position:absolute;margin-left:-11.45pt;margin-top:-4.25pt;width:334.9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53023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" path="m152403,l4253023,r,l4253023,761997v,84170,-68233,152403,-152403,152403l,914400r,l,152403c,68233,68233,,152403,xe" filled="f" strokecolor="#5b9bd5 [3208]" strokeweight="1pt">
                <v:stroke joinstyle="miter"/>
                <v:path arrowok="t" o:connecttype="custom" o:connectlocs="152403,0;4253023,0;4253023,0;4253023,761997;4100620,914400;0,914400;0,914400;0,152403;152403,0" o:connectangles="0,0,0,0,0,0,0,0,0"/>
              </v:shape>
            </w:pict>
          </mc:Fallback>
        </mc:AlternateContent>
      </w:r>
      <w:r w:rsidR="00D47F83">
        <w:rPr>
          <w:rFonts w:ascii="Arial" w:eastAsia="Calibri" w:hAnsi="Arial" w:cs="Times New Roman"/>
        </w:rPr>
        <w:t xml:space="preserve">EDs na apelação criminal </w:t>
      </w:r>
      <w:r w:rsidR="00304E64" w:rsidRPr="00506D87">
        <w:rPr>
          <w:rFonts w:ascii="Arial" w:eastAsia="Calibri" w:hAnsi="Arial" w:cs="Times New Roman"/>
        </w:rPr>
        <w:t>n.</w:t>
      </w:r>
      <w:r w:rsidR="00304E64">
        <w:rPr>
          <w:rFonts w:ascii="Arial" w:eastAsia="Calibri" w:hAnsi="Arial" w:cs="Times New Roman"/>
        </w:rPr>
        <w:t xml:space="preserve"> </w:t>
      </w:r>
      <w:r w:rsidR="00D47F83" w:rsidRPr="00D47F83">
        <w:rPr>
          <w:rFonts w:ascii="Arial" w:eastAsia="Calibri" w:hAnsi="Arial" w:cs="Times New Roman"/>
        </w:rPr>
        <w:t>5003557-38.2023.8.24.0040</w:t>
      </w:r>
    </w:p>
    <w:p w14:paraId="25282D4A" w14:textId="6ACD5B59" w:rsidR="00304E64" w:rsidRDefault="00D47F83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Embargante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Mayck Torres Mates</w:t>
      </w:r>
    </w:p>
    <w:p w14:paraId="115E45C1" w14:textId="246198D7" w:rsidR="00304E64" w:rsidRDefault="00D47F83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Embargado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Ministério Público de Santa Catarina</w:t>
      </w:r>
    </w:p>
    <w:p w14:paraId="68A6B6BB" w14:textId="569D24AB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D47F83">
        <w:rPr>
          <w:rFonts w:ascii="Arial" w:eastAsia="Calibri" w:hAnsi="Arial" w:cs="Times New Roman"/>
          <w:b/>
          <w:bCs/>
        </w:rPr>
        <w:t xml:space="preserve">Ariovaldo </w:t>
      </w:r>
      <w:r w:rsidR="0046675A">
        <w:rPr>
          <w:rFonts w:ascii="Arial" w:eastAsia="Calibri" w:hAnsi="Arial" w:cs="Times New Roman"/>
          <w:b/>
          <w:bCs/>
        </w:rPr>
        <w:t xml:space="preserve">Rogério </w:t>
      </w:r>
      <w:r w:rsidR="00D47F83">
        <w:rPr>
          <w:rFonts w:ascii="Arial" w:eastAsia="Calibri" w:hAnsi="Arial" w:cs="Times New Roman"/>
          <w:b/>
          <w:bCs/>
        </w:rPr>
        <w:t>Ribeiro da Silva</w:t>
      </w:r>
    </w:p>
    <w:p w14:paraId="5EBD17EC" w14:textId="2D5F530D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D47F83">
        <w:rPr>
          <w:rFonts w:ascii="Arial" w:eastAsia="Calibri" w:hAnsi="Arial" w:cs="Times New Roman"/>
        </w:rPr>
        <w:t>7.8.2025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A44FF3">
        <w:rPr>
          <w:rFonts w:ascii="Arial" w:eastAsia="Calibri" w:hAnsi="Arial" w:cs="Times New Roman"/>
        </w:rPr>
        <w:t>65</w:t>
      </w:r>
    </w:p>
    <w:p w14:paraId="4A4B572D" w14:textId="77777777" w:rsidR="00304E64" w:rsidRPr="00BA5DBB" w:rsidRDefault="00304E64" w:rsidP="00304E64">
      <w:pPr>
        <w:pStyle w:val="Ttulo2"/>
        <w:rPr>
          <w:rFonts w:eastAsia="Calibri"/>
        </w:rPr>
      </w:pPr>
    </w:p>
    <w:p w14:paraId="475C373C" w14:textId="4FC2EBF7" w:rsidR="00304E64" w:rsidRPr="00385759" w:rsidRDefault="00304E64" w:rsidP="00D47F83">
      <w:pPr>
        <w:pStyle w:val="Qualificao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</w:t>
      </w:r>
      <w:r w:rsidR="00D47F83">
        <w:rPr>
          <w:b/>
          <w:sz w:val="22"/>
        </w:rPr>
        <w:t>EMBARGANTE</w:t>
      </w:r>
    </w:p>
    <w:p w14:paraId="37BFC320" w14:textId="77777777" w:rsidR="00304E64" w:rsidRPr="00BA5DBB" w:rsidRDefault="00304E64" w:rsidP="00D47F83">
      <w:pPr>
        <w:pStyle w:val="Qualificaodaspartes"/>
        <w:ind w:firstLine="0"/>
        <w:jc w:val="center"/>
        <w:rPr>
          <w:sz w:val="28"/>
          <w:szCs w:val="24"/>
        </w:rPr>
      </w:pPr>
    </w:p>
    <w:p w14:paraId="52AD83A8" w14:textId="6D7A5FBF" w:rsidR="00304E64" w:rsidRPr="00385759" w:rsidRDefault="00304E64" w:rsidP="00D47F83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DE16AC" w:rsidRPr="00DE16AC">
        <w:rPr>
          <w:rFonts w:ascii="Arial" w:eastAsia="Calibri" w:hAnsi="Arial" w:cs="Arial"/>
          <w:b/>
        </w:rPr>
        <w:t>CARLOS ALBERTO CIVINSKI</w:t>
      </w:r>
    </w:p>
    <w:p w14:paraId="65A0A67C" w14:textId="77777777" w:rsidR="00304E64" w:rsidRPr="00BA5DBB" w:rsidRDefault="00304E64" w:rsidP="00D47F83">
      <w:pPr>
        <w:pStyle w:val="Qualificao"/>
        <w:spacing w:before="0"/>
        <w:ind w:left="0" w:right="284"/>
        <w:jc w:val="center"/>
        <w:rPr>
          <w:rFonts w:eastAsia="Calibri"/>
          <w:b/>
          <w:sz w:val="22"/>
        </w:rPr>
      </w:pPr>
    </w:p>
    <w:p w14:paraId="5F1FD6CF" w14:textId="03E3372E" w:rsidR="00304E64" w:rsidRPr="00385759" w:rsidRDefault="00304E64" w:rsidP="00D47F83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 xml:space="preserve">COLENDA </w:t>
      </w:r>
      <w:r w:rsidR="00D47F83">
        <w:rPr>
          <w:b/>
          <w:sz w:val="22"/>
        </w:rPr>
        <w:t>PRIMEIRA CÂMARA DE DIREITO CRIMINAL</w:t>
      </w:r>
    </w:p>
    <w:p w14:paraId="5BBB9046" w14:textId="77777777" w:rsidR="000169F1" w:rsidRPr="00BA5DBB" w:rsidRDefault="000169F1" w:rsidP="00BA5DBB"/>
    <w:p w14:paraId="459AAA31" w14:textId="43A17E4B" w:rsidR="00304E64" w:rsidRDefault="00AE4E2C" w:rsidP="00304E64">
      <w:pPr>
        <w:pStyle w:val="SemEspaamento"/>
      </w:pPr>
      <w:r>
        <w:t>Após pedido de revista d</w:t>
      </w:r>
      <w:r w:rsidR="002D0B13">
        <w:t>o eminente Desembargador Relator</w:t>
      </w:r>
      <w:r>
        <w:t>, ao desprover a apelação interposta pelo embargante e dar parcial provimento ao recurso interposto pela acusação, o aresto embargado acabou por incorrer em omissões, contradição interna e erro de premissa em relação às teses deduzidas pelo recorrente em sede de apelação, o que motivou a oposição do presente recurso integrativo</w:t>
      </w:r>
      <w:r w:rsidR="00C921FE">
        <w:t xml:space="preserve"> </w:t>
      </w:r>
      <w:r w:rsidR="00C921FE" w:rsidRPr="00C921FE">
        <w:rPr>
          <w:sz w:val="20"/>
          <w:szCs w:val="18"/>
        </w:rPr>
        <w:t>(evento 62)</w:t>
      </w:r>
      <w:r>
        <w:t>.</w:t>
      </w:r>
    </w:p>
    <w:p w14:paraId="119C89AC" w14:textId="158A2C9B" w:rsidR="00047E3C" w:rsidRDefault="00AE4E2C" w:rsidP="00AE4E2C">
      <w:pPr>
        <w:pStyle w:val="SemEspaamento"/>
      </w:pPr>
      <w:r w:rsidRPr="00AE4E2C">
        <w:rPr>
          <w:b/>
          <w:bCs/>
        </w:rPr>
        <w:t>Primeiro</w:t>
      </w:r>
      <w:r>
        <w:t xml:space="preserve">, ao rejeitar a preliminar de violação de domicílio e ilegalidade da busca e apreensão realizada na casa do recorrente, pautando-se essencialmente na palavra dos policiais, o acórdão embargado </w:t>
      </w:r>
      <w:r w:rsidRPr="000B360A">
        <w:rPr>
          <w:b/>
          <w:bCs/>
        </w:rPr>
        <w:t xml:space="preserve">não considerou </w:t>
      </w:r>
      <w:r w:rsidRPr="004C1311">
        <w:rPr>
          <w:sz w:val="20"/>
          <w:szCs w:val="18"/>
        </w:rPr>
        <w:t>(</w:t>
      </w:r>
      <w:r w:rsidRPr="008D3329">
        <w:rPr>
          <w:b/>
          <w:bCs/>
          <w:sz w:val="22"/>
          <w:u w:val="single"/>
        </w:rPr>
        <w:t>omissão</w:t>
      </w:r>
      <w:r w:rsidRPr="004C1311">
        <w:rPr>
          <w:sz w:val="20"/>
          <w:szCs w:val="18"/>
        </w:rPr>
        <w:t>)</w:t>
      </w:r>
      <w:r w:rsidRPr="004C1311">
        <w:t xml:space="preserve"> o ponto central da preliminar deduzida na apelação, qual seja, que a </w:t>
      </w:r>
      <w:r w:rsidRPr="004C1311">
        <w:rPr>
          <w:b/>
          <w:bCs/>
        </w:rPr>
        <w:t xml:space="preserve">ausência de justa causa para ingresso na casa do embargante </w:t>
      </w:r>
      <w:r>
        <w:rPr>
          <w:b/>
          <w:bCs/>
        </w:rPr>
        <w:t xml:space="preserve">decorre do fato de que </w:t>
      </w:r>
      <w:r w:rsidRPr="004C1311">
        <w:rPr>
          <w:b/>
          <w:bCs/>
        </w:rPr>
        <w:t xml:space="preserve">os policiais </w:t>
      </w:r>
      <w:r w:rsidRPr="00AE4E2C">
        <w:rPr>
          <w:b/>
          <w:bCs/>
          <w:u w:val="single"/>
        </w:rPr>
        <w:t>desligaram</w:t>
      </w:r>
      <w:r w:rsidRPr="004C1311">
        <w:rPr>
          <w:b/>
          <w:bCs/>
        </w:rPr>
        <w:t xml:space="preserve"> </w:t>
      </w:r>
      <w:r w:rsidRPr="00AE4E2C">
        <w:rPr>
          <w:b/>
          <w:bCs/>
          <w:u w:val="single"/>
        </w:rPr>
        <w:t>as</w:t>
      </w:r>
      <w:r w:rsidRPr="004C1311">
        <w:rPr>
          <w:b/>
          <w:bCs/>
        </w:rPr>
        <w:t xml:space="preserve"> </w:t>
      </w:r>
      <w:r w:rsidRPr="00AE4E2C">
        <w:rPr>
          <w:b/>
          <w:bCs/>
          <w:u w:val="single"/>
        </w:rPr>
        <w:t>câmeras</w:t>
      </w:r>
      <w:r w:rsidRPr="004C1311">
        <w:rPr>
          <w:b/>
          <w:bCs/>
        </w:rPr>
        <w:t xml:space="preserve"> durante toda a ocorrência</w:t>
      </w:r>
      <w:r w:rsidRPr="004C1311">
        <w:t>, de modo que a palavra dessas autoridades não tem validade para confirmar a existência de justa causa, tornando ilegal a entrada na casa do recorrente</w:t>
      </w:r>
      <w:r w:rsidR="00047E3C">
        <w:t xml:space="preserve"> </w:t>
      </w:r>
      <w:r w:rsidR="00047E3C" w:rsidRPr="00FC6255">
        <w:rPr>
          <w:sz w:val="20"/>
          <w:szCs w:val="18"/>
        </w:rPr>
        <w:t xml:space="preserve">(evento 62, p. </w:t>
      </w:r>
      <w:r w:rsidR="00FC6255" w:rsidRPr="00FC6255">
        <w:rPr>
          <w:sz w:val="20"/>
          <w:szCs w:val="18"/>
        </w:rPr>
        <w:t>4/6)</w:t>
      </w:r>
      <w:r w:rsidRPr="004C1311">
        <w:t xml:space="preserve">. </w:t>
      </w:r>
    </w:p>
    <w:p w14:paraId="22428190" w14:textId="14A4CEC1" w:rsidR="00AE4E2C" w:rsidRDefault="00AE4E2C" w:rsidP="00AE4E2C">
      <w:pPr>
        <w:pStyle w:val="SemEspaamento"/>
      </w:pPr>
      <w:r>
        <w:t xml:space="preserve">Essa tese recursal, aliás, é fundamentada no entendimento atual firmado pela Colenda Corte Superior </w:t>
      </w:r>
      <w:r w:rsidRPr="00AE4E2C">
        <w:rPr>
          <w:sz w:val="20"/>
          <w:szCs w:val="18"/>
        </w:rPr>
        <w:t>(AgRg no HC n. 711.985/PR, relator Ministro Rogerio Schietti Cruz, relatora para acórdão Ministra Laurita Vaz, Sexta Turma, julgado em 9/8/2022, DJe de 9/9/2022.)</w:t>
      </w:r>
      <w:r>
        <w:rPr>
          <w:sz w:val="20"/>
          <w:szCs w:val="18"/>
        </w:rPr>
        <w:t>;</w:t>
      </w:r>
      <w:r w:rsidRPr="00AE4E2C">
        <w:rPr>
          <w:sz w:val="20"/>
          <w:szCs w:val="18"/>
        </w:rPr>
        <w:t xml:space="preserve"> (STJ, HC n. 841.939/MG, rel. Min. Jesuíno Rissato (Desembargador Convocado do TJDFT), Sexta Turma, j. em 12.9.2023)</w:t>
      </w:r>
      <w:r>
        <w:t>.</w:t>
      </w:r>
    </w:p>
    <w:p w14:paraId="4AC0379D" w14:textId="2085E3F0" w:rsidR="00E5218F" w:rsidRDefault="00AE4E2C" w:rsidP="00E5218F">
      <w:pPr>
        <w:pStyle w:val="SemEspaamento"/>
      </w:pPr>
      <w:r>
        <w:t xml:space="preserve">Em um </w:t>
      </w:r>
      <w:r w:rsidRPr="00AE4E2C">
        <w:rPr>
          <w:b/>
          <w:bCs/>
        </w:rPr>
        <w:t>segundo momento</w:t>
      </w:r>
      <w:r>
        <w:t xml:space="preserve">, ao manter a condenação do recorrente pelo art. 311 do CTB, com base na palavra dos policiais e nos vídeos dos eventos 1.3 e 6.4, o aresto embargado foi </w:t>
      </w:r>
      <w:r w:rsidRPr="003B79C0">
        <w:rPr>
          <w:b/>
          <w:bCs/>
        </w:rPr>
        <w:t>omi</w:t>
      </w:r>
      <w:r>
        <w:rPr>
          <w:b/>
          <w:bCs/>
        </w:rPr>
        <w:t>sso</w:t>
      </w:r>
      <w:r>
        <w:t xml:space="preserve"> em relação ao argumento recursal de que </w:t>
      </w:r>
      <w:r w:rsidRPr="001D75D0">
        <w:rPr>
          <w:b/>
          <w:bCs/>
        </w:rPr>
        <w:t xml:space="preserve">as filmagens </w:t>
      </w:r>
      <w:r>
        <w:rPr>
          <w:b/>
          <w:bCs/>
        </w:rPr>
        <w:t>evidenciam</w:t>
      </w:r>
      <w:r w:rsidRPr="001D75D0">
        <w:rPr>
          <w:b/>
          <w:bCs/>
        </w:rPr>
        <w:t xml:space="preserve"> que não</w:t>
      </w:r>
      <w:r w:rsidRPr="00F155E0">
        <w:rPr>
          <w:b/>
          <w:bCs/>
        </w:rPr>
        <w:t xml:space="preserve"> havia </w:t>
      </w:r>
      <w:r>
        <w:rPr>
          <w:b/>
          <w:bCs/>
        </w:rPr>
        <w:t xml:space="preserve">grande </w:t>
      </w:r>
      <w:r w:rsidRPr="00F155E0">
        <w:rPr>
          <w:b/>
          <w:bCs/>
        </w:rPr>
        <w:t xml:space="preserve">movimentação de </w:t>
      </w:r>
      <w:r w:rsidRPr="00F155E0">
        <w:rPr>
          <w:b/>
          <w:bCs/>
        </w:rPr>
        <w:lastRenderedPageBreak/>
        <w:t>pessoas</w:t>
      </w:r>
      <w:r>
        <w:t xml:space="preserve"> no local em que o embargante transitou com o seu veículo, o que é exigido para a tipificação do crime previsto art. 311 do CTB</w:t>
      </w:r>
      <w:r w:rsidR="00FC6255">
        <w:t xml:space="preserve"> </w:t>
      </w:r>
      <w:r w:rsidR="00FC6255" w:rsidRPr="00FC6255">
        <w:rPr>
          <w:sz w:val="20"/>
          <w:szCs w:val="18"/>
        </w:rPr>
        <w:t>(evento 62, p. 6</w:t>
      </w:r>
      <w:r w:rsidR="00FC6255">
        <w:rPr>
          <w:sz w:val="20"/>
          <w:szCs w:val="18"/>
        </w:rPr>
        <w:t>/7</w:t>
      </w:r>
      <w:r w:rsidR="00FC6255" w:rsidRPr="00FC6255">
        <w:rPr>
          <w:sz w:val="20"/>
          <w:szCs w:val="18"/>
        </w:rPr>
        <w:t>)</w:t>
      </w:r>
      <w:r>
        <w:t xml:space="preserve">. </w:t>
      </w:r>
    </w:p>
    <w:p w14:paraId="7406AB19" w14:textId="5A0F8540" w:rsidR="00E5218F" w:rsidRDefault="00E5218F" w:rsidP="00E5218F">
      <w:pPr>
        <w:pStyle w:val="SemEspaamento"/>
      </w:pPr>
      <w:r>
        <w:t xml:space="preserve">Aliás, a decisão não considerou </w:t>
      </w:r>
      <w:r w:rsidRPr="00E5218F">
        <w:rPr>
          <w:sz w:val="20"/>
          <w:szCs w:val="18"/>
        </w:rPr>
        <w:t>(</w:t>
      </w:r>
      <w:r w:rsidRPr="00E5218F">
        <w:rPr>
          <w:b/>
          <w:bCs/>
          <w:sz w:val="20"/>
          <w:szCs w:val="18"/>
        </w:rPr>
        <w:t>omissão</w:t>
      </w:r>
      <w:r w:rsidRPr="00E5218F">
        <w:rPr>
          <w:sz w:val="20"/>
          <w:szCs w:val="18"/>
        </w:rPr>
        <w:t>)</w:t>
      </w:r>
      <w:r>
        <w:t xml:space="preserve"> que apenas o tráfego com veículo em alta velocidade não caracteriza o tipo penal mencionado, exige-se, também, que isso seja feito “</w:t>
      </w:r>
      <w:r w:rsidRPr="000C1ED5">
        <w:rPr>
          <w:i/>
          <w:iCs/>
        </w:rPr>
        <w:t>nas proximidades de escolas, hospitais, estações de embarque e desembarque de passageiros, logradouros estreitos, ou onde haja grande movimentação ou concentração de pessoas, gerando perigo de dano</w:t>
      </w:r>
      <w:r>
        <w:t>”, o que afasta a condenação pelo art. 311 do CTB</w:t>
      </w:r>
      <w:r w:rsidR="00FC6255">
        <w:t xml:space="preserve"> </w:t>
      </w:r>
      <w:r w:rsidR="00FC6255" w:rsidRPr="00FC6255">
        <w:rPr>
          <w:sz w:val="20"/>
          <w:szCs w:val="18"/>
        </w:rPr>
        <w:t>(evento 62, p.</w:t>
      </w:r>
      <w:r w:rsidR="00FC6255">
        <w:rPr>
          <w:sz w:val="20"/>
          <w:szCs w:val="18"/>
        </w:rPr>
        <w:t xml:space="preserve"> 6/7</w:t>
      </w:r>
      <w:r w:rsidR="00FC6255" w:rsidRPr="00FC6255">
        <w:rPr>
          <w:sz w:val="20"/>
          <w:szCs w:val="18"/>
        </w:rPr>
        <w:t>)</w:t>
      </w:r>
      <w:r>
        <w:t>.</w:t>
      </w:r>
    </w:p>
    <w:p w14:paraId="7241EB31" w14:textId="48CDD493" w:rsidR="00E5218F" w:rsidRDefault="00AE4E2C" w:rsidP="00E5218F">
      <w:pPr>
        <w:pStyle w:val="SemEspaamento"/>
      </w:pPr>
      <w:r>
        <w:t xml:space="preserve">O </w:t>
      </w:r>
      <w:r>
        <w:rPr>
          <w:b/>
          <w:bCs/>
        </w:rPr>
        <w:t>terceiro</w:t>
      </w:r>
      <w:r>
        <w:t xml:space="preserve"> e </w:t>
      </w:r>
      <w:r>
        <w:rPr>
          <w:b/>
          <w:bCs/>
        </w:rPr>
        <w:t xml:space="preserve">quarto </w:t>
      </w:r>
      <w:r>
        <w:t xml:space="preserve">vícios </w:t>
      </w:r>
      <w:r w:rsidR="00E5218F">
        <w:t>apontados dizem respeito à condenação pelo crime de arma de fogo</w:t>
      </w:r>
      <w:r w:rsidR="00C921FE">
        <w:t xml:space="preserve"> </w:t>
      </w:r>
      <w:r w:rsidR="00C921FE" w:rsidRPr="00FC6255">
        <w:rPr>
          <w:sz w:val="20"/>
          <w:szCs w:val="18"/>
        </w:rPr>
        <w:t xml:space="preserve">(evento 62, p. </w:t>
      </w:r>
      <w:r w:rsidR="00C921FE">
        <w:rPr>
          <w:sz w:val="20"/>
          <w:szCs w:val="18"/>
        </w:rPr>
        <w:t>7/8</w:t>
      </w:r>
      <w:r w:rsidR="00C921FE" w:rsidRPr="00FC6255">
        <w:rPr>
          <w:sz w:val="20"/>
          <w:szCs w:val="18"/>
        </w:rPr>
        <w:t>)</w:t>
      </w:r>
      <w:r w:rsidR="00E5218F">
        <w:t xml:space="preserve">. Isso porque, nos aclaratórios, foi exposto que o aresto embargado incorreu em evidente </w:t>
      </w:r>
      <w:r w:rsidR="00E5218F">
        <w:rPr>
          <w:b/>
          <w:bCs/>
        </w:rPr>
        <w:t>contradição interna</w:t>
      </w:r>
      <w:r w:rsidR="00E5218F">
        <w:t xml:space="preserve"> ao registrar, de forma surpreendente e inexplicável, que “</w:t>
      </w:r>
      <w:r w:rsidR="00E5218F" w:rsidRPr="004E2DB3">
        <w:rPr>
          <w:i/>
          <w:iCs/>
        </w:rPr>
        <w:t>A materialidade do delito ficou evidenciada pelo auto de exibição e apreensão do evento 1.1, fl. 19</w:t>
      </w:r>
      <w:r w:rsidR="00E5218F">
        <w:t xml:space="preserve">”, mas, em sentido diametralmente oposto, o próprio acórdão afirmou que, </w:t>
      </w:r>
      <w:r w:rsidR="00E5218F" w:rsidRPr="00E5218F">
        <w:rPr>
          <w:b/>
          <w:bCs/>
        </w:rPr>
        <w:t>após a apreensão do recorrente</w:t>
      </w:r>
      <w:r w:rsidR="00E5218F">
        <w:t>, os policiais foram até a casa do embargante, “</w:t>
      </w:r>
      <w:r w:rsidR="00E5218F" w:rsidRPr="00E5218F">
        <w:rPr>
          <w:b/>
          <w:bCs/>
          <w:i/>
          <w:iCs/>
        </w:rPr>
        <w:t>adentraram na residência e lograram êxito em apreender a arma de fogo, cuja posse era ilegal</w:t>
      </w:r>
      <w:r w:rsidR="00E5218F">
        <w:t xml:space="preserve">” </w:t>
      </w:r>
      <w:r w:rsidR="00E5218F" w:rsidRPr="00E5218F">
        <w:rPr>
          <w:sz w:val="20"/>
          <w:szCs w:val="18"/>
        </w:rPr>
        <w:t>(evento 56, p. 3)</w:t>
      </w:r>
      <w:r w:rsidR="00E5218F">
        <w:t>.</w:t>
      </w:r>
    </w:p>
    <w:p w14:paraId="283CBD8F" w14:textId="18A0F1F2" w:rsidR="00E5218F" w:rsidRPr="00EF0097" w:rsidRDefault="00E5218F" w:rsidP="00E5218F">
      <w:pPr>
        <w:pStyle w:val="SemEspaamento"/>
      </w:pPr>
      <w:r w:rsidRPr="00EF0097">
        <w:t xml:space="preserve">Portanto, Excelência, a </w:t>
      </w:r>
      <w:r w:rsidRPr="00EF0097">
        <w:rPr>
          <w:b/>
          <w:bCs/>
        </w:rPr>
        <w:t>contradição interna</w:t>
      </w:r>
      <w:r w:rsidRPr="00EF0097">
        <w:t xml:space="preserve"> reside no fato de o aresto embargado ter firmado a premissa de que a arma apreendida estava guardada na casa do embargante, mas, na sequência, conclui, de forma contraditória, que essa arma teria sido disparada em momento anterior, durante a fuga do recorrente </w:t>
      </w:r>
      <w:r w:rsidRPr="00EF0097">
        <w:rPr>
          <w:sz w:val="20"/>
          <w:szCs w:val="18"/>
        </w:rPr>
        <w:t>(</w:t>
      </w:r>
      <w:r w:rsidRPr="00EF0097">
        <w:rPr>
          <w:b/>
          <w:bCs/>
          <w:sz w:val="20"/>
          <w:szCs w:val="18"/>
        </w:rPr>
        <w:t>erro de premissa</w:t>
      </w:r>
      <w:r w:rsidRPr="00EF0097">
        <w:rPr>
          <w:sz w:val="20"/>
          <w:szCs w:val="18"/>
        </w:rPr>
        <w:t>)</w:t>
      </w:r>
      <w:r w:rsidRPr="00EF0097">
        <w:t>, ou seja, quando os policiais ainda não tinham adentrado na residência</w:t>
      </w:r>
      <w:r>
        <w:t>, o que já impõe a absolvição do embargante em relação ao crime de disparo de arma de fogo</w:t>
      </w:r>
      <w:r w:rsidRPr="00EF0097">
        <w:t xml:space="preserve">. </w:t>
      </w:r>
    </w:p>
    <w:p w14:paraId="68B0900C" w14:textId="3F649041" w:rsidR="00AE4E2C" w:rsidRDefault="00E5218F" w:rsidP="00AE4E2C">
      <w:pPr>
        <w:pStyle w:val="SemEspaamento"/>
      </w:pPr>
      <w:r>
        <w:t>Mas não é só.</w:t>
      </w:r>
    </w:p>
    <w:p w14:paraId="24D77C21" w14:textId="365CD8DB" w:rsidR="00E5218F" w:rsidRDefault="00E5218F" w:rsidP="00E5218F">
      <w:pPr>
        <w:pStyle w:val="SemEspaamento"/>
      </w:pPr>
      <w:r>
        <w:t xml:space="preserve">Uma vez dirimida essa contradição interna, o fato é que não há prova da materialidade do delito, inclusive porque o </w:t>
      </w:r>
      <w:r>
        <w:rPr>
          <w:i/>
          <w:iCs/>
        </w:rPr>
        <w:t>decisum</w:t>
      </w:r>
      <w:r>
        <w:t xml:space="preserve"> não levou em consideração </w:t>
      </w:r>
      <w:r w:rsidRPr="006C34A0">
        <w:rPr>
          <w:sz w:val="20"/>
          <w:szCs w:val="18"/>
        </w:rPr>
        <w:t>(</w:t>
      </w:r>
      <w:r w:rsidRPr="006C34A0">
        <w:rPr>
          <w:b/>
          <w:bCs/>
          <w:sz w:val="20"/>
          <w:szCs w:val="18"/>
        </w:rPr>
        <w:t>omissão</w:t>
      </w:r>
      <w:r w:rsidRPr="006C34A0">
        <w:rPr>
          <w:sz w:val="20"/>
          <w:szCs w:val="18"/>
        </w:rPr>
        <w:t>)</w:t>
      </w:r>
      <w:r>
        <w:t xml:space="preserve"> o principal argumento recursal de que “</w:t>
      </w:r>
      <w:r w:rsidRPr="00014CC9">
        <w:rPr>
          <w:b/>
          <w:bCs/>
          <w:i/>
          <w:iCs/>
        </w:rPr>
        <w:t>a arma que supostamente teria sido utilizada para realizar o disparo quanto eventual cápsula ou o projétil dele decorrente não foram encontrados, mesmo após a ampla realização de busca com o suporte canino no local em que o apelante foi preso e próximo ao seu veículo</w:t>
      </w:r>
      <w:r w:rsidRPr="00014CC9">
        <w:rPr>
          <w:i/>
          <w:iCs/>
        </w:rPr>
        <w:t>. Assim sendo, Excelência, do exame dos autos conclui-se que não há sequer prova da materialidade delitiva, ficando isolada a narrativa dos policiais de que o apelante teria atirado com arma de fogo</w:t>
      </w:r>
      <w:r>
        <w:t>”.</w:t>
      </w:r>
    </w:p>
    <w:p w14:paraId="29AC9517" w14:textId="2D5501CE" w:rsidR="00E5218F" w:rsidRDefault="00E5218F" w:rsidP="00E5218F">
      <w:pPr>
        <w:pStyle w:val="SemEspaamento"/>
      </w:pPr>
      <w:r>
        <w:t xml:space="preserve">Além disso, o </w:t>
      </w:r>
      <w:r>
        <w:rPr>
          <w:i/>
          <w:iCs/>
        </w:rPr>
        <w:t>decisum</w:t>
      </w:r>
      <w:r>
        <w:t xml:space="preserve"> desconsiderou </w:t>
      </w:r>
      <w:r w:rsidRPr="00E5218F">
        <w:rPr>
          <w:sz w:val="20"/>
          <w:szCs w:val="18"/>
        </w:rPr>
        <w:t>(</w:t>
      </w:r>
      <w:r w:rsidRPr="00E5218F">
        <w:rPr>
          <w:b/>
          <w:bCs/>
          <w:sz w:val="20"/>
          <w:szCs w:val="18"/>
        </w:rPr>
        <w:t>5º vício</w:t>
      </w:r>
      <w:r>
        <w:rPr>
          <w:sz w:val="20"/>
          <w:szCs w:val="18"/>
        </w:rPr>
        <w:t xml:space="preserve"> – </w:t>
      </w:r>
      <w:r w:rsidRPr="00E5218F">
        <w:rPr>
          <w:b/>
          <w:bCs/>
          <w:sz w:val="20"/>
          <w:szCs w:val="18"/>
        </w:rPr>
        <w:t>omissão</w:t>
      </w:r>
      <w:r w:rsidRPr="00E5218F">
        <w:rPr>
          <w:sz w:val="20"/>
          <w:szCs w:val="18"/>
        </w:rPr>
        <w:t>)</w:t>
      </w:r>
      <w:r>
        <w:t xml:space="preserve"> o fato de que </w:t>
      </w:r>
      <w:r w:rsidRPr="0070497F">
        <w:rPr>
          <w:b/>
          <w:bCs/>
        </w:rPr>
        <w:t xml:space="preserve">o próprio embargante </w:t>
      </w:r>
      <w:r w:rsidRPr="00BA5DBB">
        <w:rPr>
          <w:b/>
          <w:bCs/>
          <w:u w:val="single"/>
        </w:rPr>
        <w:t>pediu</w:t>
      </w:r>
      <w:r w:rsidRPr="0070497F">
        <w:rPr>
          <w:b/>
          <w:bCs/>
        </w:rPr>
        <w:t xml:space="preserve"> a </w:t>
      </w:r>
      <w:r w:rsidRPr="00BA5DBB">
        <w:rPr>
          <w:b/>
          <w:bCs/>
          <w:u w:val="single"/>
        </w:rPr>
        <w:t>realização</w:t>
      </w:r>
      <w:r w:rsidRPr="0070497F">
        <w:rPr>
          <w:b/>
          <w:bCs/>
        </w:rPr>
        <w:t xml:space="preserve"> de </w:t>
      </w:r>
      <w:r w:rsidRPr="00E5218F">
        <w:rPr>
          <w:b/>
          <w:bCs/>
          <w:u w:val="single"/>
        </w:rPr>
        <w:t>exame</w:t>
      </w:r>
      <w:r>
        <w:rPr>
          <w:b/>
          <w:bCs/>
        </w:rPr>
        <w:t xml:space="preserve"> </w:t>
      </w:r>
      <w:r w:rsidRPr="00E5218F">
        <w:rPr>
          <w:b/>
          <w:bCs/>
          <w:u w:val="single"/>
        </w:rPr>
        <w:t>residuográfico</w:t>
      </w:r>
      <w:r w:rsidRPr="00541E26">
        <w:t xml:space="preserve">, </w:t>
      </w:r>
      <w:r>
        <w:t xml:space="preserve">que seria a </w:t>
      </w:r>
      <w:r w:rsidRPr="00BA5DBB">
        <w:rPr>
          <w:b/>
          <w:bCs/>
        </w:rPr>
        <w:t xml:space="preserve">única forma de provar a sua inocência </w:t>
      </w:r>
      <w:r>
        <w:t>em relação ao crime de disparo de arma de fogo, o que não foi realizado por culpa exclusiva da Polícia Científica, em razão da Ordem de Serviço n. 1/23/PCI/IAF/DIR</w:t>
      </w:r>
      <w:r w:rsidR="00C921FE">
        <w:t xml:space="preserve"> </w:t>
      </w:r>
      <w:r w:rsidR="00C921FE" w:rsidRPr="00FC6255">
        <w:rPr>
          <w:sz w:val="20"/>
          <w:szCs w:val="18"/>
        </w:rPr>
        <w:t xml:space="preserve">(evento 62, p. </w:t>
      </w:r>
      <w:r w:rsidR="00FC410C">
        <w:rPr>
          <w:sz w:val="20"/>
          <w:szCs w:val="18"/>
        </w:rPr>
        <w:t>8</w:t>
      </w:r>
      <w:r w:rsidR="00C921FE" w:rsidRPr="00FC6255">
        <w:rPr>
          <w:sz w:val="20"/>
          <w:szCs w:val="18"/>
        </w:rPr>
        <w:t>)</w:t>
      </w:r>
      <w:r>
        <w:t>.</w:t>
      </w:r>
    </w:p>
    <w:p w14:paraId="3A327AFA" w14:textId="12E1A650" w:rsidR="00BA5DBB" w:rsidRDefault="00BA5DBB" w:rsidP="00BA5DBB">
      <w:pPr>
        <w:pStyle w:val="SemEspaamento"/>
      </w:pPr>
      <w:r>
        <w:t>No mais, ao sustentar que “</w:t>
      </w:r>
      <w:r w:rsidRPr="00B57CB8">
        <w:rPr>
          <w:i/>
          <w:iCs/>
        </w:rPr>
        <w:t>o crime de disparo de arma de fogo, classificado como de mera conduta e perigo abstrato, independe da ocorrência de efetivo prejuízo e não se exige para sua configuração a comprovação do dano, bastando que o agente a possua ou a mantenha no interior de sua residência</w:t>
      </w:r>
      <w:r>
        <w:t xml:space="preserve">”, </w:t>
      </w:r>
      <w:r w:rsidRPr="00FC4D87">
        <w:rPr>
          <w:b/>
          <w:bCs/>
        </w:rPr>
        <w:t xml:space="preserve">o aresto embargado confunde esse crime com o delito de posse ilegal de arma de fogo e </w:t>
      </w:r>
      <w:r>
        <w:rPr>
          <w:b/>
          <w:bCs/>
        </w:rPr>
        <w:t xml:space="preserve">incorre em </w:t>
      </w:r>
      <w:r w:rsidRPr="00BA5DBB">
        <w:rPr>
          <w:b/>
          <w:bCs/>
          <w:u w:val="single"/>
        </w:rPr>
        <w:t>omissão</w:t>
      </w:r>
      <w:r>
        <w:rPr>
          <w:b/>
          <w:bCs/>
        </w:rPr>
        <w:t xml:space="preserve"> em relação à </w:t>
      </w:r>
      <w:r w:rsidRPr="00FC4D87">
        <w:rPr>
          <w:b/>
          <w:bCs/>
        </w:rPr>
        <w:t>correta aplicação do art. 15 da Lei n. 10.826/2003</w:t>
      </w:r>
      <w:r>
        <w:t>, sobretudo porque o tipo penal exige a conduta de “</w:t>
      </w:r>
      <w:r w:rsidRPr="00FC4D87">
        <w:rPr>
          <w:i/>
          <w:iCs/>
        </w:rPr>
        <w:t>Disparar arma de fogo ou acionar munição em lugar habitado ou em suas adjacências</w:t>
      </w:r>
      <w:r>
        <w:t>”, o que exige o devido esclarecimento</w:t>
      </w:r>
      <w:r w:rsidR="00C921FE">
        <w:t xml:space="preserve"> </w:t>
      </w:r>
      <w:r w:rsidR="00C921FE" w:rsidRPr="00FC6255">
        <w:rPr>
          <w:sz w:val="20"/>
          <w:szCs w:val="18"/>
        </w:rPr>
        <w:t xml:space="preserve">(evento 62, p. </w:t>
      </w:r>
      <w:r w:rsidR="00C921FE">
        <w:rPr>
          <w:sz w:val="20"/>
          <w:szCs w:val="18"/>
        </w:rPr>
        <w:t>8</w:t>
      </w:r>
      <w:r w:rsidR="00C921FE" w:rsidRPr="00FC6255">
        <w:rPr>
          <w:sz w:val="20"/>
          <w:szCs w:val="18"/>
        </w:rPr>
        <w:t>)</w:t>
      </w:r>
      <w:r w:rsidRPr="00B57CB8">
        <w:t>.</w:t>
      </w:r>
    </w:p>
    <w:p w14:paraId="3E251FCA" w14:textId="40B1AFEE" w:rsidR="00E5218F" w:rsidRDefault="00BA5DBB" w:rsidP="00AE4E2C">
      <w:pPr>
        <w:pStyle w:val="SemEspaamento"/>
      </w:pPr>
      <w:r>
        <w:t xml:space="preserve">E a </w:t>
      </w:r>
      <w:r>
        <w:rPr>
          <w:b/>
          <w:bCs/>
        </w:rPr>
        <w:t>penúltima omissão</w:t>
      </w:r>
      <w:r>
        <w:t xml:space="preserve"> identificada porque, ao condenar o embargante pelo crime de ameaça, o acórdão recorrido não considerou </w:t>
      </w:r>
      <w:r w:rsidRPr="00E42D9A">
        <w:rPr>
          <w:sz w:val="20"/>
          <w:szCs w:val="18"/>
        </w:rPr>
        <w:t>(</w:t>
      </w:r>
      <w:r w:rsidRPr="00BA5DBB">
        <w:rPr>
          <w:b/>
          <w:bCs/>
          <w:sz w:val="22"/>
        </w:rPr>
        <w:t>omissão</w:t>
      </w:r>
      <w:r w:rsidRPr="00E42D9A">
        <w:rPr>
          <w:sz w:val="20"/>
          <w:szCs w:val="18"/>
        </w:rPr>
        <w:t>)</w:t>
      </w:r>
      <w:r>
        <w:t xml:space="preserve"> o argumento recursal de que “</w:t>
      </w:r>
      <w:r w:rsidRPr="00AE1EED">
        <w:rPr>
          <w:i/>
          <w:iCs/>
        </w:rPr>
        <w:t xml:space="preserve">o fato de os policiais terem optado por </w:t>
      </w:r>
      <w:r w:rsidRPr="00AE1EED">
        <w:rPr>
          <w:i/>
          <w:iCs/>
          <w:u w:val="single"/>
        </w:rPr>
        <w:t>não</w:t>
      </w:r>
      <w:r w:rsidRPr="00AE1EED">
        <w:rPr>
          <w:i/>
          <w:iCs/>
        </w:rPr>
        <w:t xml:space="preserve"> </w:t>
      </w:r>
      <w:r w:rsidRPr="00AE1EED">
        <w:rPr>
          <w:i/>
          <w:iCs/>
          <w:u w:val="single"/>
        </w:rPr>
        <w:t>gravar</w:t>
      </w:r>
      <w:r w:rsidRPr="00AE1EED">
        <w:rPr>
          <w:i/>
          <w:iCs/>
        </w:rPr>
        <w:t xml:space="preserve"> a </w:t>
      </w:r>
      <w:r w:rsidRPr="00AE1EED">
        <w:rPr>
          <w:i/>
          <w:iCs/>
          <w:u w:val="single"/>
        </w:rPr>
        <w:t>ocorrência</w:t>
      </w:r>
      <w:r w:rsidRPr="00AE1EED">
        <w:rPr>
          <w:i/>
          <w:iCs/>
        </w:rPr>
        <w:t xml:space="preserve"> pelo meio audiovisual que estavam à sua disposição </w:t>
      </w:r>
      <w:r w:rsidRPr="00AE1EED">
        <w:rPr>
          <w:i/>
          <w:iCs/>
          <w:sz w:val="20"/>
          <w:szCs w:val="18"/>
        </w:rPr>
        <w:t>(câmera corporal)</w:t>
      </w:r>
      <w:r w:rsidRPr="00AE1EED">
        <w:rPr>
          <w:i/>
          <w:iCs/>
        </w:rPr>
        <w:t xml:space="preserve"> impossibilita que se confira a certeza necessária para a condenação do apelante. Além disso, em seu interrogatório judicial o recorrente negou ter ameaçado os policiais, o que contrasta com a versão apresentada pelas autoridades de segurança e reforça a dúvida em relação à existência desse delito</w:t>
      </w:r>
      <w:r>
        <w:t>”, teses recursais que, uma vez consideradas, demonstram a falta a existência de materialidade delitiva quanto ao crime do art. 147 do CP</w:t>
      </w:r>
      <w:r w:rsidR="00FC410C">
        <w:t xml:space="preserve"> </w:t>
      </w:r>
      <w:r w:rsidR="00FC410C" w:rsidRPr="00FC6255">
        <w:rPr>
          <w:sz w:val="20"/>
          <w:szCs w:val="18"/>
        </w:rPr>
        <w:t xml:space="preserve">(evento 62, p. </w:t>
      </w:r>
      <w:r w:rsidR="00FC410C">
        <w:rPr>
          <w:sz w:val="20"/>
          <w:szCs w:val="18"/>
        </w:rPr>
        <w:t>8/9</w:t>
      </w:r>
      <w:r w:rsidR="00FC410C" w:rsidRPr="00FC6255">
        <w:rPr>
          <w:sz w:val="20"/>
          <w:szCs w:val="18"/>
        </w:rPr>
        <w:t>)</w:t>
      </w:r>
      <w:r>
        <w:t>.</w:t>
      </w:r>
    </w:p>
    <w:p w14:paraId="79616CDC" w14:textId="097CEA05" w:rsidR="00BA5DBB" w:rsidRDefault="00BA5DBB" w:rsidP="00BA5DBB">
      <w:pPr>
        <w:pStyle w:val="SemEspaamento"/>
      </w:pPr>
      <w:r>
        <w:t>Por fim, o aresto embargado determinou o perdimento de bens,</w:t>
      </w:r>
      <w:r w:rsidRPr="00D11FDF">
        <w:t xml:space="preserve"> </w:t>
      </w:r>
      <w:r>
        <w:t xml:space="preserve">no entanto, sem considerar </w:t>
      </w:r>
      <w:r w:rsidRPr="00CA365C">
        <w:rPr>
          <w:sz w:val="20"/>
          <w:szCs w:val="18"/>
        </w:rPr>
        <w:t>(</w:t>
      </w:r>
      <w:r w:rsidRPr="00CA365C">
        <w:rPr>
          <w:b/>
          <w:bCs/>
          <w:sz w:val="20"/>
          <w:szCs w:val="18"/>
        </w:rPr>
        <w:t>omissão</w:t>
      </w:r>
      <w:r w:rsidRPr="00CA365C">
        <w:rPr>
          <w:sz w:val="20"/>
          <w:szCs w:val="18"/>
        </w:rPr>
        <w:t>)</w:t>
      </w:r>
      <w:r>
        <w:t xml:space="preserve"> que o recorrente juntou aos autos documentação demonstrando que o celular foi adquirido por sua mãe, ou seja, não há dúvida de que tem origem lícita</w:t>
      </w:r>
      <w:r w:rsidR="00FC410C">
        <w:t xml:space="preserve"> </w:t>
      </w:r>
      <w:r w:rsidR="00FC410C" w:rsidRPr="00FC6255">
        <w:rPr>
          <w:sz w:val="20"/>
          <w:szCs w:val="18"/>
        </w:rPr>
        <w:t xml:space="preserve">(evento 62, p. </w:t>
      </w:r>
      <w:r w:rsidR="00FC410C">
        <w:rPr>
          <w:sz w:val="20"/>
          <w:szCs w:val="18"/>
        </w:rPr>
        <w:t>10</w:t>
      </w:r>
      <w:r w:rsidR="00FC410C" w:rsidRPr="00FC6255">
        <w:rPr>
          <w:sz w:val="20"/>
          <w:szCs w:val="18"/>
        </w:rPr>
        <w:t>)</w:t>
      </w:r>
      <w:r>
        <w:t>.</w:t>
      </w:r>
    </w:p>
    <w:p w14:paraId="12F7CE2F" w14:textId="515F51DF" w:rsidR="00BA5DBB" w:rsidRDefault="00BA5DBB" w:rsidP="00BA5DBB">
      <w:pPr>
        <w:pStyle w:val="SemEspaamento"/>
      </w:pPr>
      <w:r>
        <w:t xml:space="preserve">Além disso, o próprio acórdão confirma que não há prova cabal do </w:t>
      </w:r>
      <w:r w:rsidRPr="00BA5DBB">
        <w:rPr>
          <w:u w:val="single"/>
        </w:rPr>
        <w:t>uso</w:t>
      </w:r>
      <w:r>
        <w:t xml:space="preserve"> </w:t>
      </w:r>
      <w:r w:rsidRPr="00BA5DBB">
        <w:rPr>
          <w:u w:val="single"/>
        </w:rPr>
        <w:t>do</w:t>
      </w:r>
      <w:r>
        <w:t xml:space="preserve"> </w:t>
      </w:r>
      <w:r w:rsidRPr="00BA5DBB">
        <w:rPr>
          <w:u w:val="single"/>
        </w:rPr>
        <w:t>aparelho</w:t>
      </w:r>
      <w:r>
        <w:t xml:space="preserve"> </w:t>
      </w:r>
      <w:r w:rsidRPr="00BA5DBB">
        <w:rPr>
          <w:u w:val="single"/>
        </w:rPr>
        <w:t>para</w:t>
      </w:r>
      <w:r>
        <w:t xml:space="preserve"> </w:t>
      </w:r>
      <w:r w:rsidRPr="00BA5DBB">
        <w:rPr>
          <w:u w:val="single"/>
        </w:rPr>
        <w:t>finalidade</w:t>
      </w:r>
      <w:r>
        <w:t xml:space="preserve"> </w:t>
      </w:r>
      <w:r w:rsidRPr="00BA5DBB">
        <w:rPr>
          <w:u w:val="single"/>
        </w:rPr>
        <w:t>ilícita</w:t>
      </w:r>
      <w:r>
        <w:t>, sobretudo quando argumenta que “</w:t>
      </w:r>
      <w:r w:rsidRPr="005753FD">
        <w:rPr>
          <w:i/>
          <w:iCs/>
        </w:rPr>
        <w:t xml:space="preserve">o acusado tentou dispensar o aparelho telefônico momento da abordagem policial, situação esta que </w:t>
      </w:r>
      <w:r w:rsidRPr="005753FD">
        <w:rPr>
          <w:b/>
          <w:bCs/>
          <w:i/>
          <w:iCs/>
        </w:rPr>
        <w:t>indica a existência</w:t>
      </w:r>
      <w:r w:rsidRPr="005753FD">
        <w:rPr>
          <w:i/>
          <w:iCs/>
        </w:rPr>
        <w:t xml:space="preserve"> de conteúdo vinculado à atividade ilícita”</w:t>
      </w:r>
      <w:r w:rsidR="00FC410C">
        <w:rPr>
          <w:i/>
          <w:iCs/>
        </w:rPr>
        <w:t xml:space="preserve"> </w:t>
      </w:r>
      <w:r w:rsidR="00FC410C" w:rsidRPr="00FC6255">
        <w:rPr>
          <w:sz w:val="20"/>
          <w:szCs w:val="18"/>
        </w:rPr>
        <w:t xml:space="preserve">(evento 62, p. </w:t>
      </w:r>
      <w:r w:rsidR="00FC410C">
        <w:rPr>
          <w:sz w:val="20"/>
          <w:szCs w:val="18"/>
        </w:rPr>
        <w:t>10</w:t>
      </w:r>
      <w:r w:rsidR="00FC410C" w:rsidRPr="00FC6255">
        <w:rPr>
          <w:sz w:val="20"/>
          <w:szCs w:val="18"/>
        </w:rPr>
        <w:t>)</w:t>
      </w:r>
      <w:r>
        <w:t xml:space="preserve">. </w:t>
      </w:r>
    </w:p>
    <w:p w14:paraId="299A225E" w14:textId="5AA44ADB" w:rsidR="00BA5DBB" w:rsidRDefault="00BA5DBB" w:rsidP="00BA5DBB">
      <w:pPr>
        <w:pStyle w:val="SemEspaamento"/>
      </w:pPr>
      <w:r>
        <w:t>E,</w:t>
      </w:r>
      <w:r w:rsidRPr="00BA5DBB">
        <w:t xml:space="preserve"> </w:t>
      </w:r>
      <w:r>
        <w:t xml:space="preserve">esclarecida essa última omissão apontada, notadamente quanto à aquisição do celular pela mãe do embargante e à ausência de prova do uso do celular para fins ilícitos, </w:t>
      </w:r>
      <w:r w:rsidR="00E92616">
        <w:t xml:space="preserve">deve ser devolvido o </w:t>
      </w:r>
      <w:r>
        <w:t xml:space="preserve">aparelho </w:t>
      </w:r>
      <w:r w:rsidR="00E92616">
        <w:t>celular apreendido</w:t>
      </w:r>
      <w:r>
        <w:t>.</w:t>
      </w:r>
    </w:p>
    <w:p w14:paraId="597FEEB1" w14:textId="0D962BE4" w:rsidR="00304E64" w:rsidRDefault="00BA5DBB" w:rsidP="00304E64">
      <w:pPr>
        <w:pStyle w:val="SemEspaamento"/>
      </w:pPr>
      <w:r>
        <w:t>Feitas essas considerações</w:t>
      </w:r>
      <w:r w:rsidR="00304E64">
        <w:t xml:space="preserve">, Excelência, </w:t>
      </w:r>
      <w:r>
        <w:t xml:space="preserve">o embargante </w:t>
      </w:r>
      <w:r w:rsidR="00304E64">
        <w:t>reitera e confia no provimento</w:t>
      </w:r>
      <w:r>
        <w:t xml:space="preserve"> dos aclaratórios opostos</w:t>
      </w:r>
      <w:r w:rsidR="00304E64">
        <w:t>, nos termos requeridos nas razões recursais</w:t>
      </w:r>
      <w:r>
        <w:t xml:space="preserve">, sobretudo para reconhecer a falta de validade da palavra dos policiais, diante da opção deliberada pelo </w:t>
      </w:r>
      <w:r w:rsidRPr="00BA5DBB">
        <w:rPr>
          <w:u w:val="single"/>
        </w:rPr>
        <w:t>desligamento</w:t>
      </w:r>
      <w:r>
        <w:t xml:space="preserve"> </w:t>
      </w:r>
      <w:r w:rsidRPr="00BA5DBB">
        <w:rPr>
          <w:u w:val="single"/>
        </w:rPr>
        <w:t>das</w:t>
      </w:r>
      <w:r>
        <w:t xml:space="preserve"> </w:t>
      </w:r>
      <w:r w:rsidRPr="00BA5DBB">
        <w:rPr>
          <w:u w:val="single"/>
        </w:rPr>
        <w:t>câmeras</w:t>
      </w:r>
      <w:r>
        <w:t xml:space="preserve"> </w:t>
      </w:r>
      <w:r w:rsidRPr="00BA5DBB">
        <w:rPr>
          <w:u w:val="single"/>
        </w:rPr>
        <w:t>corporais</w:t>
      </w:r>
      <w:r>
        <w:t xml:space="preserve">, sendo reconhecida a violação de domicílio e a ilegalidade da busca e apreensão realizada e a absolvição de todos os delitos cuja condenação estão pautadas somente no relato dos agentes públicos </w:t>
      </w:r>
      <w:r w:rsidRPr="00BA5DBB">
        <w:rPr>
          <w:sz w:val="20"/>
          <w:szCs w:val="18"/>
        </w:rPr>
        <w:t>(art. 311 do CTB, art. 15 da Lei n. 10.826/03 e art. 147 do CP)</w:t>
      </w:r>
      <w:r>
        <w:t>, além de determinar a devolução do aparelho celular adquirido pela mãe do recorrente</w:t>
      </w:r>
      <w:r w:rsidR="00304E64">
        <w:t>.</w:t>
      </w:r>
    </w:p>
    <w:p w14:paraId="3284706C" w14:textId="77777777" w:rsidR="00304E64" w:rsidRDefault="00304E64" w:rsidP="00BA5DBB">
      <w:pPr>
        <w:pStyle w:val="Ttulo2"/>
        <w:rPr>
          <w:rFonts w:eastAsia="Calibri"/>
        </w:rPr>
      </w:pPr>
    </w:p>
    <w:p w14:paraId="42D7B402" w14:textId="3928275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E16AC">
        <w:rPr>
          <w:rFonts w:ascii="Arial" w:eastAsia="Calibri" w:hAnsi="Arial" w:cs="Times New Roman"/>
          <w:noProof/>
          <w:sz w:val="24"/>
          <w:szCs w:val="24"/>
        </w:rPr>
        <w:t>6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821891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99430E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261FE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A2F460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085F2B2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DBC7F1D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B166822" w14:textId="77777777" w:rsidR="000169F1" w:rsidRPr="00377A2E" w:rsidRDefault="000169F1" w:rsidP="000169F1"/>
    <w:p w14:paraId="75A59C5E" w14:textId="77777777" w:rsidR="00131BEB" w:rsidRPr="000169F1" w:rsidRDefault="00131BEB" w:rsidP="000169F1"/>
    <w:sectPr w:rsidR="00131BEB" w:rsidRPr="000169F1" w:rsidSect="00BA5DBB">
      <w:headerReference w:type="default" r:id="rId8"/>
      <w:footerReference w:type="default" r:id="rId9"/>
      <w:pgSz w:w="11906" w:h="16838"/>
      <w:pgMar w:top="1843" w:right="1416" w:bottom="1276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F9FFA" w14:textId="77777777" w:rsidR="00A22FF9" w:rsidRDefault="00A22FF9" w:rsidP="00943258">
      <w:pPr>
        <w:spacing w:after="0" w:line="240" w:lineRule="auto"/>
      </w:pPr>
      <w:r>
        <w:separator/>
      </w:r>
    </w:p>
  </w:endnote>
  <w:endnote w:type="continuationSeparator" w:id="0">
    <w:p w14:paraId="552561FF" w14:textId="77777777" w:rsidR="00A22FF9" w:rsidRDefault="00A22FF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510E8D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084FBF6" wp14:editId="38C2F63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66040726" name="Imagem 9660407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C0913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84CD" w14:textId="77777777" w:rsidR="00A22FF9" w:rsidRDefault="00A22FF9" w:rsidP="00943258">
      <w:pPr>
        <w:spacing w:after="0" w:line="240" w:lineRule="auto"/>
      </w:pPr>
      <w:r>
        <w:separator/>
      </w:r>
    </w:p>
  </w:footnote>
  <w:footnote w:type="continuationSeparator" w:id="0">
    <w:p w14:paraId="26293848" w14:textId="77777777" w:rsidR="00A22FF9" w:rsidRDefault="00A22FF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7F8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D87B0D3" wp14:editId="6997683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95984060" name="Imagem 169598406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766044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FBF49F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885AD0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83"/>
    <w:rsid w:val="00003F31"/>
    <w:rsid w:val="000169F1"/>
    <w:rsid w:val="0004298B"/>
    <w:rsid w:val="00047E3C"/>
    <w:rsid w:val="00097661"/>
    <w:rsid w:val="000D228C"/>
    <w:rsid w:val="00131BEB"/>
    <w:rsid w:val="001667B0"/>
    <w:rsid w:val="001761C0"/>
    <w:rsid w:val="00177A7C"/>
    <w:rsid w:val="00183BE2"/>
    <w:rsid w:val="001B2B98"/>
    <w:rsid w:val="001B2E75"/>
    <w:rsid w:val="00201F45"/>
    <w:rsid w:val="00207BE4"/>
    <w:rsid w:val="00214E09"/>
    <w:rsid w:val="00272BFB"/>
    <w:rsid w:val="00291F6C"/>
    <w:rsid w:val="002D0B13"/>
    <w:rsid w:val="00304E64"/>
    <w:rsid w:val="00377A2E"/>
    <w:rsid w:val="003801CD"/>
    <w:rsid w:val="003E46B9"/>
    <w:rsid w:val="0046675A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97C5A"/>
    <w:rsid w:val="006C0DFC"/>
    <w:rsid w:val="00722DF5"/>
    <w:rsid w:val="00795616"/>
    <w:rsid w:val="00797900"/>
    <w:rsid w:val="007C36DB"/>
    <w:rsid w:val="00801668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22FF9"/>
    <w:rsid w:val="00A44FF3"/>
    <w:rsid w:val="00AB3EED"/>
    <w:rsid w:val="00AE4E2C"/>
    <w:rsid w:val="00B14A81"/>
    <w:rsid w:val="00B6363E"/>
    <w:rsid w:val="00BA2544"/>
    <w:rsid w:val="00BA5DBB"/>
    <w:rsid w:val="00C03B4C"/>
    <w:rsid w:val="00C0456B"/>
    <w:rsid w:val="00C53665"/>
    <w:rsid w:val="00C921FE"/>
    <w:rsid w:val="00CB5FC5"/>
    <w:rsid w:val="00D32740"/>
    <w:rsid w:val="00D47F83"/>
    <w:rsid w:val="00DE0162"/>
    <w:rsid w:val="00DE0552"/>
    <w:rsid w:val="00DE16AC"/>
    <w:rsid w:val="00DF5478"/>
    <w:rsid w:val="00E05790"/>
    <w:rsid w:val="00E5218F"/>
    <w:rsid w:val="00E62D00"/>
    <w:rsid w:val="00E90F3C"/>
    <w:rsid w:val="00E92616"/>
    <w:rsid w:val="00E968BB"/>
    <w:rsid w:val="00EB4346"/>
    <w:rsid w:val="00EE3903"/>
    <w:rsid w:val="00F11B2C"/>
    <w:rsid w:val="00F22B73"/>
    <w:rsid w:val="00F96DE0"/>
    <w:rsid w:val="00FA7890"/>
    <w:rsid w:val="00FB3A3F"/>
    <w:rsid w:val="00FC410C"/>
    <w:rsid w:val="00FC6255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F1EC23"/>
  <w15:chartTrackingRefBased/>
  <w15:docId w15:val="{A2E23D93-20B2-47F0-8277-5E75D1E9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47</TotalTime>
  <Pages>4</Pages>
  <Words>1259</Words>
  <Characters>6527</Characters>
  <Application>Microsoft Office Word</Application>
  <DocSecurity>0</DocSecurity>
  <Lines>123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2025-08-05T20:57:00Z</dcterms:created>
  <dcterms:modified xsi:type="dcterms:W3CDTF">2025-08-06T17:43:00Z</dcterms:modified>
</cp:coreProperties>
</file>