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AC343" w14:textId="21B0D5A6" w:rsidR="000169F1" w:rsidRDefault="00506D87" w:rsidP="00506D87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34CEBA" wp14:editId="584ECD91">
                <wp:simplePos x="0" y="0"/>
                <wp:positionH relativeFrom="column">
                  <wp:posOffset>-62230</wp:posOffset>
                </wp:positionH>
                <wp:positionV relativeFrom="paragraph">
                  <wp:posOffset>-27305</wp:posOffset>
                </wp:positionV>
                <wp:extent cx="3848100" cy="904875"/>
                <wp:effectExtent l="0" t="0" r="1905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3093C" id="Retângulo: Cantos Diagonais Arredondados 1" o:spid="_x0000_s1026" style="position:absolute;margin-left:-4.9pt;margin-top:-2.15pt;width:303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48100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" path="m150816,l3848100,r,l3848100,754059v,83293,-67523,150816,-150816,150816l,904875r,l,150816c,67523,67523,,150816,xe" filled="f" strokecolor="#5b9bd5 [3208]" strokeweight="1pt">
                <v:stroke joinstyle="miter"/>
                <v:path arrowok="t" o:connecttype="custom" o:connectlocs="150816,0;3848100,0;3848100,0;3848100,754059;3697284,904875;0,904875;0,904875;0,150816;150816,0" o:connectangles="0,0,0,0,0,0,0,0,0"/>
              </v:shape>
            </w:pict>
          </mc:Fallback>
        </mc:AlternateContent>
      </w:r>
      <w:r w:rsidRPr="00506D87">
        <w:rPr>
          <w:rFonts w:ascii="Arial" w:eastAsia="Calibri" w:hAnsi="Arial" w:cs="Times New Roman"/>
        </w:rPr>
        <w:t>Apelação cível n. 0300870-59.2017.8.24.0057</w:t>
      </w:r>
      <w:r>
        <w:rPr>
          <w:rFonts w:ascii="Arial" w:eastAsia="Calibri" w:hAnsi="Arial" w:cs="Times New Roman"/>
        </w:rPr>
        <w:t>.</w:t>
      </w:r>
    </w:p>
    <w:p w14:paraId="7B36863C" w14:textId="2BD1DBE8" w:rsidR="00506D87" w:rsidRDefault="00506D87" w:rsidP="00506D87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Apelante: Maria Del Rosario Castillo Stauber</w:t>
      </w:r>
    </w:p>
    <w:p w14:paraId="6301E8E2" w14:textId="4C8B363B" w:rsidR="00506D87" w:rsidRDefault="00506D87" w:rsidP="00506D87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Apelados: Arlindo Lehmkuhl e Isolete Maria Lehmkuhl</w:t>
      </w:r>
    </w:p>
    <w:p w14:paraId="1C7EF32D" w14:textId="6961D34E" w:rsidR="00506D87" w:rsidRDefault="00506D87" w:rsidP="00506D87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 Osmar Nunes Júnior</w:t>
      </w:r>
      <w:r>
        <w:rPr>
          <w:rFonts w:ascii="Arial" w:eastAsia="Calibri" w:hAnsi="Arial" w:cs="Times New Roman"/>
        </w:rPr>
        <w:t>.</w:t>
      </w:r>
    </w:p>
    <w:p w14:paraId="67D0B12F" w14:textId="55EB8262" w:rsidR="00506D87" w:rsidRDefault="00506D87" w:rsidP="00506D87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Data do julgamento: 11.4.2024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>Nº de pauta: 93</w:t>
      </w:r>
    </w:p>
    <w:p w14:paraId="778F4A80" w14:textId="77777777" w:rsidR="00506D87" w:rsidRPr="00506D87" w:rsidRDefault="00506D87" w:rsidP="00506D87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1F6BE26A" w14:textId="77777777" w:rsidR="000169F1" w:rsidRPr="00136102" w:rsidRDefault="000169F1" w:rsidP="009D6648">
      <w:pPr>
        <w:pStyle w:val="Ttulo2"/>
        <w:rPr>
          <w:rFonts w:eastAsia="Calibri"/>
        </w:rPr>
      </w:pPr>
    </w:p>
    <w:p w14:paraId="5166BBE1" w14:textId="77777777" w:rsidR="00506D87" w:rsidRPr="00385759" w:rsidRDefault="000169F1" w:rsidP="00506D87">
      <w:pPr>
        <w:pStyle w:val="Qualificao"/>
        <w:ind w:left="0" w:right="284"/>
        <w:jc w:val="center"/>
        <w:rPr>
          <w:b/>
          <w:sz w:val="22"/>
        </w:rPr>
      </w:pPr>
      <w:r>
        <w:rPr>
          <w:rFonts w:eastAsia="Calibri"/>
          <w:sz w:val="24"/>
          <w:szCs w:val="24"/>
        </w:rPr>
        <w:tab/>
      </w:r>
      <w:r w:rsidR="00506D87" w:rsidRPr="00385759">
        <w:rPr>
          <w:b/>
          <w:sz w:val="22"/>
        </w:rPr>
        <w:t>MEMORIAIS PEL</w:t>
      </w:r>
      <w:r w:rsidR="00506D87">
        <w:rPr>
          <w:b/>
          <w:sz w:val="22"/>
        </w:rPr>
        <w:t>A APELANTE MARIA DEL ROSARIO CASTILLO STAUBER</w:t>
      </w:r>
    </w:p>
    <w:p w14:paraId="6D428FC9" w14:textId="77777777" w:rsidR="00506D87" w:rsidRPr="00385759" w:rsidRDefault="00506D87" w:rsidP="009D6648">
      <w:pPr>
        <w:pStyle w:val="Qualificaodaspartes"/>
      </w:pPr>
    </w:p>
    <w:p w14:paraId="2D930530" w14:textId="08D1C52B" w:rsidR="00506D87" w:rsidRPr="00385759" w:rsidRDefault="00506D87" w:rsidP="00506D87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 xml:space="preserve">EMINENTE DESEMBARGADOR </w:t>
      </w:r>
      <w:r w:rsidR="006C0CCB" w:rsidRPr="006C0CCB">
        <w:rPr>
          <w:rFonts w:ascii="Arial" w:eastAsia="Calibri" w:hAnsi="Arial" w:cs="Arial"/>
          <w:b/>
        </w:rPr>
        <w:t>ÁLVARO LUIZ PEREIRA DE ANDRADE</w:t>
      </w:r>
    </w:p>
    <w:p w14:paraId="7C3ABCF4" w14:textId="77777777" w:rsidR="00506D87" w:rsidRPr="009D6648" w:rsidRDefault="00506D87" w:rsidP="009E7F49">
      <w:pPr>
        <w:pStyle w:val="Qualificao"/>
        <w:spacing w:before="0"/>
        <w:ind w:left="0" w:right="284"/>
        <w:rPr>
          <w:rFonts w:eastAsia="Calibri"/>
          <w:b/>
          <w:sz w:val="16"/>
          <w:szCs w:val="16"/>
        </w:rPr>
      </w:pPr>
    </w:p>
    <w:p w14:paraId="746FD785" w14:textId="77777777" w:rsidR="00506D87" w:rsidRPr="00385759" w:rsidRDefault="00506D87" w:rsidP="009D6648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 xml:space="preserve">COLENDA </w:t>
      </w:r>
      <w:r>
        <w:rPr>
          <w:b/>
          <w:sz w:val="22"/>
        </w:rPr>
        <w:t xml:space="preserve">SÉTIMA </w:t>
      </w:r>
      <w:r w:rsidRPr="00385759">
        <w:rPr>
          <w:b/>
          <w:sz w:val="22"/>
        </w:rPr>
        <w:t xml:space="preserve">CÂMARA DE DIREITO </w:t>
      </w:r>
      <w:r>
        <w:rPr>
          <w:b/>
          <w:sz w:val="22"/>
        </w:rPr>
        <w:t>CIVIL</w:t>
      </w:r>
    </w:p>
    <w:p w14:paraId="01AC0554" w14:textId="77777777" w:rsidR="00506D87" w:rsidRPr="008668BB" w:rsidRDefault="00506D87" w:rsidP="00506D87">
      <w:pPr>
        <w:tabs>
          <w:tab w:val="left" w:pos="708"/>
          <w:tab w:val="center" w:pos="4252"/>
          <w:tab w:val="right" w:pos="8504"/>
        </w:tabs>
        <w:spacing w:line="276" w:lineRule="auto"/>
        <w:jc w:val="both"/>
        <w:rPr>
          <w:rFonts w:ascii="Arial" w:hAnsi="Arial" w:cs="Arial"/>
          <w:bCs/>
          <w:iCs/>
          <w:sz w:val="12"/>
          <w:szCs w:val="12"/>
        </w:rPr>
      </w:pPr>
    </w:p>
    <w:p w14:paraId="3F550C4E" w14:textId="77777777" w:rsidR="00506D87" w:rsidRPr="008668BB" w:rsidRDefault="00506D87" w:rsidP="00506D87">
      <w:pPr>
        <w:tabs>
          <w:tab w:val="left" w:pos="708"/>
          <w:tab w:val="center" w:pos="4252"/>
          <w:tab w:val="right" w:pos="8504"/>
        </w:tabs>
        <w:spacing w:line="276" w:lineRule="auto"/>
        <w:jc w:val="both"/>
        <w:rPr>
          <w:rFonts w:ascii="Arial" w:hAnsi="Arial" w:cs="Arial"/>
          <w:bCs/>
          <w:iCs/>
          <w:sz w:val="18"/>
          <w:szCs w:val="18"/>
        </w:rPr>
      </w:pPr>
    </w:p>
    <w:p w14:paraId="3CC5ED4C" w14:textId="1D015772" w:rsidR="00506D87" w:rsidRDefault="00506D87" w:rsidP="009E7F49">
      <w:pPr>
        <w:pStyle w:val="SemEspaamento"/>
      </w:pPr>
      <w:r>
        <w:t xml:space="preserve">Os apelados Arlindo e Isolete ajuizaram ação de manutenção de posse com pedido liminar contra a apelante Maria del Rosario, ao argumento de que ela estaria supostamente turbando um terreno rural com área de 8.712,00 m², localizado no Município de Santo Amaro da Imperatriz/SC. </w:t>
      </w:r>
    </w:p>
    <w:p w14:paraId="102D48BD" w14:textId="2F34A763" w:rsidR="00506D87" w:rsidRDefault="00506D87" w:rsidP="009E7F49">
      <w:pPr>
        <w:pStyle w:val="SemEspaamento"/>
      </w:pPr>
      <w:r w:rsidRPr="00D45377">
        <w:t>Comprovada a aquisição da referida área p</w:t>
      </w:r>
      <w:r w:rsidR="00A04FDB">
        <w:t xml:space="preserve">ela apelante </w:t>
      </w:r>
      <w:r w:rsidRPr="00D45377">
        <w:t xml:space="preserve">Maria Del Rosario, segundo escritura pública de compra e venda lavrada na Comarca de Santo Amaro da Imperatriz/SC </w:t>
      </w:r>
      <w:r w:rsidRPr="00506D87">
        <w:rPr>
          <w:sz w:val="20"/>
          <w:szCs w:val="20"/>
        </w:rPr>
        <w:t>(evento 23, INF28)</w:t>
      </w:r>
      <w:r w:rsidRPr="00D45377">
        <w:t>, a controvérsia estabelecida entre as partes reside sobre o exercício da posse do imóvel</w:t>
      </w:r>
      <w:r>
        <w:t xml:space="preserve">: enquanto </w:t>
      </w:r>
      <w:r w:rsidRPr="006759DF">
        <w:t xml:space="preserve">Arlindo e Isolete </w:t>
      </w:r>
      <w:r>
        <w:t>alegam</w:t>
      </w:r>
      <w:r w:rsidRPr="006759DF">
        <w:t xml:space="preserve"> que “</w:t>
      </w:r>
      <w:r w:rsidRPr="00506D87">
        <w:rPr>
          <w:i/>
          <w:iCs/>
        </w:rPr>
        <w:t>exercem a posse mansa e pacífica, sem jamais terem sido turbados ou esbulhados</w:t>
      </w:r>
      <w:r w:rsidRPr="006759DF">
        <w:t>”, e que, inclusive, “</w:t>
      </w:r>
      <w:r w:rsidRPr="00506D87">
        <w:rPr>
          <w:i/>
          <w:iCs/>
        </w:rPr>
        <w:t>criam gado</w:t>
      </w:r>
      <w:r w:rsidRPr="006759DF">
        <w:t>”</w:t>
      </w:r>
      <w:r>
        <w:t>,</w:t>
      </w:r>
      <w:r w:rsidRPr="006759DF">
        <w:t xml:space="preserve"> </w:t>
      </w:r>
      <w:r>
        <w:t xml:space="preserve">a apelante afirma ser a legítima proprietária e possuidora do bem, consignando que nunca houve atividade pecuária sobre o imóvel </w:t>
      </w:r>
      <w:r w:rsidRPr="00D9173C">
        <w:rPr>
          <w:i/>
          <w:iCs/>
        </w:rPr>
        <w:t>sub judice</w:t>
      </w:r>
      <w:r>
        <w:t>.</w:t>
      </w:r>
    </w:p>
    <w:p w14:paraId="344C431E" w14:textId="36D08769" w:rsidR="00506D87" w:rsidRDefault="00506D87" w:rsidP="009E7F49">
      <w:pPr>
        <w:pStyle w:val="SemEspaamento"/>
      </w:pPr>
      <w:r w:rsidRPr="007048A7">
        <w:t xml:space="preserve">Finalizada a </w:t>
      </w:r>
      <w:r>
        <w:t xml:space="preserve">fase de </w:t>
      </w:r>
      <w:r w:rsidRPr="007048A7">
        <w:t xml:space="preserve">instrução </w:t>
      </w:r>
      <w:r>
        <w:t xml:space="preserve">processual </w:t>
      </w:r>
      <w:r w:rsidRPr="007048A7">
        <w:t xml:space="preserve">e </w:t>
      </w:r>
      <w:r w:rsidRPr="00506D87">
        <w:rPr>
          <w:b/>
          <w:bCs/>
        </w:rPr>
        <w:t>indeferido</w:t>
      </w:r>
      <w:r w:rsidRPr="007048A7">
        <w:t xml:space="preserve"> o </w:t>
      </w:r>
      <w:r w:rsidRPr="00A04FDB">
        <w:rPr>
          <w:b/>
          <w:bCs/>
        </w:rPr>
        <w:t>pedido</w:t>
      </w:r>
      <w:r w:rsidRPr="007048A7">
        <w:t xml:space="preserve"> de </w:t>
      </w:r>
      <w:r w:rsidRPr="00A04FDB">
        <w:rPr>
          <w:b/>
          <w:bCs/>
        </w:rPr>
        <w:t>produção</w:t>
      </w:r>
      <w:r w:rsidRPr="007048A7">
        <w:t xml:space="preserve"> </w:t>
      </w:r>
      <w:r w:rsidRPr="00A04FDB">
        <w:rPr>
          <w:b/>
          <w:bCs/>
        </w:rPr>
        <w:t>de</w:t>
      </w:r>
      <w:r w:rsidRPr="007048A7">
        <w:t xml:space="preserve"> </w:t>
      </w:r>
      <w:r w:rsidRPr="00A04FDB">
        <w:rPr>
          <w:b/>
          <w:bCs/>
        </w:rPr>
        <w:t>prova</w:t>
      </w:r>
      <w:r w:rsidRPr="007048A7">
        <w:t xml:space="preserve"> </w:t>
      </w:r>
      <w:r w:rsidRPr="00A04FDB">
        <w:rPr>
          <w:b/>
          <w:bCs/>
        </w:rPr>
        <w:t>pericial</w:t>
      </w:r>
      <w:r w:rsidRPr="007048A7">
        <w:t xml:space="preserve"> realizado por Maria del Rosario</w:t>
      </w:r>
      <w:r>
        <w:t xml:space="preserve"> </w:t>
      </w:r>
      <w:r w:rsidRPr="00506D87">
        <w:rPr>
          <w:sz w:val="20"/>
          <w:szCs w:val="20"/>
        </w:rPr>
        <w:t>(evento 109)</w:t>
      </w:r>
      <w:r w:rsidRPr="007048A7">
        <w:t xml:space="preserve">, </w:t>
      </w:r>
      <w:r>
        <w:t>sobreveio sentença que julgou procedente o pleito inicial por entender</w:t>
      </w:r>
      <w:r w:rsidR="00A04FDB">
        <w:t>, em síntese,</w:t>
      </w:r>
      <w:r>
        <w:t xml:space="preserve"> </w:t>
      </w:r>
      <w:r w:rsidRPr="006918AC">
        <w:t>que</w:t>
      </w:r>
      <w:r>
        <w:t xml:space="preserve"> a ora recorrente “</w:t>
      </w:r>
      <w:r w:rsidRPr="00506D87">
        <w:rPr>
          <w:i/>
          <w:iCs/>
        </w:rPr>
        <w:t>não trouxe qualquer indício de que [...] ela ou aqueles de quem teria adquirido a área tivessem exercido efetivos atos possessórios</w:t>
      </w:r>
      <w:r>
        <w:t>”, entendendo que</w:t>
      </w:r>
      <w:r w:rsidRPr="006918AC">
        <w:t xml:space="preserve"> “</w:t>
      </w:r>
      <w:r w:rsidRPr="00506D87">
        <w:rPr>
          <w:i/>
          <w:iCs/>
        </w:rPr>
        <w:t>a área em litígio encontra-se efetivamente sob a posse dos autores</w:t>
      </w:r>
      <w:r>
        <w:t xml:space="preserve">” </w:t>
      </w:r>
      <w:r w:rsidRPr="00506D87">
        <w:rPr>
          <w:sz w:val="20"/>
          <w:szCs w:val="20"/>
        </w:rPr>
        <w:t>(evento 134)</w:t>
      </w:r>
      <w:r w:rsidRPr="006918AC">
        <w:t>.</w:t>
      </w:r>
    </w:p>
    <w:p w14:paraId="6CB7A22C" w14:textId="06F64E84" w:rsidR="00506D87" w:rsidRDefault="00EB599E" w:rsidP="009E7F49">
      <w:pPr>
        <w:pStyle w:val="SemEspaamento"/>
      </w:pPr>
      <w:r>
        <w:t xml:space="preserve">No entanto, </w:t>
      </w:r>
      <w:r w:rsidR="00506D87">
        <w:t xml:space="preserve">Excelência, </w:t>
      </w:r>
      <w:r>
        <w:t xml:space="preserve">esse entendimento comporta reforma, </w:t>
      </w:r>
      <w:r w:rsidR="00535EC4">
        <w:t>por conta dos três</w:t>
      </w:r>
      <w:r>
        <w:t xml:space="preserve"> argumentos </w:t>
      </w:r>
      <w:r w:rsidR="006D4633">
        <w:t xml:space="preserve">apresentados </w:t>
      </w:r>
      <w:r w:rsidR="00506D87">
        <w:t xml:space="preserve">nesta apelação: preliminarmente, </w:t>
      </w:r>
      <w:r w:rsidR="00DD2AD0" w:rsidRPr="00DD2AD0">
        <w:rPr>
          <w:b/>
          <w:bCs/>
        </w:rPr>
        <w:t>(i)</w:t>
      </w:r>
      <w:r w:rsidR="00DD2AD0">
        <w:t xml:space="preserve"> </w:t>
      </w:r>
      <w:r w:rsidR="006D4633">
        <w:t>pel</w:t>
      </w:r>
      <w:r w:rsidR="00DD2AD0">
        <w:t>a</w:t>
      </w:r>
      <w:r w:rsidR="00506D87">
        <w:t xml:space="preserve"> ocorrência de cerceamento de defesa, em razão do indeferimento do pedido de produção de prova pericial indispensável para a solução da lide; </w:t>
      </w:r>
      <w:r w:rsidR="00506D87" w:rsidRPr="00DD2AD0">
        <w:rPr>
          <w:b/>
          <w:bCs/>
        </w:rPr>
        <w:t>(ii)</w:t>
      </w:r>
      <w:r w:rsidR="00506D87">
        <w:t xml:space="preserve"> pelo não enfrentamento dos elementos deduzidos no processo capazes de infirmar a conclusão adotada</w:t>
      </w:r>
      <w:r w:rsidR="00535EC4">
        <w:t xml:space="preserve">; </w:t>
      </w:r>
      <w:r w:rsidR="0094501C">
        <w:t xml:space="preserve">e </w:t>
      </w:r>
      <w:r w:rsidR="00535EC4" w:rsidRPr="0094501C">
        <w:rPr>
          <w:b/>
          <w:bCs/>
        </w:rPr>
        <w:t>(iii)</w:t>
      </w:r>
      <w:r w:rsidR="00535EC4">
        <w:t xml:space="preserve"> </w:t>
      </w:r>
      <w:r w:rsidR="0094501C">
        <w:t>pela falta de prova da posse da área em litígio pelos autores</w:t>
      </w:r>
      <w:r w:rsidR="00506D87">
        <w:t>.</w:t>
      </w:r>
    </w:p>
    <w:p w14:paraId="5BD56EBD" w14:textId="45D7288E" w:rsidR="00506D87" w:rsidRPr="00047A1F" w:rsidRDefault="00506D87" w:rsidP="009E7F49">
      <w:pPr>
        <w:pStyle w:val="SemEspaamento"/>
      </w:pPr>
      <w:r>
        <w:lastRenderedPageBreak/>
        <w:t>No caso dos autos, a</w:t>
      </w:r>
      <w:r w:rsidRPr="00047A1F">
        <w:t xml:space="preserve"> prova testemunhal</w:t>
      </w:r>
      <w:r>
        <w:t xml:space="preserve"> </w:t>
      </w:r>
      <w:r w:rsidRPr="00047A1F">
        <w:t>não foi capaz de elucidar, sem sombra de dúvida, a controvérsia, porque</w:t>
      </w:r>
      <w:r w:rsidR="008668BB" w:rsidRPr="008668BB">
        <w:t xml:space="preserve"> </w:t>
      </w:r>
      <w:r w:rsidR="008668BB" w:rsidRPr="00047A1F">
        <w:t>não forneceu a necessária certeza acerca da posse do imóvel</w:t>
      </w:r>
      <w:r w:rsidRPr="00047A1F">
        <w:t xml:space="preserve">, </w:t>
      </w:r>
      <w:r w:rsidR="008668BB">
        <w:t>diversamente</w:t>
      </w:r>
      <w:r w:rsidRPr="00047A1F">
        <w:t xml:space="preserve"> do que afirmou a </w:t>
      </w:r>
      <w:r w:rsidR="003117CE" w:rsidRPr="00047A1F">
        <w:t xml:space="preserve">Magistrada </w:t>
      </w:r>
      <w:r w:rsidRPr="00047A1F">
        <w:t>sentenciante.</w:t>
      </w:r>
    </w:p>
    <w:p w14:paraId="26063323" w14:textId="11692C65" w:rsidR="00506D87" w:rsidRDefault="008668BB" w:rsidP="008668BB">
      <w:pPr>
        <w:pStyle w:val="SemEspaamento"/>
      </w:pPr>
      <w:r>
        <w:t xml:space="preserve">Essa </w:t>
      </w:r>
      <w:r w:rsidR="00506D87">
        <w:t xml:space="preserve">discussão </w:t>
      </w:r>
      <w:r>
        <w:t xml:space="preserve">sobre a posse </w:t>
      </w:r>
      <w:r w:rsidR="00506D87">
        <w:t xml:space="preserve">se revela </w:t>
      </w:r>
      <w:r>
        <w:t xml:space="preserve">muito </w:t>
      </w:r>
      <w:r w:rsidR="00506D87">
        <w:t xml:space="preserve">complexa, </w:t>
      </w:r>
      <w:r>
        <w:t>sobretudo</w:t>
      </w:r>
      <w:r w:rsidR="001539B0">
        <w:t xml:space="preserve"> para identificar o</w:t>
      </w:r>
      <w:r>
        <w:t xml:space="preserve"> local </w:t>
      </w:r>
      <w:r w:rsidR="001539B0">
        <w:t xml:space="preserve">exato </w:t>
      </w:r>
      <w:r>
        <w:t xml:space="preserve">em que </w:t>
      </w:r>
      <w:r w:rsidR="00506D87">
        <w:t xml:space="preserve">o imóvel </w:t>
      </w:r>
      <w:r w:rsidR="001539B0">
        <w:t xml:space="preserve">objeto do litígio </w:t>
      </w:r>
      <w:r w:rsidR="00506D87">
        <w:t>está</w:t>
      </w:r>
      <w:r>
        <w:t xml:space="preserve"> localizado</w:t>
      </w:r>
      <w:r w:rsidR="00506D87">
        <w:t xml:space="preserve">, </w:t>
      </w:r>
      <w:r>
        <w:t xml:space="preserve">tendo em vista </w:t>
      </w:r>
      <w:r w:rsidR="00506D87">
        <w:t>que</w:t>
      </w:r>
      <w:r>
        <w:t xml:space="preserve"> a douta Togada reconheceu, </w:t>
      </w:r>
      <w:r w:rsidR="00506D87">
        <w:t xml:space="preserve">em </w:t>
      </w:r>
      <w:r>
        <w:t xml:space="preserve">decisão </w:t>
      </w:r>
      <w:r w:rsidR="00506D87">
        <w:t xml:space="preserve">após o oferecimento da contestação, </w:t>
      </w:r>
      <w:r>
        <w:t xml:space="preserve">que </w:t>
      </w:r>
      <w:r w:rsidR="00506D87">
        <w:t>“</w:t>
      </w:r>
      <w:r w:rsidR="00506D87" w:rsidRPr="008668BB">
        <w:rPr>
          <w:i/>
          <w:iCs/>
        </w:rPr>
        <w:t>há indícios de que possa se tratar realmente da mesma área</w:t>
      </w:r>
      <w:r w:rsidR="00506D87">
        <w:t>”</w:t>
      </w:r>
      <w:r>
        <w:t xml:space="preserve"> e sinalizou</w:t>
      </w:r>
      <w:r w:rsidR="00506D87">
        <w:t>, também, que “</w:t>
      </w:r>
      <w:r w:rsidR="00506D87" w:rsidRPr="008668BB">
        <w:rPr>
          <w:i/>
          <w:iCs/>
        </w:rPr>
        <w:t>há possibilidade de duplicidade de registros, sobreposição de matrículas, ou até que algum dos imóveis em questão nem corresponda à área sobre a qual se requer a proteção possessória</w:t>
      </w:r>
      <w:r w:rsidR="00506D87">
        <w:t xml:space="preserve">” </w:t>
      </w:r>
      <w:r w:rsidR="00506D87" w:rsidRPr="008668BB">
        <w:rPr>
          <w:sz w:val="20"/>
          <w:szCs w:val="18"/>
        </w:rPr>
        <w:t>(evento 28)</w:t>
      </w:r>
      <w:r w:rsidR="00506D87">
        <w:t>.</w:t>
      </w:r>
    </w:p>
    <w:p w14:paraId="16ADF71B" w14:textId="7C5DD5F1" w:rsidR="00506D87" w:rsidRDefault="008668BB" w:rsidP="008668BB">
      <w:pPr>
        <w:pStyle w:val="SemEspaamento"/>
      </w:pPr>
      <w:r>
        <w:t xml:space="preserve">Portanto, como registrado </w:t>
      </w:r>
      <w:r w:rsidR="00506D87">
        <w:t xml:space="preserve">nas razões recursais, em demandas possessórias, via de regra, não se admite a realização de prova pericial, pois, em tese, estaria </w:t>
      </w:r>
      <w:r>
        <w:t xml:space="preserve">se verificando </w:t>
      </w:r>
      <w:r w:rsidR="00506D87">
        <w:t>a questão dominial sobre o imóvel, “</w:t>
      </w:r>
      <w:r w:rsidR="00506D87" w:rsidRPr="008668BB">
        <w:rPr>
          <w:i/>
          <w:iCs/>
        </w:rPr>
        <w:t>exceto se ambos os litigantes disputam a posse sob a alegação de propriedade ou quando duvidosas ambas as posses suscitadas</w:t>
      </w:r>
      <w:r w:rsidR="00506D87">
        <w:t>”</w:t>
      </w:r>
      <w:r w:rsidR="00277142">
        <w:t>, o que é exatamente o caso dos autos</w:t>
      </w:r>
      <w:r w:rsidR="00506D87">
        <w:t xml:space="preserve"> </w:t>
      </w:r>
      <w:r w:rsidR="00506D87" w:rsidRPr="008668BB">
        <w:rPr>
          <w:sz w:val="20"/>
          <w:szCs w:val="18"/>
        </w:rPr>
        <w:t>(STJ, AgRg no AREsp n. 238.530/RJ, Rel. Min. Antonio Carlos Ferreira, j. 19.2.2013)</w:t>
      </w:r>
      <w:r w:rsidR="00506D87">
        <w:t>.</w:t>
      </w:r>
    </w:p>
    <w:p w14:paraId="2AED751E" w14:textId="1D27910F" w:rsidR="00506D87" w:rsidRDefault="00506D87" w:rsidP="008668BB">
      <w:pPr>
        <w:pStyle w:val="SemEspaamento"/>
      </w:pPr>
      <w:r>
        <w:t>Por conta disso, não há dúvida de que a controvérsia reclama prova pericial “</w:t>
      </w:r>
      <w:r w:rsidRPr="00255CF8">
        <w:rPr>
          <w:i/>
          <w:iCs/>
        </w:rPr>
        <w:t>para a perfeita elucidação do esbulho ou turbação sofridos</w:t>
      </w:r>
      <w:r>
        <w:t xml:space="preserve">”, </w:t>
      </w:r>
      <w:r w:rsidR="00277142">
        <w:t xml:space="preserve">se é que ocorreram, </w:t>
      </w:r>
      <w:r>
        <w:t>e</w:t>
      </w:r>
      <w:r w:rsidR="00277142">
        <w:t xml:space="preserve">, uma vez constatada </w:t>
      </w:r>
      <w:r>
        <w:t>que tal providência não foi oportunizada, “</w:t>
      </w:r>
      <w:r w:rsidRPr="00255CF8">
        <w:rPr>
          <w:i/>
          <w:iCs/>
        </w:rPr>
        <w:t xml:space="preserve">resta caracterizada situação jurídica que configura </w:t>
      </w:r>
      <w:r w:rsidRPr="00255CF8">
        <w:rPr>
          <w:i/>
          <w:iCs/>
          <w:u w:val="single"/>
        </w:rPr>
        <w:t>cerceamento</w:t>
      </w:r>
      <w:r w:rsidRPr="00255CF8">
        <w:rPr>
          <w:i/>
          <w:iCs/>
        </w:rPr>
        <w:t xml:space="preserve"> </w:t>
      </w:r>
      <w:r w:rsidRPr="00255CF8">
        <w:rPr>
          <w:i/>
          <w:iCs/>
          <w:u w:val="single"/>
        </w:rPr>
        <w:t>de</w:t>
      </w:r>
      <w:r w:rsidRPr="00255CF8">
        <w:rPr>
          <w:i/>
          <w:iCs/>
        </w:rPr>
        <w:t xml:space="preserve"> </w:t>
      </w:r>
      <w:r w:rsidRPr="00255CF8">
        <w:rPr>
          <w:i/>
          <w:iCs/>
          <w:u w:val="single"/>
        </w:rPr>
        <w:t>defesa</w:t>
      </w:r>
      <w:r>
        <w:t xml:space="preserve">” </w:t>
      </w:r>
      <w:r w:rsidRPr="008668BB">
        <w:rPr>
          <w:sz w:val="20"/>
          <w:szCs w:val="18"/>
        </w:rPr>
        <w:t xml:space="preserve">(TJDF, </w:t>
      </w:r>
      <w:r w:rsidR="007A6378">
        <w:rPr>
          <w:sz w:val="20"/>
          <w:szCs w:val="18"/>
        </w:rPr>
        <w:t xml:space="preserve">AC </w:t>
      </w:r>
      <w:r w:rsidRPr="008668BB">
        <w:rPr>
          <w:sz w:val="20"/>
          <w:szCs w:val="18"/>
        </w:rPr>
        <w:t>n. 0705585-67.2017.8.07.0020, rel. Fábio Eduardo Marques, j. 21.8.2019)</w:t>
      </w:r>
      <w:r>
        <w:t xml:space="preserve">. </w:t>
      </w:r>
    </w:p>
    <w:p w14:paraId="72B2BD1D" w14:textId="613789F2" w:rsidR="00506D87" w:rsidRDefault="00BF7659" w:rsidP="008668BB">
      <w:pPr>
        <w:pStyle w:val="SemEspaamento"/>
      </w:pPr>
      <w:r>
        <w:t>Não fosse isso o suficiente</w:t>
      </w:r>
      <w:r w:rsidR="00506D87">
        <w:t xml:space="preserve">, </w:t>
      </w:r>
      <w:r w:rsidR="003E04CA">
        <w:t xml:space="preserve">Excelência, </w:t>
      </w:r>
      <w:r w:rsidR="00506D87">
        <w:t xml:space="preserve">a </w:t>
      </w:r>
      <w:r>
        <w:t xml:space="preserve">r. </w:t>
      </w:r>
      <w:r w:rsidR="00506D87">
        <w:t xml:space="preserve">sentença </w:t>
      </w:r>
      <w:r>
        <w:t>deixou de enfrentar</w:t>
      </w:r>
      <w:r w:rsidR="00506D87">
        <w:t xml:space="preserve"> “</w:t>
      </w:r>
      <w:r w:rsidR="00506D87" w:rsidRPr="003E04CA">
        <w:rPr>
          <w:i/>
          <w:iCs/>
        </w:rPr>
        <w:t>os argumentos deduzidos no processo capazes de, em tese, infirmar a conclusão adotada pelo julgador</w:t>
      </w:r>
      <w:r w:rsidR="00506D87">
        <w:t xml:space="preserve">” </w:t>
      </w:r>
      <w:r w:rsidR="00506D87" w:rsidRPr="003E04CA">
        <w:rPr>
          <w:sz w:val="20"/>
          <w:szCs w:val="18"/>
        </w:rPr>
        <w:t>(CPC, art. 489, §1º, IV)</w:t>
      </w:r>
      <w:r w:rsidR="00506D87">
        <w:t xml:space="preserve">. </w:t>
      </w:r>
      <w:r w:rsidR="00506D87" w:rsidRPr="00AF654A">
        <w:t>Primeiro</w:t>
      </w:r>
      <w:r w:rsidR="00506D87">
        <w:t xml:space="preserve">, porque, no que diz respeito à alegação dos apelados sobre a suposta atividade pecuária no local, a apelante comprovou por meio de fotos juntadas na contestação </w:t>
      </w:r>
      <w:r w:rsidR="00506D87" w:rsidRPr="00D85D45">
        <w:rPr>
          <w:sz w:val="20"/>
          <w:szCs w:val="18"/>
        </w:rPr>
        <w:t>(evento 23, INF31-INF39)</w:t>
      </w:r>
      <w:r w:rsidR="00506D87">
        <w:t xml:space="preserve"> que </w:t>
      </w:r>
      <w:r w:rsidR="00506D87" w:rsidRPr="00D85D45">
        <w:rPr>
          <w:b/>
          <w:bCs/>
        </w:rPr>
        <w:t xml:space="preserve">o imóvel sob litígio permanece completamente acobertado por mato alto e </w:t>
      </w:r>
      <w:r w:rsidR="00D85D45">
        <w:rPr>
          <w:b/>
          <w:bCs/>
        </w:rPr>
        <w:t>pastagem</w:t>
      </w:r>
      <w:r w:rsidR="00D85D45">
        <w:t xml:space="preserve">, o que derrui </w:t>
      </w:r>
      <w:r w:rsidR="00506D87">
        <w:t xml:space="preserve">a versão apresentada </w:t>
      </w:r>
      <w:r w:rsidR="00D85D45">
        <w:t xml:space="preserve">pelos apelados </w:t>
      </w:r>
      <w:r w:rsidR="00506D87">
        <w:t>Arlindo e Isolete.</w:t>
      </w:r>
      <w:r w:rsidR="00506D87" w:rsidRPr="00427CC0">
        <w:t xml:space="preserve"> </w:t>
      </w:r>
      <w:r w:rsidR="00506D87" w:rsidRPr="00AF654A">
        <w:t>Segundo</w:t>
      </w:r>
      <w:r w:rsidR="00506D87" w:rsidRPr="00427CC0">
        <w:t>, pois</w:t>
      </w:r>
      <w:r w:rsidR="00506D87">
        <w:t xml:space="preserve"> desprovidas de credibilidade as declarações de posse acostadas na inicial </w:t>
      </w:r>
      <w:r w:rsidR="00506D87" w:rsidRPr="00214F95">
        <w:rPr>
          <w:sz w:val="20"/>
          <w:szCs w:val="18"/>
        </w:rPr>
        <w:t>(evento 1, INF5)</w:t>
      </w:r>
      <w:r w:rsidR="00506D87">
        <w:t xml:space="preserve">, </w:t>
      </w:r>
      <w:r w:rsidR="00214F95">
        <w:t xml:space="preserve">na medida em </w:t>
      </w:r>
      <w:r w:rsidR="00506D87">
        <w:t xml:space="preserve">que os </w:t>
      </w:r>
      <w:r w:rsidR="00214F95">
        <w:t>declarantes</w:t>
      </w:r>
      <w:r w:rsidR="00506D87">
        <w:t xml:space="preserve"> </w:t>
      </w:r>
      <w:r w:rsidR="00506D87" w:rsidRPr="00214F95">
        <w:rPr>
          <w:u w:val="single"/>
        </w:rPr>
        <w:t>são</w:t>
      </w:r>
      <w:r w:rsidR="00506D87">
        <w:t xml:space="preserve"> </w:t>
      </w:r>
      <w:r w:rsidR="00506D87" w:rsidRPr="00214F95">
        <w:rPr>
          <w:u w:val="single"/>
        </w:rPr>
        <w:t>parentes</w:t>
      </w:r>
      <w:r w:rsidR="00506D87">
        <w:t xml:space="preserve"> </w:t>
      </w:r>
      <w:r w:rsidR="00506D87" w:rsidRPr="00214F95">
        <w:rPr>
          <w:u w:val="single"/>
        </w:rPr>
        <w:t>dos</w:t>
      </w:r>
      <w:r w:rsidR="00506D87">
        <w:t xml:space="preserve"> </w:t>
      </w:r>
      <w:r w:rsidR="00506D87" w:rsidRPr="00214F95">
        <w:rPr>
          <w:u w:val="single"/>
        </w:rPr>
        <w:t>apelados</w:t>
      </w:r>
      <w:r w:rsidR="00506D87">
        <w:t xml:space="preserve"> </w:t>
      </w:r>
      <w:r w:rsidR="00506D87" w:rsidRPr="00214F95">
        <w:rPr>
          <w:sz w:val="20"/>
          <w:szCs w:val="18"/>
        </w:rPr>
        <w:t>(tios e primos)</w:t>
      </w:r>
      <w:r w:rsidR="00506D87">
        <w:t xml:space="preserve">. </w:t>
      </w:r>
      <w:r w:rsidR="00506D87" w:rsidRPr="00AF654A">
        <w:t>Terceiro</w:t>
      </w:r>
      <w:r w:rsidR="00506D87">
        <w:t>, e último, porque</w:t>
      </w:r>
      <w:r w:rsidR="00214F95">
        <w:t>,</w:t>
      </w:r>
      <w:r w:rsidR="00506D87">
        <w:t xml:space="preserve"> ao suscitar a existência de “</w:t>
      </w:r>
      <w:r w:rsidR="00506D87" w:rsidRPr="00214F95">
        <w:rPr>
          <w:i/>
          <w:iCs/>
        </w:rPr>
        <w:t>comprovantes de pagamento de tributos incidentes sobre o imóvel</w:t>
      </w:r>
      <w:r w:rsidR="00506D87">
        <w:t xml:space="preserve">”, deixou de observar a </w:t>
      </w:r>
      <w:r w:rsidR="009909AA">
        <w:t xml:space="preserve">ilustre Togada </w:t>
      </w:r>
      <w:r w:rsidR="00506D87">
        <w:t xml:space="preserve">que os pagamentos realizados por Arlindo e Isolete </w:t>
      </w:r>
      <w:r w:rsidR="00506D87" w:rsidRPr="009909AA">
        <w:rPr>
          <w:sz w:val="20"/>
          <w:szCs w:val="18"/>
        </w:rPr>
        <w:t>(evento 1, INF4)</w:t>
      </w:r>
      <w:r w:rsidR="00506D87">
        <w:t xml:space="preserve"> não correspondem à área </w:t>
      </w:r>
      <w:r w:rsidR="00506D87" w:rsidRPr="00322F8D">
        <w:rPr>
          <w:i/>
          <w:iCs/>
        </w:rPr>
        <w:t>sub judice</w:t>
      </w:r>
      <w:r w:rsidR="00506D87">
        <w:t xml:space="preserve"> –</w:t>
      </w:r>
      <w:r w:rsidR="00506D87" w:rsidRPr="00427CC0">
        <w:t xml:space="preserve"> </w:t>
      </w:r>
      <w:r w:rsidR="00506D87" w:rsidRPr="00AF654A">
        <w:t>fatos controversos que, vale reforçar, poderiam ser facilmente esclarecidos através da produção de prova pericial, impedindo-se a injustiça</w:t>
      </w:r>
      <w:r w:rsidR="00506D87">
        <w:t>.</w:t>
      </w:r>
    </w:p>
    <w:p w14:paraId="4E0DEABC" w14:textId="7FA6CF3D" w:rsidR="00506D87" w:rsidRDefault="00506D87" w:rsidP="008668BB">
      <w:pPr>
        <w:pStyle w:val="SemEspaamento"/>
      </w:pPr>
      <w:r>
        <w:t xml:space="preserve">Portanto, não poderia a </w:t>
      </w:r>
      <w:r w:rsidR="009909AA">
        <w:t>r. sentença</w:t>
      </w:r>
      <w:r>
        <w:t>, diante dos argumentos que colocam sob fundada dúvida a versão apresentada por Arlindo e Isolete, julgar procedente o pedido autoral “</w:t>
      </w:r>
      <w:r w:rsidRPr="009909AA">
        <w:rPr>
          <w:i/>
          <w:iCs/>
        </w:rPr>
        <w:t>sem analisar todos os fundamentos contrários à tese jurídica sustentada na inicial</w:t>
      </w:r>
      <w:r>
        <w:t>”, sobretudo quando “</w:t>
      </w:r>
      <w:r w:rsidRPr="009909AA">
        <w:rPr>
          <w:i/>
          <w:iCs/>
        </w:rPr>
        <w:t>revelada a necessidade de dilação probatória e a ameaça de cerceio ao direito de defesa de uma das partes litigantes</w:t>
      </w:r>
      <w:r>
        <w:t xml:space="preserve">” </w:t>
      </w:r>
      <w:r w:rsidRPr="009909AA">
        <w:rPr>
          <w:sz w:val="20"/>
          <w:szCs w:val="18"/>
        </w:rPr>
        <w:t xml:space="preserve">(TJMG, </w:t>
      </w:r>
      <w:r w:rsidR="009909AA" w:rsidRPr="009909AA">
        <w:rPr>
          <w:sz w:val="20"/>
          <w:szCs w:val="18"/>
        </w:rPr>
        <w:t xml:space="preserve">Apelação Cível </w:t>
      </w:r>
      <w:r w:rsidRPr="009909AA">
        <w:rPr>
          <w:sz w:val="20"/>
          <w:szCs w:val="18"/>
        </w:rPr>
        <w:t>n. 0152821-22.2015.8.13.0035, rel. Claret de Moraes, j. 27.8.2019)</w:t>
      </w:r>
      <w:r>
        <w:t>.</w:t>
      </w:r>
    </w:p>
    <w:p w14:paraId="06F3090A" w14:textId="47DE38BF" w:rsidR="00506D87" w:rsidRDefault="00535EC4" w:rsidP="008668BB">
      <w:pPr>
        <w:pStyle w:val="SemEspaamento"/>
      </w:pPr>
      <w:r>
        <w:t>Por fim, q</w:t>
      </w:r>
      <w:r w:rsidR="00506D87">
        <w:t xml:space="preserve">uanto ao mérito recursal, </w:t>
      </w:r>
      <w:r w:rsidR="001B7C93">
        <w:t xml:space="preserve">os elementos colhidos nos autos evidenciam que </w:t>
      </w:r>
      <w:r w:rsidR="00506D87">
        <w:t xml:space="preserve">os apelados não demonstraram a legítima posse da área </w:t>
      </w:r>
      <w:r w:rsidR="00506D87" w:rsidRPr="00352F53">
        <w:rPr>
          <w:i/>
          <w:iCs/>
        </w:rPr>
        <w:t>sub judice</w:t>
      </w:r>
      <w:r w:rsidR="00506D87">
        <w:t xml:space="preserve">. </w:t>
      </w:r>
    </w:p>
    <w:p w14:paraId="34AE76D6" w14:textId="3E46D445" w:rsidR="00506D87" w:rsidRDefault="001B7C93" w:rsidP="008668BB">
      <w:pPr>
        <w:pStyle w:val="SemEspaamento"/>
      </w:pPr>
      <w:r>
        <w:t>O</w:t>
      </w:r>
      <w:r w:rsidR="00506D87">
        <w:t xml:space="preserve"> imóvel </w:t>
      </w:r>
      <w:r w:rsidR="0054223F">
        <w:t xml:space="preserve">objeto do litígio </w:t>
      </w:r>
      <w:r w:rsidR="00506D87">
        <w:t>não possui qualquer edificação ou benfeitoria. E se</w:t>
      </w:r>
      <w:r w:rsidR="003D75F2">
        <w:t>,</w:t>
      </w:r>
      <w:r w:rsidR="00506D87">
        <w:t xml:space="preserve"> em determinado momento</w:t>
      </w:r>
      <w:r w:rsidR="003D75F2">
        <w:t>,</w:t>
      </w:r>
      <w:r w:rsidR="00506D87">
        <w:t xml:space="preserve"> a cerca divisória entre os imóveis da apelante e dos apelados apodreceu </w:t>
      </w:r>
      <w:r w:rsidR="00506D87" w:rsidRPr="003D75F2">
        <w:rPr>
          <w:sz w:val="20"/>
          <w:szCs w:val="18"/>
        </w:rPr>
        <w:t xml:space="preserve">(ou foi </w:t>
      </w:r>
      <w:r w:rsidR="00506D87" w:rsidRPr="0054223F">
        <w:rPr>
          <w:sz w:val="20"/>
          <w:szCs w:val="18"/>
          <w:u w:val="single"/>
        </w:rPr>
        <w:t>propositalmente</w:t>
      </w:r>
      <w:r w:rsidR="00506D87" w:rsidRPr="003D75F2">
        <w:rPr>
          <w:sz w:val="20"/>
          <w:szCs w:val="18"/>
        </w:rPr>
        <w:t xml:space="preserve"> </w:t>
      </w:r>
      <w:r w:rsidR="00506D87" w:rsidRPr="0054223F">
        <w:rPr>
          <w:sz w:val="20"/>
          <w:szCs w:val="18"/>
          <w:u w:val="single"/>
        </w:rPr>
        <w:t>derrubada</w:t>
      </w:r>
      <w:r w:rsidR="00506D87" w:rsidRPr="003D75F2">
        <w:rPr>
          <w:sz w:val="20"/>
          <w:szCs w:val="18"/>
        </w:rPr>
        <w:t>)</w:t>
      </w:r>
      <w:r w:rsidR="00506D87">
        <w:t xml:space="preserve">, permitindo que algumas cabeças de gado passassem a transitar pela área de forma sorrateira, isso, por si só, não </w:t>
      </w:r>
      <w:r w:rsidR="0054223F">
        <w:t>constitui</w:t>
      </w:r>
      <w:r w:rsidR="00506D87">
        <w:t xml:space="preserve"> à posse mansa e pacífica, porque representa ato clandestino ou de mera tolerância </w:t>
      </w:r>
      <w:r w:rsidR="00506D87" w:rsidRPr="003D75F2">
        <w:rPr>
          <w:sz w:val="20"/>
          <w:szCs w:val="18"/>
        </w:rPr>
        <w:t>(CC, art. 1.208)</w:t>
      </w:r>
      <w:r w:rsidR="00506D87">
        <w:t>.</w:t>
      </w:r>
    </w:p>
    <w:p w14:paraId="2411BE0B" w14:textId="2F10FF7F" w:rsidR="00506D87" w:rsidRDefault="007A6378" w:rsidP="008668BB">
      <w:pPr>
        <w:pStyle w:val="SemEspaamento"/>
      </w:pPr>
      <w:r>
        <w:t>A</w:t>
      </w:r>
      <w:r w:rsidR="00506D87">
        <w:t xml:space="preserve">o julgar caso semelhante, </w:t>
      </w:r>
      <w:r>
        <w:t xml:space="preserve">o Tribunal de Justiça de São Paulo sedimentou </w:t>
      </w:r>
      <w:r w:rsidR="00506D87">
        <w:t>que “</w:t>
      </w:r>
      <w:r w:rsidR="00506D87" w:rsidRPr="00E05F4F">
        <w:rPr>
          <w:i/>
          <w:iCs/>
        </w:rPr>
        <w:t xml:space="preserve">a utilização da área murada para manutenção de plantações e criação de animais [...] era, senão clandestina, permitida pelos proprietários do lote”, </w:t>
      </w:r>
      <w:r w:rsidR="00506D87" w:rsidRPr="007A6378">
        <w:t>situação que</w:t>
      </w:r>
      <w:r w:rsidR="00506D87" w:rsidRPr="00E05F4F">
        <w:rPr>
          <w:i/>
          <w:iCs/>
        </w:rPr>
        <w:t xml:space="preserve"> “não induz a posse a teor do quanto previsto no artigo 1.208 do Código Civil</w:t>
      </w:r>
      <w:r w:rsidR="00506D87">
        <w:t xml:space="preserve">” </w:t>
      </w:r>
      <w:r w:rsidR="00506D87" w:rsidRPr="00E05F4F">
        <w:rPr>
          <w:sz w:val="20"/>
          <w:szCs w:val="18"/>
        </w:rPr>
        <w:t xml:space="preserve">(TJSP, </w:t>
      </w:r>
      <w:r w:rsidR="00E05F4F" w:rsidRPr="00E05F4F">
        <w:rPr>
          <w:sz w:val="20"/>
          <w:szCs w:val="18"/>
        </w:rPr>
        <w:t>A</w:t>
      </w:r>
      <w:r>
        <w:rPr>
          <w:sz w:val="20"/>
          <w:szCs w:val="18"/>
        </w:rPr>
        <w:t>C</w:t>
      </w:r>
      <w:r w:rsidR="00E05F4F" w:rsidRPr="00E05F4F">
        <w:rPr>
          <w:sz w:val="20"/>
          <w:szCs w:val="18"/>
        </w:rPr>
        <w:t xml:space="preserve"> </w:t>
      </w:r>
      <w:r w:rsidR="00506D87" w:rsidRPr="00E05F4F">
        <w:rPr>
          <w:sz w:val="20"/>
          <w:szCs w:val="18"/>
        </w:rPr>
        <w:t>n. 0005111-45.2012.8.26.0001, rel. Spencer Almeida Ferreira, j. 8.4.2015)</w:t>
      </w:r>
      <w:r w:rsidR="00506D87">
        <w:t>.</w:t>
      </w:r>
    </w:p>
    <w:p w14:paraId="57B47EB7" w14:textId="30461035" w:rsidR="00506D87" w:rsidRDefault="00506D87" w:rsidP="008668BB">
      <w:pPr>
        <w:pStyle w:val="SemEspaamento"/>
      </w:pPr>
      <w:r>
        <w:t>Outr</w:t>
      </w:r>
      <w:r w:rsidR="00EB32D4">
        <w:t>o</w:t>
      </w:r>
      <w:r>
        <w:t xml:space="preserve"> </w:t>
      </w:r>
      <w:r w:rsidR="00CD3EF3">
        <w:t xml:space="preserve">fato que chama a atenção é </w:t>
      </w:r>
      <w:r>
        <w:t xml:space="preserve">que Arlindo e Isolete </w:t>
      </w:r>
      <w:r w:rsidRPr="00CD3EF3">
        <w:rPr>
          <w:u w:val="single"/>
        </w:rPr>
        <w:t>não</w:t>
      </w:r>
      <w:r>
        <w:t xml:space="preserve"> </w:t>
      </w:r>
      <w:r w:rsidRPr="00CD3EF3">
        <w:rPr>
          <w:u w:val="single"/>
        </w:rPr>
        <w:t>foram</w:t>
      </w:r>
      <w:r>
        <w:t xml:space="preserve"> </w:t>
      </w:r>
      <w:r w:rsidRPr="00CD3EF3">
        <w:rPr>
          <w:u w:val="single"/>
        </w:rPr>
        <w:t>capazes</w:t>
      </w:r>
      <w:r>
        <w:t xml:space="preserve"> de </w:t>
      </w:r>
      <w:r w:rsidRPr="00CD3EF3">
        <w:rPr>
          <w:u w:val="single"/>
        </w:rPr>
        <w:t>identificar</w:t>
      </w:r>
      <w:r>
        <w:t xml:space="preserve"> </w:t>
      </w:r>
      <w:r w:rsidRPr="00CD3EF3">
        <w:rPr>
          <w:u w:val="single"/>
        </w:rPr>
        <w:t>precisamente</w:t>
      </w:r>
      <w:r>
        <w:t xml:space="preserve"> a </w:t>
      </w:r>
      <w:r w:rsidRPr="00CD3EF3">
        <w:rPr>
          <w:u w:val="single"/>
        </w:rPr>
        <w:t>área</w:t>
      </w:r>
      <w:r>
        <w:t xml:space="preserve"> </w:t>
      </w:r>
      <w:r w:rsidRPr="00CD3EF3">
        <w:rPr>
          <w:u w:val="single"/>
        </w:rPr>
        <w:t>sob</w:t>
      </w:r>
      <w:r>
        <w:t xml:space="preserve"> </w:t>
      </w:r>
      <w:r w:rsidRPr="00CD3EF3">
        <w:rPr>
          <w:u w:val="single"/>
        </w:rPr>
        <w:t>litígio</w:t>
      </w:r>
      <w:r>
        <w:t xml:space="preserve">, </w:t>
      </w:r>
      <w:r w:rsidR="00287FA5">
        <w:t xml:space="preserve">inclusive </w:t>
      </w:r>
      <w:r w:rsidR="002C105F">
        <w:t>porque</w:t>
      </w:r>
      <w:r>
        <w:t xml:space="preserve">, não custa rememorar, o título de propriedade dos apelados é de área diversa. </w:t>
      </w:r>
    </w:p>
    <w:p w14:paraId="426E20B3" w14:textId="62CF73FD" w:rsidR="00506D87" w:rsidRDefault="001B0A77" w:rsidP="008668BB">
      <w:pPr>
        <w:pStyle w:val="SemEspaamento"/>
      </w:pPr>
      <w:r>
        <w:t>E a</w:t>
      </w:r>
      <w:r w:rsidR="00506D87">
        <w:t xml:space="preserve"> fragilidade das provas apresentadas </w:t>
      </w:r>
      <w:r w:rsidR="002C105F">
        <w:t>pelos recorridos é evidente</w:t>
      </w:r>
      <w:r w:rsidR="00506D87">
        <w:t>,</w:t>
      </w:r>
      <w:r w:rsidR="002C105F">
        <w:t xml:space="preserve"> como se extrai das </w:t>
      </w:r>
      <w:r w:rsidR="00506D87">
        <w:t>declarações de posse firmadas por seus parentes, que apenas fazem referência, de forma genérica, a “</w:t>
      </w:r>
      <w:r w:rsidR="00506D87" w:rsidRPr="002C105F">
        <w:rPr>
          <w:i/>
          <w:iCs/>
        </w:rPr>
        <w:t>um imóvel rural com área total de 26.545,96 m²</w:t>
      </w:r>
      <w:r w:rsidR="00506D87">
        <w:t xml:space="preserve">” </w:t>
      </w:r>
      <w:r w:rsidR="00506D87" w:rsidRPr="002C105F">
        <w:rPr>
          <w:sz w:val="20"/>
          <w:szCs w:val="18"/>
        </w:rPr>
        <w:t>(evento 1, INF5)</w:t>
      </w:r>
      <w:r w:rsidR="00506D87">
        <w:t>.</w:t>
      </w:r>
    </w:p>
    <w:p w14:paraId="15E9544A" w14:textId="2F26C76E" w:rsidR="00506D87" w:rsidRDefault="00506D87" w:rsidP="008668BB">
      <w:pPr>
        <w:pStyle w:val="SemEspaamento"/>
      </w:pPr>
      <w:r>
        <w:t xml:space="preserve">Ocorre que, ao serem </w:t>
      </w:r>
      <w:r w:rsidR="002C105F">
        <w:t xml:space="preserve">questionadas, </w:t>
      </w:r>
      <w:r>
        <w:t xml:space="preserve">as testemunhas dos apelados não souberam identificar a localização exata do imóvel </w:t>
      </w:r>
      <w:r w:rsidRPr="002B346C">
        <w:rPr>
          <w:i/>
          <w:iCs/>
        </w:rPr>
        <w:t>sub judice</w:t>
      </w:r>
      <w:r>
        <w:rPr>
          <w:i/>
          <w:iCs/>
        </w:rPr>
        <w:t xml:space="preserve"> </w:t>
      </w:r>
      <w:r>
        <w:t>no mapa</w:t>
      </w:r>
      <w:r w:rsidR="002C105F">
        <w:t xml:space="preserve"> nem </w:t>
      </w:r>
      <w:r>
        <w:t>se o imóvel de Maria del Rosario é o mesmo que Arlindo e Isolete tentam induzir a existência de sua posse.</w:t>
      </w:r>
    </w:p>
    <w:p w14:paraId="33534585" w14:textId="7C055E47" w:rsidR="00506D87" w:rsidRDefault="002C105F" w:rsidP="008668BB">
      <w:pPr>
        <w:pStyle w:val="SemEspaamento"/>
      </w:pPr>
      <w:r>
        <w:t>P</w:t>
      </w:r>
      <w:r w:rsidR="00506D87">
        <w:t xml:space="preserve">ortanto, </w:t>
      </w:r>
      <w:r w:rsidR="00E15203">
        <w:t>não prevalece</w:t>
      </w:r>
      <w:r w:rsidR="008F7480">
        <w:t xml:space="preserve"> o entendimento da r. sentença de que </w:t>
      </w:r>
      <w:r w:rsidR="00506D87">
        <w:t>“</w:t>
      </w:r>
      <w:r w:rsidR="00506D87" w:rsidRPr="008F7480">
        <w:rPr>
          <w:i/>
          <w:iCs/>
        </w:rPr>
        <w:t>as testemunhas e informantes arrolados pelos autores foram firmes em assentar que a gleba em discussão está na posse dos requerentes há longo período de tempo</w:t>
      </w:r>
      <w:r w:rsidR="00506D87">
        <w:t>”,</w:t>
      </w:r>
      <w:r w:rsidR="008F7480">
        <w:t xml:space="preserve"> até porque </w:t>
      </w:r>
      <w:r w:rsidR="0097012B">
        <w:t xml:space="preserve">nem </w:t>
      </w:r>
      <w:r w:rsidR="008F7480">
        <w:t>foram indicados</w:t>
      </w:r>
      <w:r w:rsidR="001B0A77">
        <w:t xml:space="preserve"> </w:t>
      </w:r>
      <w:r w:rsidR="00506D87">
        <w:t xml:space="preserve">quais </w:t>
      </w:r>
      <w:r w:rsidR="0097012B">
        <w:t xml:space="preserve">testemunhas teriam confirmado </w:t>
      </w:r>
      <w:r w:rsidR="00E15203">
        <w:t>esse fato</w:t>
      </w:r>
      <w:r w:rsidR="00506D87">
        <w:t>.</w:t>
      </w:r>
    </w:p>
    <w:p w14:paraId="11463003" w14:textId="6470643B" w:rsidR="00506D87" w:rsidRPr="003548C2" w:rsidRDefault="00506D87" w:rsidP="00EE34B7">
      <w:pPr>
        <w:pStyle w:val="SemEspaamento"/>
      </w:pPr>
      <w:r>
        <w:t>Mas não é só</w:t>
      </w:r>
      <w:r w:rsidR="00EE34B7">
        <w:t xml:space="preserve">. </w:t>
      </w:r>
      <w:r w:rsidR="00DB4CE3">
        <w:t>Sabe-se que</w:t>
      </w:r>
      <w:r w:rsidR="00DD707E">
        <w:t>, embora seja</w:t>
      </w:r>
      <w:r w:rsidR="00DB4CE3">
        <w:t xml:space="preserve"> </w:t>
      </w:r>
      <w:r w:rsidRPr="003548C2">
        <w:t>“</w:t>
      </w:r>
      <w:r w:rsidRPr="00EE34B7">
        <w:rPr>
          <w:i/>
          <w:iCs/>
        </w:rPr>
        <w:t>possível o depoimento prestado por informante, sua valoração deve ser feita com cautela</w:t>
      </w:r>
      <w:r w:rsidRPr="003548C2">
        <w:t xml:space="preserve">” </w:t>
      </w:r>
      <w:r w:rsidRPr="00EE34B7">
        <w:rPr>
          <w:sz w:val="20"/>
          <w:szCs w:val="18"/>
        </w:rPr>
        <w:t>(TJSC, recurso inominado n. 2014.501175-7, rel. Yhon Tostes, j. 22.6.2016)</w:t>
      </w:r>
      <w:r w:rsidR="00A31EDC">
        <w:t>.</w:t>
      </w:r>
      <w:r>
        <w:t xml:space="preserve"> </w:t>
      </w:r>
      <w:r w:rsidR="00A31EDC">
        <w:t>P</w:t>
      </w:r>
      <w:r w:rsidR="00DB4CE3">
        <w:t xml:space="preserve">ortanto, </w:t>
      </w:r>
      <w:r>
        <w:t xml:space="preserve">os informantes dos apelados, os </w:t>
      </w:r>
      <w:r w:rsidRPr="003548C2">
        <w:t>Srs. Nilo José da Silva</w:t>
      </w:r>
      <w:r>
        <w:t xml:space="preserve"> e José Clemente de Souza, </w:t>
      </w:r>
      <w:r w:rsidR="00AD0A74">
        <w:t xml:space="preserve">devem ser </w:t>
      </w:r>
      <w:r>
        <w:t xml:space="preserve">considerados suspeitos </w:t>
      </w:r>
      <w:r w:rsidRPr="00EE34B7">
        <w:rPr>
          <w:sz w:val="20"/>
          <w:szCs w:val="18"/>
        </w:rPr>
        <w:t>(CPC, art. 447, §3º, II)</w:t>
      </w:r>
      <w:r>
        <w:t xml:space="preserve">, </w:t>
      </w:r>
      <w:r w:rsidR="00AD0A74">
        <w:t xml:space="preserve">sobretudo </w:t>
      </w:r>
      <w:r>
        <w:t>porque, na condição de coproprietários do imóvel de Arlindo e Isolete, possuem claro interesse no litígio.</w:t>
      </w:r>
    </w:p>
    <w:p w14:paraId="0F89E572" w14:textId="77777777" w:rsidR="00E75AA1" w:rsidRDefault="00E75AA1" w:rsidP="00E75AA1">
      <w:pPr>
        <w:pStyle w:val="SemEspaamento"/>
      </w:pPr>
      <w:r>
        <w:t>Assim, Excelência, o que se extrai dos autos é que a demanda movida pelos apelados deve ser julgada improcedente, razão pela qual a apelante reitera e confia no provimento da apelação, nos termos requeridos nas razões recursais.</w:t>
      </w:r>
    </w:p>
    <w:p w14:paraId="7E98FD13" w14:textId="1AB5D75E" w:rsidR="000169F1" w:rsidRDefault="000169F1" w:rsidP="00E639CD">
      <w:pPr>
        <w:tabs>
          <w:tab w:val="left" w:pos="3944"/>
        </w:tabs>
        <w:spacing w:after="0" w:line="360" w:lineRule="auto"/>
        <w:ind w:left="1418" w:firstLine="283"/>
        <w:contextualSpacing/>
        <w:jc w:val="both"/>
        <w:rPr>
          <w:rFonts w:ascii="Arial" w:hAnsi="Arial" w:cs="Arial"/>
          <w:b/>
          <w:bCs/>
          <w:sz w:val="24"/>
          <w:szCs w:val="24"/>
          <w:lang w:val="pt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 w:rsidR="00506D87">
        <w:rPr>
          <w:rFonts w:ascii="Arial" w:eastAsia="Calibri" w:hAnsi="Arial" w:cs="Times New Roman"/>
          <w:sz w:val="24"/>
          <w:szCs w:val="24"/>
        </w:rPr>
        <w:t>10 de abril de 2024.</w:t>
      </w:r>
      <w:r w:rsidR="009E7F49">
        <w:rPr>
          <w:rFonts w:ascii="Arial" w:eastAsia="Calibri" w:hAnsi="Arial" w:cs="Times New Roman"/>
          <w:sz w:val="24"/>
          <w:szCs w:val="24"/>
        </w:rPr>
        <w:tab/>
      </w:r>
    </w:p>
    <w:p w14:paraId="4E31ADB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4C17E4A" w14:textId="77777777" w:rsidR="00506D87" w:rsidRDefault="00506D87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70838EA" w14:textId="77777777" w:rsidR="00506D87" w:rsidRDefault="00506D87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8A1A752" w14:textId="77777777" w:rsidR="00506D87" w:rsidRPr="00D576AF" w:rsidRDefault="00506D87" w:rsidP="00506D8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C9CF4C5" w14:textId="77777777" w:rsidR="00506D87" w:rsidRPr="00377A2E" w:rsidRDefault="00506D87" w:rsidP="00506D87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2F4C3CD2" w14:textId="77777777" w:rsidR="000169F1" w:rsidRDefault="000169F1" w:rsidP="000169F1"/>
    <w:p w14:paraId="3E164D1B" w14:textId="77777777" w:rsidR="00131BEB" w:rsidRPr="000169F1" w:rsidRDefault="00131BEB" w:rsidP="000169F1"/>
    <w:sectPr w:rsidR="00131BEB" w:rsidRPr="000169F1" w:rsidSect="00E212A0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C1CA6" w14:textId="77777777" w:rsidR="00E212A0" w:rsidRDefault="00E212A0" w:rsidP="00943258">
      <w:pPr>
        <w:spacing w:after="0" w:line="240" w:lineRule="auto"/>
      </w:pPr>
      <w:r>
        <w:separator/>
      </w:r>
    </w:p>
  </w:endnote>
  <w:endnote w:type="continuationSeparator" w:id="0">
    <w:p w14:paraId="28780F70" w14:textId="77777777" w:rsidR="00E212A0" w:rsidRDefault="00E212A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D947BB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FB18FFE" wp14:editId="49EDD1D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757361044" name="Imagem 75736104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459F76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B6449" w14:textId="77777777" w:rsidR="00E212A0" w:rsidRDefault="00E212A0" w:rsidP="00943258">
      <w:pPr>
        <w:spacing w:after="0" w:line="240" w:lineRule="auto"/>
      </w:pPr>
      <w:r>
        <w:separator/>
      </w:r>
    </w:p>
  </w:footnote>
  <w:footnote w:type="continuationSeparator" w:id="0">
    <w:p w14:paraId="46E86403" w14:textId="77777777" w:rsidR="00E212A0" w:rsidRDefault="00E212A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DBD90" w14:textId="2B19583F" w:rsidR="00131BEB" w:rsidRDefault="00FB3A3F" w:rsidP="00FB3A3F">
    <w:pPr>
      <w:pStyle w:val="Cabealho"/>
      <w:tabs>
        <w:tab w:val="clear" w:pos="4252"/>
        <w:tab w:val="clear" w:pos="8504"/>
        <w:tab w:val="left" w:pos="6932"/>
      </w:tabs>
    </w:pPr>
    <w:r>
      <w:tab/>
    </w:r>
  </w:p>
  <w:p w14:paraId="5C4DFEC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734CED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FF1170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4379E"/>
    <w:multiLevelType w:val="hybridMultilevel"/>
    <w:tmpl w:val="8302528E"/>
    <w:lvl w:ilvl="0" w:tplc="A312613E">
      <w:start w:val="1"/>
      <w:numFmt w:val="decimal"/>
      <w:lvlText w:val="%1."/>
      <w:lvlJc w:val="left"/>
      <w:pPr>
        <w:ind w:left="2421" w:hanging="360"/>
      </w:pPr>
      <w:rPr>
        <w:b w:val="0"/>
        <w:bCs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920669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87"/>
    <w:rsid w:val="00003F31"/>
    <w:rsid w:val="000169F1"/>
    <w:rsid w:val="0004298B"/>
    <w:rsid w:val="00097661"/>
    <w:rsid w:val="000D228C"/>
    <w:rsid w:val="000E6C72"/>
    <w:rsid w:val="00131BEB"/>
    <w:rsid w:val="001539B0"/>
    <w:rsid w:val="001667B0"/>
    <w:rsid w:val="001761C0"/>
    <w:rsid w:val="00183BE2"/>
    <w:rsid w:val="001A06F1"/>
    <w:rsid w:val="001B0A77"/>
    <w:rsid w:val="001B2B98"/>
    <w:rsid w:val="001B2E75"/>
    <w:rsid w:val="001B6740"/>
    <w:rsid w:val="001B7C93"/>
    <w:rsid w:val="00201F45"/>
    <w:rsid w:val="00207BE4"/>
    <w:rsid w:val="00214E09"/>
    <w:rsid w:val="00214F95"/>
    <w:rsid w:val="00215D42"/>
    <w:rsid w:val="00227B71"/>
    <w:rsid w:val="00255CF8"/>
    <w:rsid w:val="00262F50"/>
    <w:rsid w:val="00272BFB"/>
    <w:rsid w:val="00277142"/>
    <w:rsid w:val="00287FA5"/>
    <w:rsid w:val="00291F6C"/>
    <w:rsid w:val="002C105F"/>
    <w:rsid w:val="0030588D"/>
    <w:rsid w:val="003117CE"/>
    <w:rsid w:val="00377A2E"/>
    <w:rsid w:val="003801CD"/>
    <w:rsid w:val="003D75F2"/>
    <w:rsid w:val="003E04CA"/>
    <w:rsid w:val="003E46B9"/>
    <w:rsid w:val="003F6323"/>
    <w:rsid w:val="00433250"/>
    <w:rsid w:val="004949AD"/>
    <w:rsid w:val="004D382C"/>
    <w:rsid w:val="004D5FF0"/>
    <w:rsid w:val="004F2B78"/>
    <w:rsid w:val="004F384D"/>
    <w:rsid w:val="005012E4"/>
    <w:rsid w:val="00501A18"/>
    <w:rsid w:val="00506D87"/>
    <w:rsid w:val="005321DA"/>
    <w:rsid w:val="00535EC4"/>
    <w:rsid w:val="0054223F"/>
    <w:rsid w:val="005B3CF3"/>
    <w:rsid w:val="005B67EA"/>
    <w:rsid w:val="005E58E2"/>
    <w:rsid w:val="00673228"/>
    <w:rsid w:val="00693F8B"/>
    <w:rsid w:val="00696295"/>
    <w:rsid w:val="006C0CCB"/>
    <w:rsid w:val="006C0DFC"/>
    <w:rsid w:val="006D4633"/>
    <w:rsid w:val="00722DF5"/>
    <w:rsid w:val="00795616"/>
    <w:rsid w:val="00797900"/>
    <w:rsid w:val="007A6378"/>
    <w:rsid w:val="007C36DB"/>
    <w:rsid w:val="007F52EE"/>
    <w:rsid w:val="00810D34"/>
    <w:rsid w:val="008668BB"/>
    <w:rsid w:val="008A0012"/>
    <w:rsid w:val="008E31FF"/>
    <w:rsid w:val="008E377D"/>
    <w:rsid w:val="008F0658"/>
    <w:rsid w:val="008F2218"/>
    <w:rsid w:val="008F53CE"/>
    <w:rsid w:val="008F7480"/>
    <w:rsid w:val="008F7B29"/>
    <w:rsid w:val="0090226D"/>
    <w:rsid w:val="00924163"/>
    <w:rsid w:val="00943258"/>
    <w:rsid w:val="0094501C"/>
    <w:rsid w:val="0097012B"/>
    <w:rsid w:val="009909AA"/>
    <w:rsid w:val="009D6648"/>
    <w:rsid w:val="009E7F49"/>
    <w:rsid w:val="00A049FC"/>
    <w:rsid w:val="00A04FDB"/>
    <w:rsid w:val="00A31EDC"/>
    <w:rsid w:val="00A659C4"/>
    <w:rsid w:val="00AC2F36"/>
    <w:rsid w:val="00AD0A74"/>
    <w:rsid w:val="00B14A81"/>
    <w:rsid w:val="00B6363E"/>
    <w:rsid w:val="00B86A6B"/>
    <w:rsid w:val="00BA2544"/>
    <w:rsid w:val="00BF7659"/>
    <w:rsid w:val="00C03B4C"/>
    <w:rsid w:val="00C0456B"/>
    <w:rsid w:val="00C17875"/>
    <w:rsid w:val="00CB5FC5"/>
    <w:rsid w:val="00CD3EF3"/>
    <w:rsid w:val="00D32740"/>
    <w:rsid w:val="00D43F8A"/>
    <w:rsid w:val="00D61CBA"/>
    <w:rsid w:val="00D85D45"/>
    <w:rsid w:val="00DB4CE3"/>
    <w:rsid w:val="00DD2AD0"/>
    <w:rsid w:val="00DD707E"/>
    <w:rsid w:val="00DE0162"/>
    <w:rsid w:val="00DE0552"/>
    <w:rsid w:val="00DF5478"/>
    <w:rsid w:val="00DF661A"/>
    <w:rsid w:val="00E05790"/>
    <w:rsid w:val="00E05F4F"/>
    <w:rsid w:val="00E15203"/>
    <w:rsid w:val="00E212A0"/>
    <w:rsid w:val="00E639CD"/>
    <w:rsid w:val="00E75AA1"/>
    <w:rsid w:val="00E860A5"/>
    <w:rsid w:val="00E90F3C"/>
    <w:rsid w:val="00E968BB"/>
    <w:rsid w:val="00EB32D4"/>
    <w:rsid w:val="00EB4346"/>
    <w:rsid w:val="00EB599E"/>
    <w:rsid w:val="00EE34B7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C136C0"/>
  <w15:chartTrackingRefBased/>
  <w15:docId w15:val="{E7BF71BD-F192-419C-A58A-D14A5581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506D87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Bruno%20Gast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Bruno Gastão</Template>
  <TotalTime>128</TotalTime>
  <Pages>4</Pages>
  <Words>1285</Words>
  <Characters>6945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17</vt:i4>
      </vt:variant>
    </vt:vector>
  </HeadingPairs>
  <TitlesOfParts>
    <vt:vector size="18" baseType="lpstr">
      <vt:lpstr/>
      <vt:lpstr>É certo que tal discussão se revela demasiadamente complexa, a começar por onde </vt:lpstr>
      <vt:lpstr>Daí a surpresa da apelante com a negativa de produção de prova.</vt:lpstr>
      <vt:lpstr>Como dito nas razões recursais, é consabido que em demandas possessórias, via de</vt:lpstr>
      <vt:lpstr>Por conta disso, em se tratando de demanda possessória sobre área de terras rura</vt:lpstr>
      <vt:lpstr>Há que se reconhecer, além disso, que a sentença não enfrentou “todos os argumen</vt:lpstr>
      <vt:lpstr>Portanto, não poderia a Dra. Juíza de Direito, diante dos argumentos que colocam</vt:lpstr>
      <vt:lpstr>Quanto ao mérito recursal, é bom que se diga, os apelados não demonstraram a leg</vt:lpstr>
      <vt:lpstr>É preciso se ater ao fato de que o imóvel não possui qualquer edificação ou benf</vt:lpstr>
      <vt:lpstr>A jurisprudência do Tribunal de Justiça de São Paulo, ao julgar caso semelhante,</vt:lpstr>
      <vt:lpstr>Outra questão que merece exame se refere ao fato de que Arlindo e Isolete não fo</vt:lpstr>
      <vt:lpstr>A fragilidade das provas apresentadas por Arlindo e Isolete beira o inacreditáve</vt:lpstr>
      <vt:lpstr>Ocorre que, qual não foi a surpresa, ao serem as testemunhas dos apelados indaga</vt:lpstr>
      <vt:lpstr>É de causar estranheza, portanto, que a magistrada sentenciante tenha assinalado</vt:lpstr>
      <vt:lpstr>Mas não é só!</vt:lpstr>
      <vt:lpstr>Sabe-se que “conquanto possível o depoimento prestado por informante, sua valora</vt:lpstr>
      <vt:lpstr>Tudo o que se extrai dos autos, enfim, revela verdadeiro e puro abuso do direito</vt:lpstr>
      <vt:lpstr>A apelante confia, por isso, no provimento do recurso de apelação para que, acol</vt:lpstr>
    </vt:vector>
  </TitlesOfParts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61</cp:revision>
  <cp:lastPrinted>2024-04-10T15:08:00Z</cp:lastPrinted>
  <dcterms:created xsi:type="dcterms:W3CDTF">2024-04-10T12:52:00Z</dcterms:created>
  <dcterms:modified xsi:type="dcterms:W3CDTF">2024-04-10T15:11:00Z</dcterms:modified>
</cp:coreProperties>
</file>