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ADD0E" w14:textId="77777777" w:rsidR="00A31F2E" w:rsidRDefault="00000000">
      <w:pPr>
        <w:spacing w:after="360"/>
        <w:jc w:val="center"/>
      </w:pPr>
      <w:r>
        <w:rPr>
          <w:b/>
          <w:sz w:val="28"/>
        </w:rPr>
        <w:t>RECURSO AO CONTRAN</w:t>
      </w:r>
    </w:p>
    <w:p w14:paraId="4A4F5C38" w14:textId="77777777" w:rsidR="00A31F2E" w:rsidRDefault="00A31F2E"/>
    <w:p w14:paraId="6191AD07" w14:textId="77777777" w:rsidR="00A31F2E" w:rsidRDefault="00000000">
      <w:pPr>
        <w:spacing w:before="120"/>
        <w:jc w:val="center"/>
      </w:pPr>
      <w:r>
        <w:rPr>
          <w:b/>
        </w:rPr>
        <w:t>ILUSTRÍSSIMO SENHOR PRESIDENTE DO CONSELHO NACIONAL DE TRÂNSITO – CONTRAN</w:t>
      </w:r>
    </w:p>
    <w:p w14:paraId="2CA7D9D5" w14:textId="77777777" w:rsidR="00A31F2E" w:rsidRDefault="00000000">
      <w:r>
        <w:t>Processo SGPE n. 82779/2024</w:t>
      </w:r>
    </w:p>
    <w:p w14:paraId="3E5C969F" w14:textId="77777777" w:rsidR="00A31F2E" w:rsidRDefault="00000000">
      <w:r>
        <w:t>AIT n. P0AVT00017</w:t>
      </w:r>
    </w:p>
    <w:p w14:paraId="010B2E3A" w14:textId="77777777" w:rsidR="00A31F2E" w:rsidRDefault="00000000">
      <w:r>
        <w:t>RENATO HERCÍLIO BERTOLDI, já qualificado nos autos em epígrafe, vem, respeitosamente, à presença de Vossa Ilustríssima, por intermédio de seu advogado signatário, com fundamento no art. 288 do Código de Trânsito Brasileiro, interpor</w:t>
      </w:r>
    </w:p>
    <w:p w14:paraId="24F92018" w14:textId="77777777" w:rsidR="00A31F2E" w:rsidRDefault="00000000">
      <w:pPr>
        <w:spacing w:before="120"/>
        <w:jc w:val="center"/>
      </w:pPr>
      <w:r>
        <w:rPr>
          <w:b/>
        </w:rPr>
        <w:t>RECURSO AO CONSELHO NACIONAL DE TRÂNSITO – CONTRAN</w:t>
      </w:r>
    </w:p>
    <w:p w14:paraId="0450F4F7" w14:textId="77777777" w:rsidR="00A31F2E" w:rsidRDefault="00000000">
      <w:r>
        <w:t>em face do acórdão proferido pela Junta Administrativa de Recursos de Infrações – JARI nos autos do processo SGPE n. 82779/2024, pelas razões de fato e de direito a seguir expostas.</w:t>
      </w:r>
    </w:p>
    <w:p w14:paraId="30D26835" w14:textId="77777777" w:rsidR="00A31F2E" w:rsidRDefault="00000000">
      <w:pPr>
        <w:spacing w:before="240"/>
        <w:jc w:val="left"/>
      </w:pPr>
      <w:r>
        <w:rPr>
          <w:b/>
        </w:rPr>
        <w:t>I – SÍNTESE DO AUTO DE INFRAÇÃO E DAS DECISÕES RECORRIDAS</w:t>
      </w:r>
    </w:p>
    <w:p w14:paraId="12F48B7E" w14:textId="77777777" w:rsidR="00A31F2E" w:rsidRDefault="00000000">
      <w:r>
        <w:t>RENATO HERCÍLIO BERTOLDI foi autuado, em 03 de janeiro de 2024, na Av. dos Salmões, Jurerê Internacional, Florianópolis/SC, sob a suposta prática da infração prevista no art. 165-A do Código de Trânsito Brasileiro, pelo fundamento de que teria recusado a submissão ao teste de etilômetro. O auto de infração n. P0AVT00017 consigna, no campo destinado ao número do equipamento, o dado "Não disponível".</w:t>
      </w:r>
    </w:p>
    <w:p w14:paraId="4A980E84" w14:textId="77777777" w:rsidR="00A31F2E" w:rsidRDefault="00000000">
      <w:r>
        <w:t>A defesa prévia apresentada pelo recorrente foi indeferida (processo 722/2024). Interposto recurso à JARI (processo 1705/2024), sobreveio o acórdão ora recorrido, indeferindo o recurso. Em síntese, o acórdão da JARI sustentou que a recusa ao teste não encontraria amparo legal por ausência de "justificativa com provas robustas"; que a motivação da abordagem policial prescindiria de narrativa pormenorizada, bastando a situação suspeita de trânsito; e que o equipamento de etilômetro estaria apto ao uso. Quanto ao código da infração, o acórdão concluiu que o código "7579" constante do AIT equivale ao código "757-9" da Portaria n. 3/2016/DENATRAN, por entender que a sequência numérica seria a mesma. Como se demonstrará a seguir, nenhum desses fundamentos resiste ao confronto com os elementos dos autos.</w:t>
      </w:r>
    </w:p>
    <w:p w14:paraId="4671C6D1" w14:textId="77777777" w:rsidR="00A31F2E" w:rsidRDefault="00000000">
      <w:pPr>
        <w:spacing w:before="240"/>
        <w:jc w:val="left"/>
      </w:pPr>
      <w:r>
        <w:rPr>
          <w:b/>
        </w:rPr>
        <w:t>II – DA RECUSA JUSTIFICADA PELAS CONDIÇÕES SANITÁRIAS DO EQUIPAMENTO</w:t>
      </w:r>
    </w:p>
    <w:p w14:paraId="15E50E74" w14:textId="77777777" w:rsidR="00A31F2E" w:rsidRDefault="00000000">
      <w:r>
        <w:lastRenderedPageBreak/>
        <w:t>Sem razão, entretanto, a JARI ao concluir que a recusa do recorrente não encontraria amparo legal.</w:t>
      </w:r>
    </w:p>
    <w:p w14:paraId="0F683968" w14:textId="77777777" w:rsidR="00A31F2E" w:rsidRDefault="00000000">
      <w:r>
        <w:t>O art. 277 do CTB e o art. 165-A do mesmo diploma estabelecem a obrigação de submissão ao teste de etilômetro, mas não suprimem o direito à recusa fundada em razão legítima. O recorrente, ao ser abordado na madrugada de 03 de janeiro de 2024, recusou-se a soprar o bafômetro em razão das condições sanitárias precárias do equipamento — bocal de uso coletivo sem comprovação de higienização adequada entre os testes aplicados —, o que representava risco concreto à sua saúde.</w:t>
      </w:r>
    </w:p>
    <w:p w14:paraId="2C6F0647" w14:textId="77777777" w:rsidR="00A31F2E" w:rsidRDefault="00000000">
      <w:r>
        <w:t>O risco à saúde não é alegação abstrata. O recorrente conta com mais de 60 anos de idade, inserido, portanto, no grupo de risco para doenças transmissíveis por contato com superfícies e bocais compartilhados. A abordagem ocorreu em operação de fiscalização coletiva, na qual o mesmo equipamento era utilizado sequencialmente por diferentes motoristas. Não há qualquer registro nos autos de que os agentes tenham demonstrado ao recorrente os procedimentos de higienização do bocal ou fornecido bocal individual descartável, providência elementar para garantir a segurança sanitária dos abordados.</w:t>
      </w:r>
    </w:p>
    <w:p w14:paraId="3A508DD0" w14:textId="77777777" w:rsidR="00A31F2E" w:rsidRDefault="00000000">
      <w:r>
        <w:t>O acórdão recorrido limita-se a exigir "provas robustas" da justificativa, sem, contudo, indicar quais provas estariam ao alcance do particular para comprovar, no exato momento da abordagem, o estado sanitário do equipamento. Ocorre que o ônus de demonstrar que o equipamento estava em condições higiênicas adequadas pertence ao Estado — é o Poder Público quem possui o equipamento, quem o opera e quem deve zelar por sua higienização. Ao recorrente, naquele momento, somente era possível exprimir a recusa, o que fez de forma legítima e com fundamento em risco real à sua saúde.</w:t>
      </w:r>
    </w:p>
    <w:p w14:paraId="3F5D2AFF" w14:textId="77777777" w:rsidR="00A31F2E" w:rsidRDefault="00000000">
      <w:r>
        <w:t>Nesse sentido, a ausência de prova da higienização adequada do bocal é fato que milita em favor do recorrente, e não contra ele, pois os documentos do processo não registram qualquer providência sanitária adotada pelos agentes. A JARI, ao inverter esse ônus e exigir prova impossível do particular, violou os princípios da razoabilidade e da proporcionalidade que devem orientar o processo administrativo (art. 2º, caput e parágrafo único, Lei n. 9.784/99).</w:t>
      </w:r>
    </w:p>
    <w:p w14:paraId="74474895" w14:textId="77777777" w:rsidR="00A31F2E" w:rsidRDefault="00000000">
      <w:pPr>
        <w:spacing w:before="240"/>
        <w:jc w:val="left"/>
      </w:pPr>
      <w:r>
        <w:rPr>
          <w:b/>
        </w:rPr>
        <w:t>III – DA NULIDADE DO AIT PELA AUSÊNCIA DE MOTIVAÇÃO IDÔNEA PARA A ABORDAGEM</w:t>
      </w:r>
    </w:p>
    <w:p w14:paraId="6DB87510" w14:textId="77777777" w:rsidR="00A31F2E" w:rsidRDefault="00000000">
      <w:r>
        <w:t>Improcede, igualmente, o fundamento do acórdão recorrido de que a motivação da abordagem prescindiria de narrativa detalhada.</w:t>
      </w:r>
    </w:p>
    <w:p w14:paraId="586FC73E" w14:textId="77777777" w:rsidR="00A31F2E" w:rsidRDefault="00000000">
      <w:r>
        <w:t>O AIT n. P0AVT00017, em seu campo destinado à descrição da situação fática, não registra qualquer sinal objetivo de influência de álcool ou de direção anormal que tenha motivado a abordagem do recorrente. O próprio acórdão da JARI reconhece, expressamente, em seus fundamentos, que "em nenhum momento foi questionada a capacidade psicomotora" do recorrente. Essa admissão é reveladora: se a capacidade psicomotora não foi questionada, por qual razão objetiva o recorrente foi selecionado para a abordagem e submetido ao teste?</w:t>
      </w:r>
    </w:p>
    <w:p w14:paraId="533B8D09" w14:textId="77777777" w:rsidR="00A31F2E" w:rsidRDefault="00000000">
      <w:r>
        <w:t>O art. 277 do CTB autoriza a fiscalização para verificar a influência de álcool mediante indícios concretos — e não de forma aleatória e desprovida de qualquer critério. A simples participação em blitz não afasta a exigência de que o agente identifique e registre, no AIT, os sinais concretos que motivaram a abordagem específica do recorrente. Sem esse registro, o ato administrativo carece de motivação, vício que acarreta a nulidade do auto de infração (art. 50, caput, Lei n. 9.784/99).</w:t>
      </w:r>
    </w:p>
    <w:p w14:paraId="2E9E613F" w14:textId="77777777" w:rsidR="00A31F2E" w:rsidRDefault="00000000">
      <w:r>
        <w:t>Ademais, a ausência de sinal de comprometimento da capacidade psicomotora, reconhecida pela própria JARI, reforça a conclusão de que a abordagem foi desprovida de fundamento fático idôneo. O recorrente conduzia regularmente o veículo, sem qualquer irregularidade observável, o que torna ainda mais evidente que a autuação carece de suporte fático mínimo.</w:t>
      </w:r>
    </w:p>
    <w:p w14:paraId="0D057299" w14:textId="77777777" w:rsidR="00A31F2E" w:rsidRDefault="00000000">
      <w:pPr>
        <w:spacing w:before="240"/>
        <w:jc w:val="left"/>
      </w:pPr>
      <w:r>
        <w:rPr>
          <w:b/>
        </w:rPr>
        <w:t>IV – DA NULIDADE DO AIT: CERTIFICADO DE VERIFICAÇÃO DO ETILÔMETRO VENCIDO NA DATA DA INFRAÇÃO</w:t>
      </w:r>
    </w:p>
    <w:p w14:paraId="250A20B7" w14:textId="77777777" w:rsidR="00A31F2E" w:rsidRDefault="00000000">
      <w:r>
        <w:t>Mas não é só. Há vício mais grave, cuja relevância foi, surpreendentemente, minimizada pelo acórdão recorrido: o etilômetro utilizado na abordagem do recorrente estava com o Certificado de Verificação do INMETRO vencido na data da infração.</w:t>
      </w:r>
    </w:p>
    <w:p w14:paraId="1095CAC0" w14:textId="77777777" w:rsidR="00A31F2E" w:rsidRDefault="00000000">
      <w:r>
        <w:t>O acórdão da JARI registra, em seus fundamentos, que foi juntado aos autos o "Certificado de Verificação nº 102865 com validade de 14/07/2022 a 14/04/2023". A infração, contudo, ocorreu em 03 de janeiro de 2024 — ou seja, mais de oito meses após o vencimento do certificado então constante do processo. O equipamento INTOXIMETERS nº de série 096872, utilizado na abordagem do recorrente, não possuía, naquela data, certificado de verificação válido emitido pelo INMETRO.</w:t>
      </w:r>
    </w:p>
    <w:p w14:paraId="5D8FD90D" w14:textId="77777777" w:rsidR="00A31F2E" w:rsidRDefault="00000000">
      <w:r>
        <w:t>Nesse sentido, o certificado ulterior juntado — de nº 117297, com validade de 06/12/2023 a 05/12/2024 — somente foi acostado ao processo em 07/11/2024, isto é, aproximadamente dez meses após a lavratura do AIT. Ainda que esse certificado abranja o período da infração em termos de datas de vigência, a circunstância de que ele não constava dos autos por ocasião da abordagem, somada ao campo "Número do Equipamento" preenchido com "Não disponível" no próprio AIT, demonstra que os agentes não tinham, no momento da fiscalização, como comprovar a regularidade metrológica do aparelho.</w:t>
      </w:r>
    </w:p>
    <w:p w14:paraId="7286B57D" w14:textId="77777777" w:rsidR="00A31F2E" w:rsidRDefault="00000000">
      <w:r>
        <w:t>O art. 280, §2º, do CTB exige que o equipamento de medição utilizado na fiscalização seja devidamente certificado. A obrigatoriedade de verificação periódica pelo INMETRO é condição de validade da prova metrológica produzida — não mera formalidade. Equipamento sem certificado válido produz medição destituída de confiabilidade e não pode servir de fundamento para a autuação. O fato de o agente ter consignado "Não disponível" no campo do número do equipamento é circunstância que, por si só, revela a impossibilidade de identificar e conferir a regularidade do aparelho no momento da lavratura do AIT.</w:t>
      </w:r>
    </w:p>
    <w:p w14:paraId="34ED8096" w14:textId="77777777" w:rsidR="00A31F2E" w:rsidRDefault="00000000">
      <w:r>
        <w:t>Ora, se o único certificado constante dos autos quando do processamento original era o de nº 102865, vencido há mais de oito meses, e se o AIT sequer identificou o número do equipamento, a presunção de legitimidade do ato administrativo não pode prevalecer sobre a prova documental de que o instrumento de medição não estava certificado. A juntada extemporânea do certificado nº 117297, dez meses após a infração, não sana o vício original — o AIT foi lavrado com base em equipamento sem certificação vigente registrada.</w:t>
      </w:r>
    </w:p>
    <w:p w14:paraId="166ABDDB" w14:textId="77777777" w:rsidR="00A31F2E" w:rsidRDefault="00000000">
      <w:pPr>
        <w:spacing w:before="240"/>
        <w:jc w:val="left"/>
      </w:pPr>
      <w:r>
        <w:rPr>
          <w:b/>
        </w:rPr>
        <w:t>V – DO CÓDIGO DA INFRAÇÃO PREENCHIDO ERRONEAMENTE: VIOLAÇÃO DA PORTARIA N. 3/2016/DENATRAN</w:t>
      </w:r>
    </w:p>
    <w:p w14:paraId="1802395A" w14:textId="77777777" w:rsidR="00A31F2E" w:rsidRDefault="00000000">
      <w:r>
        <w:t>Não bastasse tudo o que foi exposto, o AIT n. P0AVT00017 padece de vício formal autônomo: o código da infração foi preenchido erroneamente, em desacordo com a norma regulamentadora específica.</w:t>
      </w:r>
    </w:p>
    <w:p w14:paraId="285EED6A" w14:textId="77777777" w:rsidR="00A31F2E" w:rsidRDefault="00000000">
      <w:r>
        <w:t>A Portaria n. 3/2016/DENATRAN padronizou os códigos de infração de trânsito, estabelecendo que a infração do art. 165-A do CTB deve ser registrada com o código "757-9", acrescido do código de desdobramento "0". O AIT, contudo, consigna o código "7579", sem o hífen e sem o desdobramento exigido. Não se trata de mera divergência gráfica — o código de desdobramento "0" possui função específica no sistema informatizado de registro de infrações e integra o identificador completo da infração, consoante a própria Portaria.</w:t>
      </w:r>
    </w:p>
    <w:p w14:paraId="5CC6CC6E" w14:textId="77777777" w:rsidR="00A31F2E" w:rsidRDefault="00000000">
      <w:r>
        <w:t>O acórdão recorrido procurou afastar esse vício argumentando que o Manual de Fiscalização de Álcool e Drogas (M-051) admitiria a equivalência entre as formas. Com a devida vênia, o fundamento não prospera. O M-051 é instrumento de orientação operacional interno, sem força normativa equivalente à portaria ministerial. A Portaria n. 3/2016/DENATRAN, por seu caráter normativo e sua posição hierárquica superior, prevalece sobre qualquer manual de procedimentos. O código correto, obrigatório por força de ato normativo de hierarquia superior, não foi utilizado — e esse vício formal, imputável exclusivamente à autoridade autuante, não pode prejudicar o recorrente.</w:t>
      </w:r>
    </w:p>
    <w:p w14:paraId="519D7865" w14:textId="77777777" w:rsidR="00A31F2E" w:rsidRDefault="00000000">
      <w:pPr>
        <w:spacing w:before="240"/>
        <w:jc w:val="left"/>
      </w:pPr>
      <w:r>
        <w:rPr>
          <w:b/>
        </w:rPr>
        <w:t>VI – REQUERIMENTOS</w:t>
      </w:r>
    </w:p>
    <w:p w14:paraId="21208BC4" w14:textId="77777777" w:rsidR="00A31F2E" w:rsidRDefault="00000000">
      <w:r>
        <w:t>Ante todo o exposto, o recorrente requer:</w:t>
      </w:r>
    </w:p>
    <w:p w14:paraId="789EA635" w14:textId="77777777" w:rsidR="00A31F2E" w:rsidRDefault="00000000">
      <w:pPr>
        <w:spacing w:after="80"/>
        <w:ind w:left="850"/>
      </w:pPr>
      <w:r>
        <w:t>a) o conhecimento e provimento do presente recurso ao CONTRAN, com a consequente anulação do AIT n. P0AVT00017, em razão da recusa justificada pelas condições sanitárias do equipamento de etilômetro e da ausência de comprovação de higienização adequada do bocal;</w:t>
      </w:r>
    </w:p>
    <w:p w14:paraId="795B2E72" w14:textId="77777777" w:rsidR="00A31F2E" w:rsidRDefault="00000000">
      <w:pPr>
        <w:spacing w:after="80"/>
        <w:ind w:left="850"/>
      </w:pPr>
      <w:r>
        <w:t>b) subsidiariamente, a anulação do AIT pela ausência de motivação idônea para a abordagem, diante do reconhecimento expresso pelo próprio acórdão recorrido de que a capacidade psicomotora do recorrente não foi questionada;</w:t>
      </w:r>
    </w:p>
    <w:p w14:paraId="3A11BA89" w14:textId="77777777" w:rsidR="00A31F2E" w:rsidRDefault="00000000">
      <w:pPr>
        <w:spacing w:after="80"/>
        <w:ind w:left="850"/>
      </w:pPr>
      <w:r>
        <w:t>c) subsidiariamente, a anulação do AIT pela irregularidade metrológica do equipamento utilizado, eis que o Certificado de Verificação nº 102865 constante dos autos estava vencido desde 14/04/2023 — mais de oito meses antes da infração de 03/01/2024 —, sendo que o campo "Número do Equipamento" foi preenchido com "Não disponível" no próprio AIT;</w:t>
      </w:r>
    </w:p>
    <w:p w14:paraId="552DDBA1" w14:textId="77777777" w:rsidR="00A31F2E" w:rsidRDefault="00000000">
      <w:pPr>
        <w:spacing w:after="80"/>
        <w:ind w:left="850"/>
      </w:pPr>
      <w:r>
        <w:t>d) subsidiariamente, a anulação do AIT pelo preenchimento incorreto do código da infração, que deveria ser "757-9" com desdobramento "0", nos termos da Portaria n. 3/2016/DENATRAN, e não "7579" como lançado pelo agente autuante.</w:t>
      </w:r>
    </w:p>
    <w:p w14:paraId="5B4FA2BA" w14:textId="77777777" w:rsidR="00A31F2E" w:rsidRDefault="00000000">
      <w:r>
        <w:t>Pede deferimento.</w:t>
      </w:r>
    </w:p>
    <w:p w14:paraId="1922A159" w14:textId="77777777" w:rsidR="00A31F2E" w:rsidRDefault="00000000">
      <w:r>
        <w:t>Florianópolis, 25 de março de 2026.</w:t>
      </w:r>
    </w:p>
    <w:p w14:paraId="60949CC3" w14:textId="77777777" w:rsidR="00A31F2E" w:rsidRDefault="00000000">
      <w:r>
        <w:t>Paulo Ekke Moukarzel Junior</w:t>
      </w:r>
    </w:p>
    <w:p w14:paraId="404EBEFB" w14:textId="77777777" w:rsidR="00A31F2E" w:rsidRDefault="00000000">
      <w:r>
        <w:t>OAB/SC n. 36591</w:t>
      </w:r>
    </w:p>
    <w:p w14:paraId="28016A5E" w14:textId="77777777" w:rsidR="00A31F2E" w:rsidRDefault="00000000">
      <w:pPr>
        <w:spacing w:before="480" w:after="40"/>
        <w:jc w:val="center"/>
      </w:pPr>
      <w:r>
        <w:rPr>
          <w:b/>
        </w:rPr>
        <w:t>Paulo Ekke Moukarzel Junior</w:t>
      </w:r>
    </w:p>
    <w:p w14:paraId="595A610D" w14:textId="77777777" w:rsidR="00A31F2E" w:rsidRDefault="00000000">
      <w:pPr>
        <w:jc w:val="center"/>
      </w:pPr>
      <w:r>
        <w:t>OAB/SC n. 36591</w:t>
      </w:r>
    </w:p>
    <w:sectPr w:rsidR="00A31F2E" w:rsidSect="00034616">
      <w:footerReference w:type="default" r:id="rId8"/>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1AEDF" w14:textId="77777777" w:rsidR="00C654F0" w:rsidRDefault="00C654F0">
      <w:pPr>
        <w:spacing w:after="0" w:line="240" w:lineRule="auto"/>
      </w:pPr>
      <w:r>
        <w:separator/>
      </w:r>
    </w:p>
  </w:endnote>
  <w:endnote w:type="continuationSeparator" w:id="0">
    <w:p w14:paraId="2D07A55F" w14:textId="77777777" w:rsidR="00C654F0" w:rsidRDefault="00C65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27C66" w14:textId="62E6188D" w:rsidR="00A31F2E" w:rsidRDefault="00000000">
    <w:pPr>
      <w:pStyle w:val="Rodap"/>
      <w:jc w:val="center"/>
    </w:pPr>
    <w:proofErr w:type="spellStart"/>
    <w:r>
      <w:rPr>
        <w:sz w:val="18"/>
      </w:rPr>
      <w:t>Pagina</w:t>
    </w:r>
    <w:proofErr w:type="spellEnd"/>
    <w:r>
      <w:rPr>
        <w:sz w:val="18"/>
      </w:rPr>
      <w:t xml:space="preserve"> </w:t>
    </w:r>
    <w:r>
      <w:fldChar w:fldCharType="begin"/>
    </w:r>
    <w:r>
      <w:instrText xml:space="preserve"> PAGE </w:instrText>
    </w:r>
    <w:r w:rsidR="007B64D2">
      <w:fldChar w:fldCharType="separate"/>
    </w:r>
    <w:r w:rsidR="007B64D2">
      <w:rPr>
        <w:noProof/>
      </w:rPr>
      <w:t>1</w:t>
    </w:r>
    <w:r>
      <w:fldChar w:fldCharType="end"/>
    </w:r>
    <w:r>
      <w:rPr>
        <w:sz w:val="18"/>
      </w:rPr>
      <w:t xml:space="preserve"> de </w:t>
    </w:r>
    <w:fldSimple w:instr=" NUMPAGES ">
      <w:r w:rsidR="007B64D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6E6AB" w14:textId="77777777" w:rsidR="00C654F0" w:rsidRDefault="00C654F0">
      <w:pPr>
        <w:spacing w:after="0" w:line="240" w:lineRule="auto"/>
      </w:pPr>
      <w:r>
        <w:separator/>
      </w:r>
    </w:p>
  </w:footnote>
  <w:footnote w:type="continuationSeparator" w:id="0">
    <w:p w14:paraId="434EA5C0" w14:textId="77777777" w:rsidR="00C654F0" w:rsidRDefault="00C654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404722186">
    <w:abstractNumId w:val="8"/>
  </w:num>
  <w:num w:numId="2" w16cid:durableId="1100759311">
    <w:abstractNumId w:val="6"/>
  </w:num>
  <w:num w:numId="3" w16cid:durableId="549726424">
    <w:abstractNumId w:val="5"/>
  </w:num>
  <w:num w:numId="4" w16cid:durableId="1026061771">
    <w:abstractNumId w:val="4"/>
  </w:num>
  <w:num w:numId="5" w16cid:durableId="1516923650">
    <w:abstractNumId w:val="7"/>
  </w:num>
  <w:num w:numId="6" w16cid:durableId="150995565">
    <w:abstractNumId w:val="3"/>
  </w:num>
  <w:num w:numId="7" w16cid:durableId="1499687387">
    <w:abstractNumId w:val="2"/>
  </w:num>
  <w:num w:numId="8" w16cid:durableId="1317077414">
    <w:abstractNumId w:val="1"/>
  </w:num>
  <w:num w:numId="9" w16cid:durableId="779571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A17"/>
    <w:rsid w:val="00326F90"/>
    <w:rsid w:val="007B64D2"/>
    <w:rsid w:val="00A31F2E"/>
    <w:rsid w:val="00AA1D8D"/>
    <w:rsid w:val="00B47730"/>
    <w:rsid w:val="00C654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04BB403-6A7C-4A5B-978D-E083342D5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exact"/>
      <w:jc w:val="both"/>
    </w:pPr>
    <w:rPr>
      <w:rFonts w:ascii="Arial" w:hAnsi="Arial"/>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1681</Words>
  <Characters>9297</Characters>
  <Application>Microsoft Office Word</Application>
  <DocSecurity>0</DocSecurity>
  <Lines>169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Cliente: Renato Hercilio Bertoldi</dc:subject>
  <dc:creator>python-docx</dc:creator>
  <cp:keywords/>
  <dc:description>generated by python-docx</dc:description>
  <cp:lastModifiedBy>Paulo Ekke Moukarzel Junior</cp:lastModifiedBy>
  <cp:revision>2</cp:revision>
  <dcterms:created xsi:type="dcterms:W3CDTF">2013-12-23T23:15:00Z</dcterms:created>
  <dcterms:modified xsi:type="dcterms:W3CDTF">2026-03-25T17:00:00Z</dcterms:modified>
  <cp:category/>
</cp:coreProperties>
</file>