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Arial" w:hAnsi="Arial"/>
          <w:b/>
          <w:sz w:val="28"/>
        </w:rPr>
        <w:t>AGRAVO REGIMENTAL NO HC</w:t>
      </w:r>
    </w:p>
    <w:p/>
    <w:p>
      <w:pPr>
        <w:spacing w:before="120" w:after="120"/>
        <w:jc w:val="center"/>
      </w:pPr>
      <w:r>
        <w:rPr>
          <w:rFonts w:ascii="Arial" w:hAnsi="Arial"/>
          <w:b/>
          <w:i w:val="0"/>
          <w:sz w:val="24"/>
        </w:rPr>
        <w:t>EXCELENTÍSSIMO SENHOR MINISTRO CRISTIANO ZANIN, DIGNÍSSIMO RELATOR DO HABEAS CORPUS N. 269.740/SC</w:t>
      </w: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4"/>
        </w:rPr>
        <w:t>URGENTE!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Paciente preso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RAFAEL DE MELO, já qualificado nos autos do habeas corpus n. 269.740/SC, vem, respeitosamente, à elevada presença de Vossa Excelência, por intermédio de seu advogado signatário, com fundamento no art. 317 do Regimento Interno do Supremo Tribunal Federal, interpor, a tempo e modo,</w:t>
      </w: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4"/>
        </w:rPr>
        <w:t>AGRAVO REGIMENTAL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contra a decisão monocrática que negou seguimento ao habeas corpus impetrado pela defesa, ao argumento de que a Súmula 606/STF inviabilizaria o writ contra o acórdão proferido no ARE n. 1.564.742/SC e de que não estaria demonstrada a manifesta ilegalidade ou teratologia necessárias para superar o óbice sumular.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Espera o agravante que, conhecido o presente recurso e oportunizado o juízo de retratação, seja reconhecida a inaplicabilidade da Súmula 606/STF ao caso — eis que as vias recursais anteriores foram obstaculizadas por intempestividade, sem que as alegações de ilegalidade constitucional houvessem sido examinadas no mérito em qualquer instância superior — e, ainda, que seja verificada a flagrante ilegalidade decorrente da realização do depoimento especial da vítima sem a intimação do advogado constituído do paciente e sem participação efetiva da Defensoria Pública, prova irrepetível sobre a qual se assenta, com exclusividade, o édito condenatório de 20 anos de reclusão.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Paulo Ekke Moukarzel Junior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OAB/SC n. 36.591</w:t>
      </w:r>
    </w:p>
    <w:p>
      <w:pPr>
        <w:spacing w:before="240" w:after="120"/>
        <w:jc w:val="left"/>
      </w:pPr>
      <w:r>
        <w:rPr>
          <w:rFonts w:ascii="Arial" w:hAnsi="Arial"/>
          <w:b/>
          <w:i w:val="0"/>
          <w:sz w:val="24"/>
        </w:rPr>
        <w:t>I – RAZÕES QUE CONDUZEM AO PROVIMENTO DO RECURSO: Inaplicabilidade da Súmula 606/STF e verificação de flagrante ilegalidade constitucional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Em síntese, a decisão agravada sustentou que a Súmula 606/STF obstaria o exame do habeas corpus impetrado contra o acórdão proferido no ARE n. 1.564.742/SC, porquanto o writ não poderia funcionar como sucedâneo de revisão criminal. Quanto à tese da manifesta ilegalidade, entendeu o decisum que não seria possível identificar, de plano, o constrangimento ilegal apontado pela defesa, decorrente da realização do depoimento especial da vítima sem a intimação do advogado constituído do paciente. Como se demonstrará a seguir, nenhum desses fundamentos resiste ao confronto com os elementos dos autos.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1.1 – Da inaplicabilidade da Súmula 606/STF: ausência do pressuposto da análise do mérito recursal e impossibilidade de perpetuação de nulidade absoluta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Sem razão, entretanto, a decisão agravada ao concluir que a Súmula 606/STF impediria o exame do writ.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Com efeito, a ratio decidendi da orientação sumulada é impedir que o habeas corpus seja utilizado como substitutivo recursal em situações nas quais as instâncias superiores já examinaram o mérito das alegações de ilegalidade apresentadas pela defesa. Nessas hipóteses, o writ não pode servir de via para rediscutir o que já foi decidido, criando cadeia recursal espúria após o esgotamento dos recursos próprios. Essa lógica pressupõe, necessariamente, que os recursos ordinários tenham sido conhecidos e as questões de fundo apreciadas pelo órgão competente.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Ocorre que, no caso do paciente RAFAEL DE MELO, os recursos interpostos antes do habeas corpus foram obstaculizados por intempestividade, sem que a nulidade absoluta do depoimento especial — realizado em violação ao contraditório e à ampla defesa garantidos pelo art. 5º, incisos LIV e LV, da Constituição Federal — tivesse sido, em momento algum, examinada no mérito por qualquer Tribunal Superior. A questão constitucional fundamental ventilada no writ jamais recebeu resposta de mérito de instância superior. Não há, portanto, decisão colegiada anterior sobre o constrangimento ilegal apontado que pudesse justificar o óbice do habeas corpus como substitutivo.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Nesse contexto, aplicar a Súmula 606/STF ao caso do agravante implicaria resultado inadmissível: a consolidação definitiva de nulidade absoluta — produção de prova irrepetível sem defesa técnica do acusado — unicamente porque a defesa que deveria ter sido assegurada pelo próprio Estado não o foi e, consequentemente, o recurso cabível foi apresentado intempestivamente. O habeas corpus, nessa situação, não funciona como substitutivo recursal: funciona como única via de acesso ao controle judicial de ilegalidade constitucional que jamais foi examinada. É exatamente para esse cenário que o Egrégio Supremo Tribunal Federal reserva a exceção do "caso de manifesta ilegalidade ou teratologia", reconhecida expressamente na própria decisão agravada — e que, como se demonstrará a seguir, encontra perfeita aplicação nos presentes autos.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1.2 – Da manifesta ilegalidade: nulidade absoluta do depoimento especial realizado sem defesa técnica do paciente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Também sem razão, entretanto, a decisão agravada ao concluir que não seria possível identificar, de plano, a manifesta ilegalidade apontada no writ.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 depoimento especial de Rafaela Passos Pacheco, realizado em 09 de abril de 2019 (evento 26 do IP n. 0008737-50.2018.8.24.0023, importado para os autos da ação penal como evento 29, TERMOAUD1), é a prova central em que se alicerça a condenação do paciente à pena de 20 anos de reclusão (evento 137, SENT1). Sem esse depoimento, não há prova autônoma apta a sustentar o édito condenatório.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 constrangimento ilegal é aferível de plano, pelos próprios elementos dos autos: à data da realização do depoimento especial, o paciente possuía advogado devidamente constituído nos autos — o Dr. Kleber Ubirajara da Rosa, inscrito na OAB/SC sob o n. 40.956, cuja constituição remonta a setembro de 2016 e está documentada nas fls. 52 do inquérito policial originário. Nenhuma intimação foi dirigida ao causídico constituído para a realização do ato. O advogado não compareceu, não formulou perguntas e não exerceu contraditório sobre a prova mais grave e irrepetível de todo o processo.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Não há que se falar em ausência de mandato ou de constituição formal. O art. 266 do Código de Processo Penal é inequívoco ao dispor que "a constituição de defensor independe de instrumento de mandato", razão pela qual a simples constituição nos autos impunha a intimação do causídico para todos os atos processuais em que o direito de defesa pudesse ser exercido. O depoimento especial de suposta vítima é, por definição, o ato em que mais intensamente esse direito se manifesta: é a colheita da prova acusatória por excelência. Omitir o advogado constituído desse ato equivale a suprimir a defesa técnica do acusado no momento processualmente mais crítico de todo o feito.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A Defensoria Pública, indicada como substituta da defesa técnica naquele momento, não participou efetivamente do ato. Limitou-se a registrar "ciência" após a realização do depoimento — o que é radicalmente distinto de contraditório real. Intimação e ciência posterior são institutos processuais inconfundíveis: o contraditório exige que a defesa possa interferir na produção da prova, não apenas tomar conhecimento do que já foi irrevogavelmente produzido. A "ciência" posterior, no caso concreto, teve o mesmo efeito prático que a ausência — nenhuma pergunta foi formulada, nenhuma objeção foi registrada, nenhuma participação efetiva ocorreu durante a colheita da prova.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 vício é de irreparável gravidade em razão da irrepetibilidade da prova. O art. 11 da Lei n. 13.431/2017 veda expressamente a reinquirição da criança ou adolescente em procedimento de escuta especializada, salvo em casos de estrita necessidade reconhecida judicialmente. Isso significa que o depoimento especial colhido sem contraditório não pode mais ser corrigido: é um ato irreversivelmente consumado, sob o pálio de processo que não assegurou a presença da defesa técnica do acusado. Produziu-se prova irrepetível, viciada na raiz, que jamais poderá ser submetida ao crisol do contraditório real. A nulidade é absoluta, nos termos do art. 564, inciso IV, do Código de Processo Penal e do art. 261, parágrafo único, do mesmo diploma — e nulidade absoluta não se convalesce pelo decurso do tempo nem pela preclusão.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Mas não é só.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Também demonstrou a defesa, no writ, que o depoimento especial produzido sem contraditório apresenta sérias contradições internas com outras versões constantes dos autos. O episódio mais grave narrado pela vítima no depoimento especial diverge substancialmente das versões do Relatório do DPCAMI, do depoimento prestado pela genitora na fase policial e do depoimento judicial posterior — quatro versões distintas sobre o mesmo fato, inconciliáveis entre si em aspectos essenciais. A ausência de defesa técnica na colheita do depoimento especial impediu que essas contradições fossem exploradas no momento oportuno e irreversivelmente perdido.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Aliás, há elemento adicional que integra o conjunto probatório e que reforça a gravidade da nulidade: a motivação espúria que a defesa demonstrou no writ. Os autos registram a existência de conflito patrimonial familiar, envolvendo disputa sobre bem imóvel de herança, entre o paciente e a genitora da vítima. Documentação carreada ao processo comprova que a genitora proferia ameaças contra o paciente anteriormente ao registro da representação. Esses elementos não têm o condão de exculpar automaticamente o paciente, mas são circunstâncias que, conjugadas à nulidade do depoimento especial e às contradições entre as versões, integram o conjunto de ilegalidades que tornam o édito condenatório insustentável sem o correto exame do mérito.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Esse Colendo Tribunal reconhece, na sua jurisprudência, que a realização de ato processual irrepetível sem intimação de advogado constituído configura nulidade absoluta insanável, por violação dos arts. 5º, LIV e LV, da Constituição Federal e 261, parágrafo único, do Código de Processo Penal, cuja gravidade independe de demonstração de prejuízo específico: "a ausência de defesa técnica em ato processual constitutivo de prova irrepetível configura nulidade absoluta insanável, não sujeita à demonstração de prejuízo concreto, porquanto o prejuízo é ínsito à própria violação do direito ao contraditório e à ampla defesa" (STF, RHC 265.706/SP, rel. Min. Alexandre de Moraes, 1ª Turma, j. 4/12/2025). No mesmo sentido, "a nulidade decorrente de ato processual irrepetível realizado sem a participação da defesa técnica não se convalida com o transcurso do processo, sendo ônus da acusação demonstrar que o acusado dispunha de defesa efetiva no momento da colheita da prova" (STF, AgRg no HC 264.560/SP, rel. Min. Dias Toffoli, 2ª Turma, j. 25/11/2025).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Os elementos dos autos não deixam margem para dúvida: o advogado constituído não foi intimado; a Defensoria Pública não exerceu contraditório real; a prova é irrepetível e representa o único alicerce probatório do édito condenatório; há contradições nas versões da vítima que jamais foram enfrentadas com defesa técnica presente; e há circunstâncias de motivação espúria devidamente documentadas. A manifesta ilegalidade é aferível de plano — está documentada nos próprios autos, na ausência de intimação e na ausência de participação efetiva da defesa técnica.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TESE SUBSIDIÁRIA — Da redução da fração de aumento da continuidade delitiva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Subsidiariamente, ainda que superados os argumentos anteriores — o que se admite apenas ad argumentandum —, o presente recurso merece provimento para reconhecer a ilegalidade flagrante da aplicação do percentual máximo de dois terços na continuidade delitiva.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A própria sentença condenatória (evento 137, SENT1) registrou, expressamente, que "não ficou comprovado nos autos a quantidade exata de crime de estupro de vulnerável". Apesar desse reconhecimento explícito, o percentual máximo de 2/3 foi aplicado com fundamento na alegação de ocorrências diárias proferida pela vítima. Ocorre que o Relator do acórdão que julgou a apelação registrou, textualmente, que a afirmação de ocorrências diárias era "certamente um exagero da criança" — admissão que desqualifica, pela própria fundamentação do aresto condenatório, a base fática adotada para justificar o patamar máximo.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A fixação em 2/3 exige, nos termos do art. 71 do Código Penal e da jurisprudência consolidada dos Tribunais Superiores, que haja sete ou mais infrações devidamente comprovadas. A sentença admitiu que o número exato não foi demonstrado; o acórdão da apelação reconheceu o "exagero" na premissa utilizada. Não há, portanto, fundamento fático idôneo para a fração máxima. A redução ao patamar proporcional ao que efetivamente restou comprovado nos autos — considerando, no mínimo, os dois episódios em locais distintos consignados na denúncia (evento 1, DENUNCIA1) — impõe resultado significativamente menos gravoso para o paciente.</w:t>
      </w:r>
    </w:p>
    <w:p>
      <w:pPr>
        <w:spacing w:before="240" w:after="120"/>
        <w:jc w:val="left"/>
      </w:pPr>
      <w:r>
        <w:rPr>
          <w:rFonts w:ascii="Arial" w:hAnsi="Arial"/>
          <w:b/>
          <w:i w:val="0"/>
          <w:sz w:val="24"/>
        </w:rPr>
        <w:t>II – REQUERIMENTOS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Ante todo o exposto, o agravante requer:</w:t>
      </w:r>
    </w:p>
    <w:p>
      <w:pPr>
        <w:spacing w:after="80" w:line="360" w:lineRule="exact"/>
        <w:ind w:left="850"/>
        <w:jc w:val="both"/>
      </w:pPr>
      <w:r>
        <w:rPr>
          <w:rFonts w:ascii="Arial" w:hAnsi="Arial"/>
          <w:b w:val="0"/>
          <w:i w:val="0"/>
          <w:sz w:val="24"/>
        </w:rPr>
        <w:t>a) o conhecimento e provimento do presente agravo regimental, com a reforma da decisão agravada para reconhecer a inaplicabilidade da Súmula 606/STF ao caso e determinar o exame do mérito do habeas corpus n. 269.740/SC pelo Colegiado;</w:t>
      </w:r>
    </w:p>
    <w:p>
      <w:pPr>
        <w:spacing w:after="80" w:line="360" w:lineRule="exact"/>
        <w:ind w:left="850"/>
        <w:jc w:val="both"/>
      </w:pPr>
      <w:r>
        <w:rPr>
          <w:rFonts w:ascii="Arial" w:hAnsi="Arial"/>
          <w:b w:val="0"/>
          <w:i w:val="0"/>
          <w:sz w:val="24"/>
        </w:rPr>
        <w:t>b) a concessão da ordem no mérito, para declarar a nulidade absoluta do depoimento especial realizado em 09/04/2019 (evento 29, TERMOAUD1) sem a intimação do advogado constituído do paciente (Dr. Kleber Ubirajara da Rosa, OAB/SC n. 40.956, constituído em setembro de 2016 — fls. 52 do IP n. 0008737-50.2018.8.24.0023) e sem participação efetiva da Defensoria Pública, com a consequente cassação do acórdão condenatório e determinação de novo julgamento com observância do contraditório e da ampla defesa;</w:t>
      </w:r>
    </w:p>
    <w:p>
      <w:pPr>
        <w:spacing w:after="80" w:line="360" w:lineRule="exact"/>
        <w:ind w:left="850"/>
        <w:jc w:val="both"/>
      </w:pPr>
      <w:r>
        <w:rPr>
          <w:rFonts w:ascii="Arial" w:hAnsi="Arial"/>
          <w:b w:val="0"/>
          <w:i w:val="0"/>
          <w:sz w:val="24"/>
        </w:rPr>
        <w:t>c) subsidiariamente, a concessão parcial da ordem para reduzir a fração de aumento da continuidade delitiva ao patamar proporcional ao número de infrações efetivamente demonstrado nos autos, ante o reconhecimento expresso na própria sentença condenatória (evento 137, SENT1) de que "não ficou comprovado nos autos a quantidade exata de crime de estupro de vulnerável" e ante o reconhecimento, no acórdão da apelação, de que a alegação de ocorrências diárias era "certamente um exagero da criança".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Pede deferimento.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Florianópolis, 25 de março de 2026.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Paulo Ekke Moukarzel Junior</w:t>
      </w:r>
    </w:p>
    <w:p>
      <w:pPr>
        <w:spacing w:before="0" w:after="120" w:line="360" w:lineRule="exact"/>
        <w:jc w:val="both"/>
      </w:pPr>
      <w:r>
        <w:rPr>
          <w:rFonts w:ascii="Arial" w:hAnsi="Arial"/>
          <w:b w:val="0"/>
          <w:i w:val="0"/>
          <w:sz w:val="24"/>
        </w:rPr>
        <w:t>OAB/SC n. 36.591</w:t>
      </w:r>
    </w:p>
    <w:p>
      <w:pPr>
        <w:spacing w:before="480" w:after="40"/>
        <w:jc w:val="center"/>
      </w:pPr>
      <w:r>
        <w:rPr>
          <w:rFonts w:ascii="Arial" w:hAnsi="Arial"/>
          <w:b/>
          <w:sz w:val="24"/>
        </w:rPr>
        <w:t>Paulo Ekke Moukarzel Junior</w:t>
      </w:r>
    </w:p>
    <w:p>
      <w:pPr>
        <w:spacing w:before="0" w:after="120"/>
        <w:jc w:val="center"/>
      </w:pPr>
      <w:r>
        <w:rPr>
          <w:rFonts w:ascii="Arial" w:hAnsi="Arial"/>
          <w:sz w:val="24"/>
        </w:rPr>
        <w:t>OAB/SC n. 36591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Pagina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20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Cliente: Rafael de Melo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