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CC691" w14:textId="3681A6E9" w:rsidR="000169F1" w:rsidRPr="00136102" w:rsidRDefault="000169F1" w:rsidP="00C809A4">
      <w:pPr>
        <w:spacing w:after="0" w:line="360" w:lineRule="auto"/>
        <w:ind w:right="-284"/>
        <w:contextualSpacing/>
        <w:jc w:val="both"/>
        <w:rPr>
          <w:rFonts w:ascii="Arial" w:eastAsia="Calibri" w:hAnsi="Arial" w:cs="Times New Roman"/>
          <w:sz w:val="24"/>
          <w:szCs w:val="24"/>
        </w:rPr>
      </w:pPr>
      <w:r w:rsidRPr="00980061">
        <w:rPr>
          <w:rFonts w:ascii="Arial" w:eastAsia="Calibri" w:hAnsi="Arial" w:cs="Times New Roman"/>
          <w:sz w:val="24"/>
          <w:szCs w:val="24"/>
        </w:rPr>
        <w:t>EXCELENTÍSSIMO SENHOR DOUTOR JUIZ DE DIREITO DA</w:t>
      </w:r>
      <w:r>
        <w:rPr>
          <w:rFonts w:ascii="Arial" w:eastAsia="Calibri" w:hAnsi="Arial" w:cs="Times New Roman"/>
          <w:sz w:val="24"/>
          <w:szCs w:val="24"/>
        </w:rPr>
        <w:t xml:space="preserve"> </w:t>
      </w:r>
      <w:r w:rsidR="00320A2D" w:rsidRPr="00320A2D">
        <w:rPr>
          <w:rFonts w:ascii="Arial" w:eastAsia="Calibri" w:hAnsi="Arial" w:cs="Times New Roman"/>
          <w:sz w:val="24"/>
          <w:szCs w:val="24"/>
        </w:rPr>
        <w:t>VARA DE EXECUÇÕES CONTRA A FAZENDA PÚBLICA E PRECATÓRIOS DA COMARCA DA CAPITAL</w:t>
      </w:r>
      <w:r w:rsidR="005F72CB">
        <w:rPr>
          <w:rFonts w:ascii="Arial" w:eastAsia="Calibri" w:hAnsi="Arial" w:cs="Times New Roman"/>
          <w:sz w:val="24"/>
          <w:szCs w:val="24"/>
        </w:rPr>
        <w:t>/SC</w:t>
      </w:r>
    </w:p>
    <w:p w14:paraId="790A6FB4" w14:textId="77777777" w:rsidR="000169F1" w:rsidRDefault="000169F1" w:rsidP="00C809A4">
      <w:pPr>
        <w:spacing w:after="0" w:line="360" w:lineRule="auto"/>
        <w:ind w:left="1418" w:right="-284"/>
        <w:contextualSpacing/>
        <w:jc w:val="both"/>
        <w:rPr>
          <w:rFonts w:ascii="Arial" w:eastAsia="Calibri" w:hAnsi="Arial" w:cs="Times New Roman"/>
          <w:sz w:val="24"/>
          <w:szCs w:val="24"/>
        </w:rPr>
      </w:pPr>
    </w:p>
    <w:p w14:paraId="0AFF8382" w14:textId="77777777" w:rsidR="00C809A4" w:rsidRDefault="00C809A4" w:rsidP="00C809A4">
      <w:pPr>
        <w:spacing w:after="0" w:line="360" w:lineRule="auto"/>
        <w:ind w:left="1418" w:right="-284"/>
        <w:contextualSpacing/>
        <w:jc w:val="both"/>
        <w:rPr>
          <w:rFonts w:ascii="Arial" w:eastAsia="Calibri" w:hAnsi="Arial" w:cs="Times New Roman"/>
          <w:sz w:val="24"/>
          <w:szCs w:val="24"/>
        </w:rPr>
      </w:pPr>
    </w:p>
    <w:p w14:paraId="206C5417" w14:textId="1729A2B1" w:rsidR="000169F1" w:rsidRPr="00136102" w:rsidRDefault="000169F1" w:rsidP="00C809A4">
      <w:pPr>
        <w:tabs>
          <w:tab w:val="left" w:pos="3944"/>
        </w:tabs>
        <w:spacing w:after="0" w:line="360" w:lineRule="auto"/>
        <w:ind w:right="-284"/>
        <w:contextualSpacing/>
        <w:jc w:val="both"/>
        <w:rPr>
          <w:rFonts w:ascii="Arial" w:eastAsia="Calibri" w:hAnsi="Arial" w:cs="Times New Roman"/>
          <w:sz w:val="24"/>
          <w:szCs w:val="24"/>
        </w:rPr>
      </w:pPr>
    </w:p>
    <w:p w14:paraId="76E2A808" w14:textId="3F4647FC" w:rsidR="000169F1" w:rsidRPr="00320A2D" w:rsidRDefault="00320A2D" w:rsidP="00C809A4">
      <w:pPr>
        <w:spacing w:after="0" w:line="360" w:lineRule="auto"/>
        <w:ind w:right="-284"/>
        <w:contextualSpacing/>
        <w:jc w:val="both"/>
        <w:rPr>
          <w:rFonts w:ascii="Arial" w:eastAsia="Calibri" w:hAnsi="Arial" w:cs="Times New Roman"/>
        </w:rPr>
      </w:pPr>
      <w:r w:rsidRPr="00320A2D">
        <w:rPr>
          <w:rFonts w:ascii="Arial" w:eastAsia="Calibri" w:hAnsi="Arial" w:cs="Times New Roman"/>
        </w:rPr>
        <w:t>Autos n. 5032756-88.2025.8.24.0023</w:t>
      </w:r>
    </w:p>
    <w:p w14:paraId="70552527" w14:textId="77777777" w:rsidR="000169F1" w:rsidRDefault="000169F1" w:rsidP="00C809A4">
      <w:pPr>
        <w:spacing w:after="0" w:line="360" w:lineRule="auto"/>
        <w:ind w:right="-284"/>
        <w:contextualSpacing/>
        <w:jc w:val="both"/>
        <w:rPr>
          <w:rFonts w:ascii="Arial" w:eastAsia="Calibri" w:hAnsi="Arial" w:cs="Times New Roman"/>
          <w:sz w:val="24"/>
          <w:szCs w:val="24"/>
        </w:rPr>
      </w:pPr>
    </w:p>
    <w:p w14:paraId="0D7F38E4" w14:textId="77777777" w:rsidR="000169F1" w:rsidRDefault="000169F1" w:rsidP="00C809A4">
      <w:pPr>
        <w:spacing w:after="0" w:line="360" w:lineRule="auto"/>
        <w:ind w:right="-284"/>
        <w:contextualSpacing/>
        <w:jc w:val="both"/>
        <w:rPr>
          <w:rFonts w:ascii="Arial" w:eastAsia="Calibri" w:hAnsi="Arial" w:cs="Times New Roman"/>
          <w:sz w:val="24"/>
          <w:szCs w:val="24"/>
        </w:rPr>
      </w:pPr>
    </w:p>
    <w:p w14:paraId="434E760A" w14:textId="77777777" w:rsidR="00C809A4" w:rsidRPr="00136102" w:rsidRDefault="00C809A4" w:rsidP="00C809A4">
      <w:pPr>
        <w:spacing w:after="0" w:line="360" w:lineRule="auto"/>
        <w:ind w:right="-284"/>
        <w:contextualSpacing/>
        <w:jc w:val="both"/>
        <w:rPr>
          <w:rFonts w:ascii="Arial" w:eastAsia="Calibri" w:hAnsi="Arial" w:cs="Times New Roman"/>
          <w:sz w:val="24"/>
          <w:szCs w:val="24"/>
        </w:rPr>
      </w:pPr>
    </w:p>
    <w:p w14:paraId="3DCA8386" w14:textId="31931A20" w:rsidR="000169F1" w:rsidRDefault="00320A2D" w:rsidP="00C809A4">
      <w:pPr>
        <w:pStyle w:val="Qualificaodaspartes"/>
        <w:spacing w:line="360" w:lineRule="auto"/>
        <w:ind w:right="-284"/>
      </w:pPr>
      <w:r>
        <w:rPr>
          <w:b/>
        </w:rPr>
        <w:t>VERA LÚCIA DE ÁVILA MOUKARZEL</w:t>
      </w:r>
      <w:r w:rsidR="000169F1" w:rsidRPr="00A814BD">
        <w:t>,</w:t>
      </w:r>
      <w:r>
        <w:t xml:space="preserve"> já qualificada nos autos do cumprimento de sentença n. </w:t>
      </w:r>
      <w:r w:rsidRPr="00320A2D">
        <w:t>5032756-88.2025.8.24.0023</w:t>
      </w:r>
      <w:r>
        <w:t xml:space="preserve">, proposto contra o </w:t>
      </w:r>
      <w:r w:rsidRPr="00320A2D">
        <w:t xml:space="preserve">INSTITUTO DE PREVIDÊNCIA DO ESTADO DE SANTA CATARINA </w:t>
      </w:r>
      <w:r>
        <w:t>–</w:t>
      </w:r>
      <w:r w:rsidRPr="00320A2D">
        <w:t xml:space="preserve"> IPREV</w:t>
      </w:r>
      <w:r w:rsidR="000169F1">
        <w:t>,</w:t>
      </w:r>
      <w:r w:rsidR="000169F1" w:rsidRPr="00A814BD">
        <w:t xml:space="preserve"> vem, respeitosamente, </w:t>
      </w:r>
      <w:r w:rsidR="000169F1">
        <w:t xml:space="preserve">à elevada presença de </w:t>
      </w:r>
      <w:r w:rsidR="000169F1" w:rsidRPr="00A814BD">
        <w:t xml:space="preserve">Vossa Excelência, </w:t>
      </w:r>
      <w:r w:rsidR="000169F1">
        <w:t>por seu advogado signatário</w:t>
      </w:r>
      <w:r w:rsidR="000169F1" w:rsidRPr="00A814BD">
        <w:t xml:space="preserve">, </w:t>
      </w:r>
      <w:r w:rsidRPr="00694E3D">
        <w:t>em atenção à</w:t>
      </w:r>
      <w:r w:rsidR="005F72CB" w:rsidRPr="00694E3D">
        <w:t xml:space="preserve"> </w:t>
      </w:r>
      <w:r w:rsidR="005F72CB" w:rsidRPr="00694E3D">
        <w:rPr>
          <w:u w:val="single"/>
        </w:rPr>
        <w:t>petição</w:t>
      </w:r>
      <w:r w:rsidR="005F72CB" w:rsidRPr="00694E3D">
        <w:t xml:space="preserve"> </w:t>
      </w:r>
      <w:r w:rsidR="005F72CB" w:rsidRPr="00694E3D">
        <w:rPr>
          <w:u w:val="single"/>
        </w:rPr>
        <w:t>de</w:t>
      </w:r>
      <w:r w:rsidR="005F72CB" w:rsidRPr="00694E3D">
        <w:t xml:space="preserve"> </w:t>
      </w:r>
      <w:r w:rsidR="005F72CB" w:rsidRPr="00694E3D">
        <w:rPr>
          <w:u w:val="single"/>
        </w:rPr>
        <w:t>evento</w:t>
      </w:r>
      <w:r w:rsidR="005F72CB" w:rsidRPr="00694E3D">
        <w:t xml:space="preserve"> 13 e ao </w:t>
      </w:r>
      <w:r w:rsidR="005F72CB" w:rsidRPr="00694E3D">
        <w:rPr>
          <w:u w:val="single"/>
        </w:rPr>
        <w:t>despacho</w:t>
      </w:r>
      <w:r w:rsidR="005F72CB" w:rsidRPr="00694E3D">
        <w:t xml:space="preserve"> </w:t>
      </w:r>
      <w:r w:rsidRPr="00694E3D">
        <w:rPr>
          <w:u w:val="single"/>
        </w:rPr>
        <w:t>d</w:t>
      </w:r>
      <w:r w:rsidR="005F72CB" w:rsidRPr="00694E3D">
        <w:rPr>
          <w:u w:val="single"/>
        </w:rPr>
        <w:t>e</w:t>
      </w:r>
      <w:r w:rsidRPr="00694E3D">
        <w:t xml:space="preserve"> </w:t>
      </w:r>
      <w:r w:rsidRPr="00694E3D">
        <w:rPr>
          <w:u w:val="single"/>
        </w:rPr>
        <w:t>evento</w:t>
      </w:r>
      <w:r w:rsidRPr="00694E3D">
        <w:t xml:space="preserve"> </w:t>
      </w:r>
      <w:r w:rsidR="005F72CB" w:rsidRPr="00694E3D">
        <w:rPr>
          <w:u w:val="single"/>
        </w:rPr>
        <w:t>15</w:t>
      </w:r>
      <w:r>
        <w:t xml:space="preserve">, </w:t>
      </w:r>
      <w:r w:rsidR="005F72CB">
        <w:t>expor e requerer o que segue.</w:t>
      </w:r>
    </w:p>
    <w:p w14:paraId="7AAE8DCC" w14:textId="77777777" w:rsidR="00ED2E6F" w:rsidRPr="00ED2E6F" w:rsidRDefault="00ED2E6F" w:rsidP="00C809A4">
      <w:pPr>
        <w:pStyle w:val="Qualificaodaspartes"/>
        <w:spacing w:line="360" w:lineRule="auto"/>
        <w:ind w:right="-284"/>
      </w:pPr>
    </w:p>
    <w:p w14:paraId="7A1F9806" w14:textId="57556C94" w:rsidR="005F72CB" w:rsidRDefault="005F72CB" w:rsidP="00C809A4">
      <w:pPr>
        <w:pStyle w:val="SemEspaamento"/>
        <w:ind w:right="-284"/>
      </w:pPr>
      <w:r>
        <w:t xml:space="preserve">O instituto previdenciário, no evento 13, apresentou petição impugnando parte do cálculo da parte autora, ou seja, </w:t>
      </w:r>
      <w:r w:rsidRPr="0050070A">
        <w:rPr>
          <w:b/>
          <w:bCs/>
        </w:rPr>
        <w:t>admitindo</w:t>
      </w:r>
      <w:r>
        <w:t xml:space="preserve"> </w:t>
      </w:r>
      <w:r w:rsidRPr="0050070A">
        <w:rPr>
          <w:b/>
          <w:bCs/>
        </w:rPr>
        <w:t>como</w:t>
      </w:r>
      <w:r>
        <w:t xml:space="preserve"> </w:t>
      </w:r>
      <w:r w:rsidRPr="00694E3D">
        <w:rPr>
          <w:b/>
          <w:bCs/>
        </w:rPr>
        <w:t>incontroverso</w:t>
      </w:r>
      <w:r>
        <w:t xml:space="preserve"> o valor </w:t>
      </w:r>
      <w:r w:rsidR="00253F00">
        <w:t xml:space="preserve">bruto </w:t>
      </w:r>
      <w:r>
        <w:t xml:space="preserve">de </w:t>
      </w:r>
      <w:r w:rsidR="00265E48" w:rsidRPr="00C809A4">
        <w:rPr>
          <w:u w:val="single"/>
        </w:rPr>
        <w:t>R$</w:t>
      </w:r>
      <w:r w:rsidR="00C809A4" w:rsidRPr="00C809A4">
        <w:rPr>
          <w:u w:val="single"/>
        </w:rPr>
        <w:t xml:space="preserve"> </w:t>
      </w:r>
      <w:r w:rsidR="00265E48" w:rsidRPr="00C809A4">
        <w:rPr>
          <w:u w:val="single"/>
        </w:rPr>
        <w:t>1.</w:t>
      </w:r>
      <w:r w:rsidR="00253F00" w:rsidRPr="00C809A4">
        <w:rPr>
          <w:u w:val="single"/>
        </w:rPr>
        <w:t>691</w:t>
      </w:r>
      <w:r w:rsidR="00265E48" w:rsidRPr="00C809A4">
        <w:rPr>
          <w:u w:val="single"/>
        </w:rPr>
        <w:t>.</w:t>
      </w:r>
      <w:r w:rsidR="00253F00" w:rsidRPr="00C809A4">
        <w:rPr>
          <w:u w:val="single"/>
        </w:rPr>
        <w:t>626</w:t>
      </w:r>
      <w:r w:rsidR="00265E48" w:rsidRPr="00C809A4">
        <w:rPr>
          <w:u w:val="single"/>
        </w:rPr>
        <w:t>,</w:t>
      </w:r>
      <w:r w:rsidR="00253F00" w:rsidRPr="00C809A4">
        <w:rPr>
          <w:u w:val="single"/>
        </w:rPr>
        <w:t>37</w:t>
      </w:r>
      <w:r>
        <w:t xml:space="preserve"> </w:t>
      </w:r>
      <w:r w:rsidR="00265E48" w:rsidRPr="00265E48">
        <w:rPr>
          <w:sz w:val="20"/>
          <w:szCs w:val="20"/>
        </w:rPr>
        <w:t xml:space="preserve">(um milhão, </w:t>
      </w:r>
      <w:r w:rsidR="00253F00">
        <w:rPr>
          <w:sz w:val="20"/>
          <w:szCs w:val="20"/>
        </w:rPr>
        <w:t xml:space="preserve">seiscentos </w:t>
      </w:r>
      <w:r w:rsidR="00265E48" w:rsidRPr="00265E48">
        <w:rPr>
          <w:sz w:val="20"/>
          <w:szCs w:val="20"/>
        </w:rPr>
        <w:t xml:space="preserve">e </w:t>
      </w:r>
      <w:r w:rsidR="00253F00">
        <w:rPr>
          <w:sz w:val="20"/>
          <w:szCs w:val="20"/>
        </w:rPr>
        <w:t xml:space="preserve">noventa e um </w:t>
      </w:r>
      <w:r w:rsidR="00265E48" w:rsidRPr="00265E48">
        <w:rPr>
          <w:sz w:val="20"/>
          <w:szCs w:val="20"/>
        </w:rPr>
        <w:t xml:space="preserve">mil, </w:t>
      </w:r>
      <w:r w:rsidR="00253F00">
        <w:rPr>
          <w:sz w:val="20"/>
          <w:szCs w:val="20"/>
        </w:rPr>
        <w:t xml:space="preserve">seiscentos e vinte e seis reais </w:t>
      </w:r>
      <w:r w:rsidR="00265E48" w:rsidRPr="00265E48">
        <w:rPr>
          <w:sz w:val="20"/>
          <w:szCs w:val="20"/>
        </w:rPr>
        <w:t xml:space="preserve">e </w:t>
      </w:r>
      <w:r w:rsidR="00253F00">
        <w:rPr>
          <w:sz w:val="20"/>
          <w:szCs w:val="20"/>
        </w:rPr>
        <w:t>trinta</w:t>
      </w:r>
      <w:r w:rsidR="00265E48" w:rsidRPr="00265E48">
        <w:rPr>
          <w:sz w:val="20"/>
          <w:szCs w:val="20"/>
        </w:rPr>
        <w:t xml:space="preserve"> e </w:t>
      </w:r>
      <w:r w:rsidR="00253F00">
        <w:rPr>
          <w:sz w:val="20"/>
          <w:szCs w:val="20"/>
        </w:rPr>
        <w:t>sete</w:t>
      </w:r>
      <w:r w:rsidR="00265E48" w:rsidRPr="00265E48">
        <w:rPr>
          <w:sz w:val="20"/>
          <w:szCs w:val="20"/>
        </w:rPr>
        <w:t xml:space="preserve"> centavos</w:t>
      </w:r>
      <w:r w:rsidR="00F86D73">
        <w:rPr>
          <w:sz w:val="20"/>
          <w:szCs w:val="20"/>
        </w:rPr>
        <w:t xml:space="preserve"> – conforme </w:t>
      </w:r>
      <w:r w:rsidR="00700545">
        <w:rPr>
          <w:sz w:val="20"/>
          <w:szCs w:val="20"/>
        </w:rPr>
        <w:t xml:space="preserve">valor apontado pelo IPREV na </w:t>
      </w:r>
      <w:r w:rsidR="00F86D73">
        <w:rPr>
          <w:sz w:val="20"/>
          <w:szCs w:val="20"/>
        </w:rPr>
        <w:t>planilha do evento 13, OUT5</w:t>
      </w:r>
      <w:r w:rsidR="00265E48" w:rsidRPr="00265E48">
        <w:rPr>
          <w:sz w:val="20"/>
          <w:szCs w:val="20"/>
        </w:rPr>
        <w:t>)</w:t>
      </w:r>
      <w:r w:rsidR="00ED2E6F">
        <w:t>, sobre o qual entende que incide contribuição previdenciária.</w:t>
      </w:r>
    </w:p>
    <w:p w14:paraId="16FDAF13" w14:textId="385A74A6" w:rsidR="00ED2E6F" w:rsidRDefault="005F72CB" w:rsidP="00C809A4">
      <w:pPr>
        <w:pStyle w:val="SemEspaamento"/>
        <w:ind w:right="-284"/>
      </w:pPr>
      <w:r>
        <w:t>Em termos práticos,</w:t>
      </w:r>
      <w:r w:rsidR="00ED2E6F">
        <w:t xml:space="preserve"> como primeira tese,</w:t>
      </w:r>
      <w:r>
        <w:t xml:space="preserve"> alegou </w:t>
      </w:r>
      <w:r w:rsidRPr="00253F00">
        <w:rPr>
          <w:u w:val="single"/>
        </w:rPr>
        <w:t>excesso</w:t>
      </w:r>
      <w:r w:rsidRPr="0050070A">
        <w:t xml:space="preserve"> </w:t>
      </w:r>
      <w:r w:rsidRPr="00253F00">
        <w:rPr>
          <w:u w:val="single"/>
        </w:rPr>
        <w:t>de</w:t>
      </w:r>
      <w:r w:rsidRPr="0050070A">
        <w:t xml:space="preserve"> </w:t>
      </w:r>
      <w:r w:rsidRPr="00253F00">
        <w:rPr>
          <w:u w:val="single"/>
        </w:rPr>
        <w:t>execução</w:t>
      </w:r>
      <w:r>
        <w:t xml:space="preserve"> da ordem de </w:t>
      </w:r>
      <w:r w:rsidRPr="005F72CB">
        <w:rPr>
          <w:u w:val="single"/>
        </w:rPr>
        <w:t>R$ 994.638,22</w:t>
      </w:r>
      <w:r w:rsidRPr="005F72CB">
        <w:rPr>
          <w:b/>
          <w:bCs/>
        </w:rPr>
        <w:t xml:space="preserve"> </w:t>
      </w:r>
      <w:r w:rsidRPr="005F72CB">
        <w:rPr>
          <w:sz w:val="20"/>
          <w:szCs w:val="20"/>
        </w:rPr>
        <w:t>(novecentos e noventa e quatro mil, seiscentos e trinta e</w:t>
      </w:r>
      <w:r w:rsidRPr="00253F00">
        <w:rPr>
          <w:sz w:val="20"/>
          <w:szCs w:val="20"/>
        </w:rPr>
        <w:t xml:space="preserve"> oito reais e vinte e dois centavos)</w:t>
      </w:r>
      <w:r w:rsidRPr="005F72CB">
        <w:t>,</w:t>
      </w:r>
      <w:r>
        <w:t xml:space="preserve"> referente à aplicação do IRESA</w:t>
      </w:r>
      <w:r w:rsidR="00C809A4">
        <w:t xml:space="preserve"> e </w:t>
      </w:r>
      <w:r w:rsidR="00725CDC">
        <w:t xml:space="preserve">reflexos dessa aplicação nos </w:t>
      </w:r>
      <w:r w:rsidR="00C809A4">
        <w:t>honorários advocatícios</w:t>
      </w:r>
      <w:r>
        <w:t xml:space="preserve">, e </w:t>
      </w:r>
      <w:r w:rsidRPr="005F72CB">
        <w:rPr>
          <w:u w:val="single"/>
        </w:rPr>
        <w:t>R$</w:t>
      </w:r>
      <w:r w:rsidR="00C809A4">
        <w:rPr>
          <w:u w:val="single"/>
        </w:rPr>
        <w:t xml:space="preserve"> </w:t>
      </w:r>
      <w:r w:rsidRPr="005F72CB">
        <w:rPr>
          <w:u w:val="single"/>
        </w:rPr>
        <w:t>207.899,64</w:t>
      </w:r>
      <w:r w:rsidRPr="005F72CB">
        <w:t xml:space="preserve"> </w:t>
      </w:r>
      <w:r w:rsidRPr="005F72CB">
        <w:rPr>
          <w:sz w:val="20"/>
          <w:szCs w:val="20"/>
        </w:rPr>
        <w:t>(duzentos e sete mil, oitocentos e noventa e nove</w:t>
      </w:r>
      <w:r w:rsidRPr="00253F00">
        <w:rPr>
          <w:sz w:val="20"/>
          <w:szCs w:val="20"/>
        </w:rPr>
        <w:t xml:space="preserve"> reais e sessenta e quatro centavos)</w:t>
      </w:r>
      <w:r w:rsidR="00253F00">
        <w:t>, a</w:t>
      </w:r>
      <w:r w:rsidR="00253F00" w:rsidRPr="00253F00">
        <w:rPr>
          <w:szCs w:val="24"/>
        </w:rPr>
        <w:t xml:space="preserve"> título de </w:t>
      </w:r>
      <w:r w:rsidR="00253F00">
        <w:rPr>
          <w:szCs w:val="24"/>
        </w:rPr>
        <w:t>contribuição</w:t>
      </w:r>
      <w:r w:rsidR="00253F00" w:rsidRPr="00253F00">
        <w:rPr>
          <w:szCs w:val="24"/>
        </w:rPr>
        <w:t xml:space="preserve"> previdenciári</w:t>
      </w:r>
      <w:r w:rsidR="00253F00">
        <w:rPr>
          <w:szCs w:val="24"/>
        </w:rPr>
        <w:t>a</w:t>
      </w:r>
      <w:r w:rsidRPr="00253F00">
        <w:rPr>
          <w:szCs w:val="24"/>
        </w:rPr>
        <w:t>.</w:t>
      </w:r>
    </w:p>
    <w:p w14:paraId="12FAB0BB" w14:textId="114DB725" w:rsidR="00253F00" w:rsidRPr="00ED2E6F" w:rsidRDefault="00253F00" w:rsidP="00C809A4">
      <w:pPr>
        <w:pStyle w:val="SemEspaamento"/>
        <w:ind w:right="-284"/>
      </w:pPr>
      <w:r>
        <w:t xml:space="preserve">Subsidiariamente, alega </w:t>
      </w:r>
      <w:r w:rsidR="00ED2E6F">
        <w:t xml:space="preserve">que, pelo menos, </w:t>
      </w:r>
      <w:r>
        <w:t>o excesso de execução</w:t>
      </w:r>
      <w:r w:rsidR="00ED2E6F">
        <w:t xml:space="preserve"> seria</w:t>
      </w:r>
      <w:r>
        <w:t xml:space="preserve"> de </w:t>
      </w:r>
      <w:r w:rsidRPr="00253F00">
        <w:rPr>
          <w:u w:val="single"/>
        </w:rPr>
        <w:t>R$</w:t>
      </w:r>
      <w:r w:rsidR="00C809A4">
        <w:rPr>
          <w:u w:val="single"/>
        </w:rPr>
        <w:t xml:space="preserve"> </w:t>
      </w:r>
      <w:r w:rsidRPr="00253F00">
        <w:rPr>
          <w:u w:val="single"/>
        </w:rPr>
        <w:t>419.157,62</w:t>
      </w:r>
      <w:r>
        <w:t xml:space="preserve"> </w:t>
      </w:r>
      <w:r w:rsidRPr="00253F00">
        <w:rPr>
          <w:sz w:val="20"/>
          <w:szCs w:val="20"/>
        </w:rPr>
        <w:t>(quatrocentos e dezenove mil, cento e cinquenta e sete reais e sessenta e</w:t>
      </w:r>
      <w:r w:rsidRPr="00ED2E6F">
        <w:rPr>
          <w:sz w:val="20"/>
          <w:szCs w:val="20"/>
        </w:rPr>
        <w:t xml:space="preserve"> dois centavos)</w:t>
      </w:r>
      <w:r>
        <w:t xml:space="preserve">, em razão </w:t>
      </w:r>
      <w:r w:rsidR="00ED2E6F">
        <w:t xml:space="preserve">da controvérsia sobre o marco inicial da aplicação dos juros de mora, e </w:t>
      </w:r>
      <w:r w:rsidRPr="00253F00">
        <w:rPr>
          <w:u w:val="single"/>
        </w:rPr>
        <w:t>R$ 274.126,88</w:t>
      </w:r>
      <w:r w:rsidRPr="00253F00">
        <w:t xml:space="preserve"> </w:t>
      </w:r>
      <w:r w:rsidRPr="00253F00">
        <w:rPr>
          <w:sz w:val="20"/>
          <w:szCs w:val="20"/>
        </w:rPr>
        <w:t>(</w:t>
      </w:r>
      <w:r w:rsidRPr="00ED2E6F">
        <w:rPr>
          <w:sz w:val="20"/>
          <w:szCs w:val="20"/>
        </w:rPr>
        <w:t>d</w:t>
      </w:r>
      <w:r w:rsidRPr="00253F00">
        <w:rPr>
          <w:sz w:val="20"/>
          <w:szCs w:val="20"/>
        </w:rPr>
        <w:t>uzentos e setenta e quatro mil,</w:t>
      </w:r>
      <w:r w:rsidRPr="00ED2E6F">
        <w:rPr>
          <w:sz w:val="20"/>
          <w:szCs w:val="20"/>
        </w:rPr>
        <w:t xml:space="preserve"> cento e vinte e seis reais e oitenta e oito centavos)</w:t>
      </w:r>
      <w:r>
        <w:t>, a</w:t>
      </w:r>
      <w:r w:rsidRPr="00ED2E6F">
        <w:rPr>
          <w:szCs w:val="24"/>
        </w:rPr>
        <w:t xml:space="preserve"> título de contribuição previdenciária</w:t>
      </w:r>
      <w:r w:rsidR="00ED2E6F">
        <w:rPr>
          <w:szCs w:val="24"/>
        </w:rPr>
        <w:t>, caso incluída a IRESA na base de cálculo</w:t>
      </w:r>
      <w:r w:rsidRPr="00ED2E6F">
        <w:rPr>
          <w:szCs w:val="24"/>
        </w:rPr>
        <w:t>.</w:t>
      </w:r>
    </w:p>
    <w:p w14:paraId="293CBBDD" w14:textId="77777777" w:rsidR="0056566B" w:rsidRPr="004869F7" w:rsidRDefault="0056566B" w:rsidP="004869F7">
      <w:pPr>
        <w:pStyle w:val="SemEspaamento"/>
        <w:numPr>
          <w:ilvl w:val="0"/>
          <w:numId w:val="0"/>
        </w:numPr>
        <w:ind w:right="-284"/>
        <w:rPr>
          <w:sz w:val="28"/>
          <w:szCs w:val="24"/>
        </w:rPr>
      </w:pPr>
    </w:p>
    <w:p w14:paraId="2AA29C1B" w14:textId="3B52C54C" w:rsidR="00B04A7B" w:rsidRPr="00B04A7B" w:rsidRDefault="00DD0354" w:rsidP="00C809A4">
      <w:pPr>
        <w:pStyle w:val="SemEspaamento"/>
        <w:numPr>
          <w:ilvl w:val="0"/>
          <w:numId w:val="0"/>
        </w:numPr>
        <w:ind w:right="-284"/>
        <w:rPr>
          <w:b/>
          <w:bCs/>
          <w:sz w:val="22"/>
          <w:u w:val="single"/>
        </w:rPr>
      </w:pPr>
      <w:r>
        <w:rPr>
          <w:b/>
          <w:bCs/>
          <w:sz w:val="22"/>
          <w:u w:val="single"/>
        </w:rPr>
        <w:lastRenderedPageBreak/>
        <w:t xml:space="preserve">I – </w:t>
      </w:r>
      <w:r w:rsidR="00B04A7B" w:rsidRPr="00B04A7B">
        <w:rPr>
          <w:b/>
          <w:bCs/>
          <w:sz w:val="22"/>
          <w:u w:val="single"/>
        </w:rPr>
        <w:t>DESABAFO. APLICAÇÃO DA PENA MÁXIMA DA LITIGÂNCIA DE M</w:t>
      </w:r>
      <w:r w:rsidR="00F25A40">
        <w:rPr>
          <w:b/>
          <w:bCs/>
          <w:sz w:val="22"/>
          <w:u w:val="single"/>
        </w:rPr>
        <w:t>Á</w:t>
      </w:r>
      <w:r w:rsidR="00B04A7B" w:rsidRPr="00B04A7B">
        <w:rPr>
          <w:b/>
          <w:bCs/>
          <w:sz w:val="22"/>
          <w:u w:val="single"/>
        </w:rPr>
        <w:t>-F</w:t>
      </w:r>
      <w:r w:rsidR="00F25A40">
        <w:rPr>
          <w:b/>
          <w:bCs/>
          <w:sz w:val="22"/>
          <w:u w:val="single"/>
        </w:rPr>
        <w:t>É</w:t>
      </w:r>
      <w:r w:rsidR="00B04A7B" w:rsidRPr="00B04A7B">
        <w:rPr>
          <w:b/>
          <w:bCs/>
          <w:sz w:val="22"/>
          <w:u w:val="single"/>
        </w:rPr>
        <w:t xml:space="preserve"> AO IPREV.</w:t>
      </w:r>
    </w:p>
    <w:p w14:paraId="5D89BA31" w14:textId="77777777" w:rsidR="00B04A7B" w:rsidRPr="005509D7" w:rsidRDefault="00B04A7B" w:rsidP="00C809A4">
      <w:pPr>
        <w:pStyle w:val="SemEspaamento"/>
        <w:numPr>
          <w:ilvl w:val="0"/>
          <w:numId w:val="0"/>
        </w:numPr>
        <w:ind w:left="1701" w:right="-284"/>
        <w:rPr>
          <w:sz w:val="18"/>
          <w:szCs w:val="16"/>
        </w:rPr>
      </w:pPr>
    </w:p>
    <w:p w14:paraId="0BC1EC6F" w14:textId="38CF20FF" w:rsidR="00817047" w:rsidRDefault="00ED2E6F" w:rsidP="00C809A4">
      <w:pPr>
        <w:pStyle w:val="SemEspaamento"/>
        <w:ind w:right="-284"/>
      </w:pPr>
      <w:r>
        <w:rPr>
          <w:szCs w:val="24"/>
        </w:rPr>
        <w:t>A impugnação é um verdadeiro afronte à segurança jurídica e à autoridade das decisões judiciais já firmadas</w:t>
      </w:r>
      <w:r w:rsidR="00817047">
        <w:rPr>
          <w:szCs w:val="24"/>
        </w:rPr>
        <w:t>, sobretudo em segunda instância</w:t>
      </w:r>
      <w:r>
        <w:rPr>
          <w:szCs w:val="24"/>
        </w:rPr>
        <w:t>.</w:t>
      </w:r>
    </w:p>
    <w:p w14:paraId="56ACCA50" w14:textId="77777777" w:rsidR="007E569E" w:rsidRDefault="00817047" w:rsidP="007E569E">
      <w:pPr>
        <w:pStyle w:val="SemEspaamento"/>
        <w:ind w:right="-284"/>
      </w:pPr>
      <w:r>
        <w:t xml:space="preserve">De forma inexplicável, o IPREV, por sua procuradora, não se conforma com a justiça feita no caso concreto. Continua promovendo o litígio, tumultuando o processo, mesmo após o trânsito em julgado do mandado de segurança n. </w:t>
      </w:r>
      <w:r w:rsidR="00E94FCD">
        <w:t>0303263-</w:t>
      </w:r>
      <w:r w:rsidR="008E3C51">
        <w:t>93.</w:t>
      </w:r>
      <w:r w:rsidR="00E94FCD">
        <w:t>2016.8.24.0023/SC</w:t>
      </w:r>
      <w:r>
        <w:t xml:space="preserve"> e da ação de</w:t>
      </w:r>
      <w:r w:rsidR="00725CDC">
        <w:t xml:space="preserve"> cobranç</w:t>
      </w:r>
      <w:r>
        <w:t>a n. 5120444-93.2022.8.24.0023</w:t>
      </w:r>
      <w:r w:rsidR="00E94FCD">
        <w:t>/SC</w:t>
      </w:r>
      <w:r>
        <w:t>.</w:t>
      </w:r>
      <w:r w:rsidR="007E569E">
        <w:t xml:space="preserve"> </w:t>
      </w:r>
    </w:p>
    <w:p w14:paraId="44B39137" w14:textId="6908CC8D" w:rsidR="007E569E" w:rsidRDefault="005E7D92" w:rsidP="007E569E">
      <w:pPr>
        <w:pStyle w:val="SemEspaamento"/>
        <w:ind w:right="-284"/>
      </w:pPr>
      <w:r>
        <w:t>Tanto isso é verdade</w:t>
      </w:r>
      <w:r w:rsidR="007E569E">
        <w:t xml:space="preserve">, </w:t>
      </w:r>
      <w:r>
        <w:t xml:space="preserve">que </w:t>
      </w:r>
      <w:r w:rsidR="007E569E">
        <w:t>o IPREV simplesmente apresentou petição confusa, tentando, a todo custo, reinaugurar discussão já coberta pela autoridade da coisa julgada, além de tratar de matéria já preclusa e de questão decidida em tema repetitivo do STJ, como se verá a seguir, juntando</w:t>
      </w:r>
      <w:r w:rsidR="000A3ECA">
        <w:t>, ainda,</w:t>
      </w:r>
      <w:r w:rsidR="007E569E">
        <w:t xml:space="preserve"> planilhas </w:t>
      </w:r>
      <w:r w:rsidR="000A3ECA">
        <w:t xml:space="preserve">de cálculo </w:t>
      </w:r>
      <w:r w:rsidR="000A3ECA" w:rsidRPr="00855194">
        <w:t>totalmente</w:t>
      </w:r>
      <w:r w:rsidR="000A3ECA">
        <w:t xml:space="preserve"> </w:t>
      </w:r>
      <w:r w:rsidR="000A3ECA" w:rsidRPr="00855194">
        <w:rPr>
          <w:u w:val="single"/>
        </w:rPr>
        <w:t>desconexas</w:t>
      </w:r>
      <w:r w:rsidR="000A3ECA">
        <w:t xml:space="preserve"> com a argumentação apresentada na petição</w:t>
      </w:r>
      <w:r w:rsidR="007E569E">
        <w:t>.</w:t>
      </w:r>
    </w:p>
    <w:p w14:paraId="2DE63465" w14:textId="77777777" w:rsidR="005509D7" w:rsidRDefault="00817047" w:rsidP="00C809A4">
      <w:pPr>
        <w:pStyle w:val="SemEspaamento"/>
        <w:ind w:right="-284"/>
      </w:pPr>
      <w:r>
        <w:t xml:space="preserve"> </w:t>
      </w:r>
      <w:r w:rsidR="00E94FCD">
        <w:t xml:space="preserve">Já se passaram 15 anos, Excelência. 15 anos que a autora perdeu o seu marido, falecido em serviço, e continua tendo que somar à dor da perda a incansável resistência do IPREV </w:t>
      </w:r>
      <w:r w:rsidR="00B04A7B">
        <w:t>em</w:t>
      </w:r>
      <w:r w:rsidR="00E94FCD">
        <w:t xml:space="preserve"> lhe pagar o que é devido. </w:t>
      </w:r>
    </w:p>
    <w:p w14:paraId="0BCCD93C" w14:textId="1E43E649" w:rsidR="00817047" w:rsidRDefault="00E94FCD" w:rsidP="00C809A4">
      <w:pPr>
        <w:pStyle w:val="SemEspaamento"/>
        <w:ind w:right="-284"/>
      </w:pPr>
      <w:r>
        <w:t>Nesses 15 anos, a autora recebeu todas as negativas possíveis do IPREV e teve que obter dois pronunciamentos judiciais definitivos que reconhecem o direito à paridade e integralidade na pensão previdenciária. O IPREV, em contrapartida, continua não se conformando</w:t>
      </w:r>
      <w:r w:rsidR="00B04A7B">
        <w:t>, como se pode observar da petição de evento 13 deste cumprimento de sentença.</w:t>
      </w:r>
    </w:p>
    <w:p w14:paraId="2BA049FF" w14:textId="34208130" w:rsidR="00E94FCD" w:rsidRDefault="00E94FCD" w:rsidP="00C809A4">
      <w:pPr>
        <w:pStyle w:val="SemEspaamento"/>
        <w:ind w:right="-284"/>
      </w:pPr>
      <w:r>
        <w:t xml:space="preserve">A situação merece um basta, </w:t>
      </w:r>
      <w:r w:rsidRPr="00E94FCD">
        <w:rPr>
          <w:i/>
          <w:iCs/>
        </w:rPr>
        <w:t xml:space="preserve">data </w:t>
      </w:r>
      <w:proofErr w:type="spellStart"/>
      <w:r w:rsidRPr="00E94FCD">
        <w:rPr>
          <w:i/>
          <w:iCs/>
        </w:rPr>
        <w:t>maxima</w:t>
      </w:r>
      <w:proofErr w:type="spellEnd"/>
      <w:r w:rsidRPr="00E94FCD">
        <w:rPr>
          <w:i/>
          <w:iCs/>
        </w:rPr>
        <w:t xml:space="preserve"> </w:t>
      </w:r>
      <w:proofErr w:type="spellStart"/>
      <w:r w:rsidRPr="00E94FCD">
        <w:rPr>
          <w:i/>
          <w:iCs/>
        </w:rPr>
        <w:t>venia</w:t>
      </w:r>
      <w:proofErr w:type="spellEnd"/>
      <w:r>
        <w:t xml:space="preserve">. </w:t>
      </w:r>
      <w:r w:rsidR="00B04A7B">
        <w:t>E a s</w:t>
      </w:r>
      <w:r>
        <w:t xml:space="preserve">olução é </w:t>
      </w:r>
      <w:r w:rsidR="00B04A7B">
        <w:t>a</w:t>
      </w:r>
      <w:r>
        <w:t xml:space="preserve"> aplicação das penas máximas</w:t>
      </w:r>
      <w:r w:rsidR="00B04A7B">
        <w:t xml:space="preserve"> </w:t>
      </w:r>
      <w:r w:rsidR="00B04A7B" w:rsidRPr="00B04A7B">
        <w:rPr>
          <w:sz w:val="20"/>
          <w:szCs w:val="20"/>
        </w:rPr>
        <w:t>(</w:t>
      </w:r>
      <w:r w:rsidR="00B04A7B">
        <w:rPr>
          <w:sz w:val="20"/>
          <w:szCs w:val="20"/>
        </w:rPr>
        <w:t xml:space="preserve">10% do valor corrigido da causa - </w:t>
      </w:r>
      <w:r w:rsidR="00B04A7B" w:rsidRPr="00B04A7B">
        <w:rPr>
          <w:sz w:val="20"/>
          <w:szCs w:val="20"/>
        </w:rPr>
        <w:t>art. 8</w:t>
      </w:r>
      <w:r w:rsidR="00B04A7B">
        <w:rPr>
          <w:sz w:val="20"/>
          <w:szCs w:val="20"/>
        </w:rPr>
        <w:t xml:space="preserve">1 </w:t>
      </w:r>
      <w:r w:rsidR="00B04A7B" w:rsidRPr="00B04A7B">
        <w:rPr>
          <w:sz w:val="20"/>
          <w:szCs w:val="20"/>
        </w:rPr>
        <w:t>do CPC)</w:t>
      </w:r>
      <w:r>
        <w:t xml:space="preserve"> da litigância de má-fé para o instituto previdenciário</w:t>
      </w:r>
      <w:r w:rsidR="00B04A7B">
        <w:t xml:space="preserve">, por claramente atuar de forma desleal </w:t>
      </w:r>
      <w:r w:rsidR="00B04A7B" w:rsidRPr="00B04A7B">
        <w:rPr>
          <w:sz w:val="20"/>
          <w:szCs w:val="20"/>
        </w:rPr>
        <w:t>(art. 80, I, IV, V, do CPC)</w:t>
      </w:r>
      <w:r>
        <w:t>. Não há medida alternativa. A impugnação do ente previdenciário é um insulto</w:t>
      </w:r>
      <w:r w:rsidR="00B04A7B">
        <w:t xml:space="preserve"> após 15 anos de luta e luto.</w:t>
      </w:r>
    </w:p>
    <w:p w14:paraId="21E6F68D" w14:textId="2B3CAD39" w:rsidR="00C809A4" w:rsidRDefault="00C809A4" w:rsidP="00C809A4">
      <w:pPr>
        <w:pStyle w:val="SemEspaamento"/>
        <w:ind w:right="-284"/>
      </w:pPr>
      <w:r>
        <w:t>É o que se requer.</w:t>
      </w:r>
    </w:p>
    <w:p w14:paraId="13EC7E30" w14:textId="77777777" w:rsidR="00B04A7B" w:rsidRPr="005509D7" w:rsidRDefault="00B04A7B" w:rsidP="00C809A4">
      <w:pPr>
        <w:pStyle w:val="SemEspaamento"/>
        <w:numPr>
          <w:ilvl w:val="0"/>
          <w:numId w:val="0"/>
        </w:numPr>
        <w:ind w:left="1701" w:right="-284"/>
        <w:rPr>
          <w:sz w:val="16"/>
          <w:szCs w:val="16"/>
        </w:rPr>
      </w:pPr>
    </w:p>
    <w:p w14:paraId="260E7066" w14:textId="09B59141" w:rsidR="00253F00" w:rsidRPr="005509D7" w:rsidRDefault="00DD0354" w:rsidP="005509D7">
      <w:pPr>
        <w:pStyle w:val="SemEspaamento"/>
        <w:numPr>
          <w:ilvl w:val="0"/>
          <w:numId w:val="0"/>
        </w:numPr>
        <w:ind w:right="-284"/>
        <w:rPr>
          <w:b/>
          <w:bCs/>
          <w:sz w:val="22"/>
          <w:u w:val="single"/>
        </w:rPr>
      </w:pPr>
      <w:r>
        <w:rPr>
          <w:b/>
          <w:bCs/>
          <w:sz w:val="22"/>
          <w:u w:val="single"/>
        </w:rPr>
        <w:t xml:space="preserve">II – </w:t>
      </w:r>
      <w:r w:rsidR="00B04A7B" w:rsidRPr="00C809A4">
        <w:rPr>
          <w:b/>
          <w:bCs/>
          <w:sz w:val="22"/>
          <w:u w:val="single"/>
        </w:rPr>
        <w:t>CONTRAPONTOS À ALEGAÇÃO DE EXCESSO DE EXECUÇÃO.</w:t>
      </w:r>
    </w:p>
    <w:p w14:paraId="1AE8CDE7" w14:textId="78BA69B5" w:rsidR="00857443" w:rsidRPr="00DD0354" w:rsidRDefault="006C63CF" w:rsidP="00DD0354">
      <w:pPr>
        <w:pStyle w:val="SemEspaamento"/>
        <w:numPr>
          <w:ilvl w:val="0"/>
          <w:numId w:val="0"/>
        </w:numPr>
        <w:ind w:right="-284"/>
        <w:rPr>
          <w:b/>
          <w:bCs/>
          <w:u w:val="single"/>
        </w:rPr>
      </w:pPr>
      <w:r>
        <w:rPr>
          <w:b/>
          <w:bCs/>
          <w:u w:val="single"/>
        </w:rPr>
        <w:t>II.</w:t>
      </w:r>
      <w:r w:rsidR="00FD7A43">
        <w:rPr>
          <w:b/>
          <w:bCs/>
          <w:u w:val="single"/>
        </w:rPr>
        <w:t>1</w:t>
      </w:r>
      <w:r>
        <w:rPr>
          <w:b/>
          <w:bCs/>
          <w:u w:val="single"/>
        </w:rPr>
        <w:t xml:space="preserve"> – </w:t>
      </w:r>
      <w:r w:rsidR="00857443" w:rsidRPr="00DD0354">
        <w:rPr>
          <w:b/>
          <w:bCs/>
          <w:u w:val="single"/>
        </w:rPr>
        <w:t>IRESA</w:t>
      </w:r>
    </w:p>
    <w:p w14:paraId="61861392" w14:textId="77777777" w:rsidR="00857443" w:rsidRPr="005509D7" w:rsidRDefault="00857443" w:rsidP="00C809A4">
      <w:pPr>
        <w:pStyle w:val="SemEspaamento"/>
        <w:numPr>
          <w:ilvl w:val="0"/>
          <w:numId w:val="0"/>
        </w:numPr>
        <w:ind w:right="-284" w:firstLine="1701"/>
        <w:rPr>
          <w:sz w:val="12"/>
          <w:szCs w:val="10"/>
        </w:rPr>
      </w:pPr>
    </w:p>
    <w:p w14:paraId="64535C3E" w14:textId="77777777" w:rsidR="00725CDC" w:rsidRDefault="00725CDC" w:rsidP="00C809A4">
      <w:pPr>
        <w:pStyle w:val="SemEspaamento"/>
        <w:ind w:right="-284"/>
      </w:pPr>
      <w:r>
        <w:t xml:space="preserve">O primeiro ponto da impugnação, como antes relatado, está embasado na pretensão do IPREV em afastar a aplicação do IRESA da base de cálculo da pensão da autora. </w:t>
      </w:r>
    </w:p>
    <w:p w14:paraId="44F253F1" w14:textId="7F0BEF58" w:rsidR="00725CDC" w:rsidRDefault="00725CDC" w:rsidP="00725CDC">
      <w:pPr>
        <w:pStyle w:val="SemEspaamento"/>
        <w:ind w:right="-284"/>
      </w:pPr>
      <w:r>
        <w:lastRenderedPageBreak/>
        <w:t>Essa manobra do IPREV, contudo, não deve prosperar. O acórdão firmado no mandado de segurança n. 0303263-</w:t>
      </w:r>
      <w:r w:rsidR="008E3C51">
        <w:t>93.</w:t>
      </w:r>
      <w:r>
        <w:t>2016.8.24.0023</w:t>
      </w:r>
      <w:r w:rsidR="0022230B">
        <w:t>/SC</w:t>
      </w:r>
      <w:r>
        <w:t xml:space="preserve"> foi suficientemente claro ao garantir o direito </w:t>
      </w:r>
      <w:r w:rsidRPr="00725CDC">
        <w:t>líquido e certo a receber a pensão de acordo com os atributos da integralidade e da paridade que lhe são assegurados pelo mencionado art. 60, §1º, da Lei n. 6.218/83</w:t>
      </w:r>
      <w:r>
        <w:t xml:space="preserve">. No cumprimento de sentença do </w:t>
      </w:r>
      <w:r w:rsidRPr="00725CDC">
        <w:rPr>
          <w:i/>
          <w:iCs/>
        </w:rPr>
        <w:t>mandamus</w:t>
      </w:r>
      <w:r>
        <w:t xml:space="preserve">, não satisfeito, o IPREV buscou contornar aquela decisão, quando teve de ser repreendido pelo douto Togado que </w:t>
      </w:r>
      <w:r w:rsidRPr="00725CDC">
        <w:t>registrou que o acórdão exequendo “</w:t>
      </w:r>
      <w:r w:rsidRPr="00725CDC">
        <w:rPr>
          <w:b/>
          <w:bCs/>
          <w:u w:val="single"/>
        </w:rPr>
        <w:t>determinou que o benefício de pensão por morte fosse calculado com base na integralidade dos proventos que seriam auferidos pelo segurado</w:t>
      </w:r>
      <w:r w:rsidRPr="00725CDC">
        <w:t xml:space="preserve">, se vivo fosse” e reconheceu que o benefício de pensão por morte faz jus aos institutos da </w:t>
      </w:r>
      <w:r w:rsidR="00D919E3">
        <w:t>“</w:t>
      </w:r>
      <w:r w:rsidRPr="00D919E3">
        <w:rPr>
          <w:u w:val="single"/>
        </w:rPr>
        <w:t>integralidade</w:t>
      </w:r>
      <w:r w:rsidRPr="00725CDC">
        <w:t xml:space="preserve"> e da </w:t>
      </w:r>
      <w:r w:rsidRPr="00D919E3">
        <w:rPr>
          <w:u w:val="single"/>
        </w:rPr>
        <w:t>paridade</w:t>
      </w:r>
      <w:r w:rsidRPr="00725CDC">
        <w:t xml:space="preserve"> remuneratória”</w:t>
      </w:r>
      <w:r>
        <w:t xml:space="preserve"> </w:t>
      </w:r>
      <w:r w:rsidRPr="00D919E3">
        <w:rPr>
          <w:sz w:val="20"/>
          <w:szCs w:val="18"/>
        </w:rPr>
        <w:t>(grifo nosso)</w:t>
      </w:r>
      <w:r>
        <w:t>.</w:t>
      </w:r>
    </w:p>
    <w:p w14:paraId="2082656A" w14:textId="65901D1B" w:rsidR="00725CDC" w:rsidRDefault="00725CDC" w:rsidP="00725CDC">
      <w:pPr>
        <w:pStyle w:val="SemEspaamento"/>
        <w:ind w:right="-284"/>
      </w:pPr>
      <w:r>
        <w:t>Ajuizada a ação de cobrança n. 5120444-93.2022.8.24.0023/SC, o IPREV continuou a sua resistência ao cumprimento da garantia da integralidade e paridade remuneratória</w:t>
      </w:r>
      <w:r w:rsidR="00857443">
        <w:t>s</w:t>
      </w:r>
      <w:r>
        <w:t xml:space="preserve">, quando então recebeu nova decisão judicial, em acórdão da Primeira Câmara de Direito Público do TJSC, que ficou assim ementado: </w:t>
      </w:r>
    </w:p>
    <w:p w14:paraId="40AA6A78" w14:textId="77777777" w:rsidR="00725CDC" w:rsidRDefault="00725CDC" w:rsidP="00725CDC">
      <w:pPr>
        <w:pStyle w:val="SemEspaamento"/>
        <w:numPr>
          <w:ilvl w:val="0"/>
          <w:numId w:val="0"/>
        </w:numPr>
        <w:ind w:right="-284" w:firstLine="1701"/>
      </w:pPr>
    </w:p>
    <w:p w14:paraId="35430BE5" w14:textId="4E642CC4" w:rsidR="00725CDC" w:rsidRDefault="00725CDC" w:rsidP="00725CDC">
      <w:pPr>
        <w:pStyle w:val="SemEspaamento"/>
        <w:numPr>
          <w:ilvl w:val="0"/>
          <w:numId w:val="0"/>
        </w:numPr>
        <w:ind w:right="-284"/>
      </w:pPr>
      <w:r w:rsidRPr="00725CDC">
        <w:rPr>
          <w:noProof/>
        </w:rPr>
        <w:drawing>
          <wp:inline distT="0" distB="0" distL="0" distR="0" wp14:anchorId="74162DB2" wp14:editId="7C0EFF02">
            <wp:extent cx="6198919" cy="1496060"/>
            <wp:effectExtent l="0" t="0" r="0" b="8890"/>
            <wp:docPr id="177708099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80993" name="Imagem 1" descr="Texto&#10;&#10;O conteúdo gerado por IA pode estar incorreto."/>
                    <pic:cNvPicPr/>
                  </pic:nvPicPr>
                  <pic:blipFill>
                    <a:blip r:embed="rId8"/>
                    <a:stretch>
                      <a:fillRect/>
                    </a:stretch>
                  </pic:blipFill>
                  <pic:spPr>
                    <a:xfrm>
                      <a:off x="0" y="0"/>
                      <a:ext cx="6205519" cy="1497653"/>
                    </a:xfrm>
                    <a:prstGeom prst="rect">
                      <a:avLst/>
                    </a:prstGeom>
                  </pic:spPr>
                </pic:pic>
              </a:graphicData>
            </a:graphic>
          </wp:inline>
        </w:drawing>
      </w:r>
    </w:p>
    <w:p w14:paraId="250ADE6E" w14:textId="77777777" w:rsidR="00725CDC" w:rsidRDefault="00725CDC" w:rsidP="00725CDC">
      <w:pPr>
        <w:pStyle w:val="SemEspaamento"/>
        <w:numPr>
          <w:ilvl w:val="0"/>
          <w:numId w:val="0"/>
        </w:numPr>
        <w:ind w:right="-284" w:firstLine="1701"/>
      </w:pPr>
    </w:p>
    <w:p w14:paraId="44C81DD2" w14:textId="77777777" w:rsidR="001243A1" w:rsidRDefault="00725CDC" w:rsidP="00C809A4">
      <w:pPr>
        <w:pStyle w:val="SemEspaamento"/>
        <w:ind w:right="-284"/>
      </w:pPr>
      <w:r>
        <w:t xml:space="preserve">A propósito, </w:t>
      </w:r>
      <w:r w:rsidR="001243A1">
        <w:t xml:space="preserve">merecedora de registro a frase do então eminente Relator quando falou o essencial para uma situação como a presente: </w:t>
      </w:r>
    </w:p>
    <w:p w14:paraId="70131054" w14:textId="77777777" w:rsidR="001243A1" w:rsidRDefault="001243A1" w:rsidP="001243A1">
      <w:pPr>
        <w:pStyle w:val="SemEspaamento"/>
        <w:numPr>
          <w:ilvl w:val="0"/>
          <w:numId w:val="0"/>
        </w:numPr>
        <w:ind w:right="-284" w:firstLine="1701"/>
      </w:pPr>
    </w:p>
    <w:p w14:paraId="746F2975" w14:textId="5DED87A8" w:rsidR="001243A1" w:rsidRDefault="001243A1" w:rsidP="00184926">
      <w:pPr>
        <w:pStyle w:val="SemEspaamento"/>
        <w:numPr>
          <w:ilvl w:val="0"/>
          <w:numId w:val="0"/>
        </w:numPr>
        <w:spacing w:line="276" w:lineRule="auto"/>
        <w:ind w:left="1701" w:right="-284"/>
      </w:pPr>
      <w:r>
        <w:t>“</w:t>
      </w:r>
      <w:r w:rsidRPr="001243A1">
        <w:rPr>
          <w:b/>
          <w:bCs/>
          <w:u w:val="single"/>
        </w:rPr>
        <w:t>Não se trata de servidor que optou por ingressar na inatividade antes dos 30 anos de carreira, mas que faleceu no exercício de suas obrigações institucionais, sendo devidos os benefícios que seriam adquiridos em vida</w:t>
      </w:r>
      <w:r>
        <w:t xml:space="preserve">” </w:t>
      </w:r>
      <w:r w:rsidRPr="00184926">
        <w:rPr>
          <w:sz w:val="20"/>
          <w:szCs w:val="18"/>
        </w:rPr>
        <w:t>(grifo nosso)</w:t>
      </w:r>
      <w:r w:rsidRPr="001243A1">
        <w:t>.</w:t>
      </w:r>
      <w:r>
        <w:t xml:space="preserve"> </w:t>
      </w:r>
    </w:p>
    <w:p w14:paraId="10B68D9C" w14:textId="77777777" w:rsidR="001243A1" w:rsidRDefault="001243A1" w:rsidP="001243A1">
      <w:pPr>
        <w:pStyle w:val="SemEspaamento"/>
        <w:numPr>
          <w:ilvl w:val="0"/>
          <w:numId w:val="0"/>
        </w:numPr>
        <w:ind w:right="-284" w:firstLine="1701"/>
      </w:pPr>
    </w:p>
    <w:p w14:paraId="6920AD28" w14:textId="6CA82F41" w:rsidR="001243A1" w:rsidRDefault="001243A1" w:rsidP="00C809A4">
      <w:pPr>
        <w:pStyle w:val="SemEspaamento"/>
        <w:ind w:right="-284"/>
      </w:pPr>
      <w:r>
        <w:t xml:space="preserve">Somente o IPREV não entendeu até agora o sofrimento que causa quando tenta frustrar o direito da autora, que, não custa repetir, está há 15 anos buscando justiça. O falecido coronel Paulo Ekke Moukarzel somente se submetia aos </w:t>
      </w:r>
      <w:r>
        <w:lastRenderedPageBreak/>
        <w:t xml:space="preserve">perigos da profissão, pois sabia que, numa condição extrema, como é a morte, a sua família receberia a pensão integral, ou seja, não teria prejuízo em razão da sua ausência. Contudo, o IPREV está há inacreditáveis e incansáveis 15 anos oferecendo resistência ao que é óbvio. </w:t>
      </w:r>
    </w:p>
    <w:p w14:paraId="52394AA5" w14:textId="77777777" w:rsidR="00857443" w:rsidRDefault="001243A1" w:rsidP="00C809A4">
      <w:pPr>
        <w:pStyle w:val="SemEspaamento"/>
        <w:ind w:right="-284"/>
      </w:pPr>
      <w:r>
        <w:t>É óbvio que a IRESA deve ser incluída na base de cálculo da pensão por morte ora cobrada. O acórdão transitado em julgado na ação de cobrança, além de reafirmar o direito à integralidade e paridade remuneratórias</w:t>
      </w:r>
      <w:r w:rsidR="00857443">
        <w:t xml:space="preserve"> asseguradas no mandado de segurança</w:t>
      </w:r>
      <w:r>
        <w:t>, não afastou nenhuma ver</w:t>
      </w:r>
      <w:r w:rsidR="00857443">
        <w:t>b</w:t>
      </w:r>
      <w:r>
        <w:t>a</w:t>
      </w:r>
      <w:r w:rsidR="00857443">
        <w:t xml:space="preserve"> da base de cálculo; aliás, pelo contrário, deu provimento ao recurso da autora para incluir o adicional previsto no art. 50, §1º, II, da Lei n. 6.218/1983, que é devido para os oficiais com mais de 30 </w:t>
      </w:r>
      <w:r w:rsidR="00857443" w:rsidRPr="00974D43">
        <w:rPr>
          <w:sz w:val="20"/>
          <w:szCs w:val="18"/>
        </w:rPr>
        <w:t>(trinta)</w:t>
      </w:r>
      <w:r w:rsidR="00857443">
        <w:t xml:space="preserve"> anos de serviço, mesmo o marido da autora não tendo completado esse lapso de tempo</w:t>
      </w:r>
      <w:r>
        <w:t xml:space="preserve">. </w:t>
      </w:r>
    </w:p>
    <w:p w14:paraId="1FA1760F" w14:textId="3883AF1E" w:rsidR="00857443" w:rsidRDefault="00857443" w:rsidP="00C809A4">
      <w:pPr>
        <w:pStyle w:val="SemEspaamento"/>
        <w:ind w:right="-284"/>
      </w:pPr>
      <w:r>
        <w:t xml:space="preserve">A justificativa é simples: </w:t>
      </w:r>
      <w:r w:rsidR="00A33116">
        <w:t>conforme trecho citado</w:t>
      </w:r>
      <w:r>
        <w:t xml:space="preserve"> anteriormente, são “</w:t>
      </w:r>
      <w:r w:rsidRPr="00B55AC5">
        <w:rPr>
          <w:i/>
          <w:iCs/>
        </w:rPr>
        <w:t>devidos os benefícios que seriam adquiridos em vida</w:t>
      </w:r>
      <w:r>
        <w:t xml:space="preserve">”. Ora, aplicando ao caso concreto, o Coronel Paulo, não tivesse falecido em serviço, perceberia a verba IRESA em sua remuneração; logo, a IRESA também deve ser computada na base de cálculo da pensão por morte. </w:t>
      </w:r>
    </w:p>
    <w:p w14:paraId="30D96266" w14:textId="71B58512" w:rsidR="00A33116" w:rsidRDefault="00A33116" w:rsidP="00A33116">
      <w:pPr>
        <w:pStyle w:val="SemEspaamento"/>
        <w:ind w:right="-284"/>
      </w:pPr>
      <w:r>
        <w:t>Essa conclusão é tão lógica que o IPREV admite ter ciência do direito assegurado à autora, quando afirma, de forma intransigente, que “</w:t>
      </w:r>
      <w:r w:rsidRPr="00B55AC5">
        <w:rPr>
          <w:i/>
          <w:iCs/>
        </w:rPr>
        <w:t>a coisa julgada não pode obstaculizar a aplicação da Constituição, mesmo que a decisão já tenha sido finalizada</w:t>
      </w:r>
      <w:r>
        <w:t>”.</w:t>
      </w:r>
    </w:p>
    <w:p w14:paraId="2466F81D" w14:textId="5B5C256E" w:rsidR="00857443" w:rsidRDefault="00857443" w:rsidP="00C809A4">
      <w:pPr>
        <w:pStyle w:val="SemEspaamento"/>
        <w:ind w:right="-284"/>
      </w:pPr>
      <w:r>
        <w:t xml:space="preserve">Com esse raciocínio, que já está exaustivamente </w:t>
      </w:r>
      <w:r w:rsidR="00A33116">
        <w:t>incorporado</w:t>
      </w:r>
      <w:r>
        <w:t xml:space="preserve"> nas decisões anteriores transitadas em julgado, observa-se que a pretensão do IPREV é realmente de tumultuar o regular andamento do feito, o que não pode mais ser tolerado</w:t>
      </w:r>
      <w:r w:rsidR="00A33116">
        <w:t xml:space="preserve"> e justifica, sim, a aplicação</w:t>
      </w:r>
      <w:r w:rsidR="005B118D">
        <w:t xml:space="preserve"> das penas</w:t>
      </w:r>
      <w:r w:rsidR="00A33116">
        <w:t xml:space="preserve"> da litigância de má-fé</w:t>
      </w:r>
      <w:r>
        <w:t xml:space="preserve">. </w:t>
      </w:r>
    </w:p>
    <w:p w14:paraId="5C070BA3" w14:textId="77777777" w:rsidR="00857443" w:rsidRDefault="00857443" w:rsidP="00C03A30">
      <w:pPr>
        <w:pStyle w:val="SemEspaamento"/>
        <w:numPr>
          <w:ilvl w:val="0"/>
          <w:numId w:val="0"/>
        </w:numPr>
        <w:ind w:right="-284"/>
      </w:pPr>
    </w:p>
    <w:p w14:paraId="2E1FE6D7" w14:textId="1BD14B03" w:rsidR="00857443" w:rsidRPr="00857443" w:rsidRDefault="00DD0354" w:rsidP="00DD0354">
      <w:pPr>
        <w:pStyle w:val="SemEspaamento"/>
        <w:numPr>
          <w:ilvl w:val="0"/>
          <w:numId w:val="0"/>
        </w:numPr>
        <w:ind w:right="-284"/>
        <w:rPr>
          <w:b/>
          <w:bCs/>
          <w:u w:val="single"/>
        </w:rPr>
      </w:pPr>
      <w:r>
        <w:rPr>
          <w:b/>
          <w:bCs/>
          <w:u w:val="single"/>
        </w:rPr>
        <w:t xml:space="preserve">II. 2 – </w:t>
      </w:r>
      <w:r w:rsidR="00857443" w:rsidRPr="00857443">
        <w:rPr>
          <w:b/>
          <w:bCs/>
          <w:u w:val="single"/>
        </w:rPr>
        <w:t>CONTRIBUIÇÃO PREVIDENCIÁRIA</w:t>
      </w:r>
    </w:p>
    <w:p w14:paraId="06327825" w14:textId="77777777" w:rsidR="00857443" w:rsidRDefault="00857443" w:rsidP="00857443">
      <w:pPr>
        <w:pStyle w:val="SemEspaamento"/>
        <w:numPr>
          <w:ilvl w:val="0"/>
          <w:numId w:val="0"/>
        </w:numPr>
        <w:ind w:left="1701" w:right="-284"/>
      </w:pPr>
    </w:p>
    <w:p w14:paraId="291A0227" w14:textId="77777777" w:rsidR="00857443" w:rsidRDefault="00857443" w:rsidP="00C809A4">
      <w:pPr>
        <w:pStyle w:val="SemEspaamento"/>
        <w:ind w:right="-284"/>
      </w:pPr>
      <w:r>
        <w:t xml:space="preserve">A decisão de </w:t>
      </w:r>
      <w:r w:rsidRPr="00EC67CC">
        <w:rPr>
          <w:u w:val="single"/>
        </w:rPr>
        <w:t>evento</w:t>
      </w:r>
      <w:r>
        <w:t xml:space="preserve"> </w:t>
      </w:r>
      <w:r w:rsidRPr="00EC67CC">
        <w:rPr>
          <w:u w:val="single"/>
        </w:rPr>
        <w:t>10</w:t>
      </w:r>
      <w:r>
        <w:t xml:space="preserve"> possui um item específico para este assunto. </w:t>
      </w:r>
    </w:p>
    <w:p w14:paraId="3936166A" w14:textId="00AD7C6A" w:rsidR="00857443" w:rsidRDefault="00857443" w:rsidP="00C809A4">
      <w:pPr>
        <w:pStyle w:val="SemEspaamento"/>
        <w:ind w:right="-284"/>
      </w:pPr>
      <w:r>
        <w:t xml:space="preserve">No item </w:t>
      </w:r>
      <w:r w:rsidR="00A33116">
        <w:t>“</w:t>
      </w:r>
      <w:r>
        <w:t>VI</w:t>
      </w:r>
      <w:r w:rsidR="00A33116">
        <w:t>”</w:t>
      </w:r>
      <w:r>
        <w:t xml:space="preserve"> </w:t>
      </w:r>
      <w:r w:rsidR="00A33116">
        <w:t>Vossa Excelência faz a seguinte ressalva</w:t>
      </w:r>
      <w:r>
        <w:t xml:space="preserve">: </w:t>
      </w:r>
    </w:p>
    <w:p w14:paraId="7A89CCA0" w14:textId="77777777" w:rsidR="00857443" w:rsidRDefault="00857443" w:rsidP="00857443">
      <w:pPr>
        <w:pStyle w:val="SemEspaamento"/>
        <w:numPr>
          <w:ilvl w:val="0"/>
          <w:numId w:val="0"/>
        </w:numPr>
        <w:ind w:right="-284" w:firstLine="1701"/>
      </w:pPr>
    </w:p>
    <w:p w14:paraId="6F5857E9" w14:textId="5E6B2D9F" w:rsidR="00857443" w:rsidRPr="00857443" w:rsidRDefault="00857443" w:rsidP="00857443">
      <w:pPr>
        <w:pStyle w:val="SemEspaamento"/>
        <w:numPr>
          <w:ilvl w:val="0"/>
          <w:numId w:val="0"/>
        </w:numPr>
        <w:ind w:left="284" w:right="-284"/>
        <w:rPr>
          <w:sz w:val="22"/>
        </w:rPr>
      </w:pPr>
      <w:r w:rsidRPr="00857443">
        <w:rPr>
          <w:b/>
          <w:bCs/>
          <w:sz w:val="22"/>
        </w:rPr>
        <w:t>“VI</w:t>
      </w:r>
      <w:r>
        <w:rPr>
          <w:b/>
          <w:bCs/>
          <w:sz w:val="22"/>
        </w:rPr>
        <w:t xml:space="preserve"> -</w:t>
      </w:r>
      <w:r w:rsidRPr="00857443">
        <w:rPr>
          <w:b/>
          <w:bCs/>
          <w:sz w:val="22"/>
        </w:rPr>
        <w:t xml:space="preserve"> A VERBA ORA EM EXECUÇÃO É </w:t>
      </w:r>
      <w:r w:rsidRPr="00EC67CC">
        <w:rPr>
          <w:b/>
          <w:bCs/>
          <w:sz w:val="22"/>
          <w:u w:val="single"/>
        </w:rPr>
        <w:t>ISENTA</w:t>
      </w:r>
      <w:r w:rsidRPr="00857443">
        <w:rPr>
          <w:b/>
          <w:bCs/>
          <w:sz w:val="22"/>
        </w:rPr>
        <w:t xml:space="preserve"> DE </w:t>
      </w:r>
      <w:r w:rsidRPr="00EC67CC">
        <w:rPr>
          <w:b/>
          <w:bCs/>
          <w:sz w:val="22"/>
          <w:u w:val="single"/>
        </w:rPr>
        <w:t>CONTRIBUIÇÃO</w:t>
      </w:r>
      <w:r w:rsidRPr="00857443">
        <w:rPr>
          <w:b/>
          <w:bCs/>
          <w:sz w:val="22"/>
        </w:rPr>
        <w:t xml:space="preserve"> </w:t>
      </w:r>
      <w:r w:rsidRPr="00EC67CC">
        <w:rPr>
          <w:b/>
          <w:bCs/>
          <w:sz w:val="22"/>
          <w:u w:val="single"/>
        </w:rPr>
        <w:t>PREVIDENCIÁRIA</w:t>
      </w:r>
      <w:r w:rsidRPr="00857443">
        <w:rPr>
          <w:b/>
          <w:bCs/>
          <w:sz w:val="22"/>
        </w:rPr>
        <w:t>”. </w:t>
      </w:r>
    </w:p>
    <w:p w14:paraId="6A303FAC" w14:textId="77777777" w:rsidR="00857443" w:rsidRDefault="00857443" w:rsidP="00857443">
      <w:pPr>
        <w:pStyle w:val="SemEspaamento"/>
        <w:numPr>
          <w:ilvl w:val="0"/>
          <w:numId w:val="0"/>
        </w:numPr>
        <w:ind w:right="-284" w:firstLine="1701"/>
      </w:pPr>
    </w:p>
    <w:p w14:paraId="175809F6" w14:textId="7CCD349C" w:rsidR="00857443" w:rsidRDefault="00857443" w:rsidP="00C809A4">
      <w:pPr>
        <w:pStyle w:val="SemEspaamento"/>
        <w:ind w:right="-284"/>
      </w:pPr>
      <w:r w:rsidRPr="00A33116">
        <w:rPr>
          <w:b/>
          <w:bCs/>
        </w:rPr>
        <w:lastRenderedPageBreak/>
        <w:t>O IPREV não recorreu dessa decisão</w:t>
      </w:r>
      <w:r>
        <w:t xml:space="preserve">. Não embargou e nem interpôs agravo de instrumento. Portanto, trata-se de uma </w:t>
      </w:r>
      <w:r w:rsidRPr="00A33116">
        <w:rPr>
          <w:b/>
          <w:bCs/>
        </w:rPr>
        <w:t xml:space="preserve">decisão que precluiu quanto à </w:t>
      </w:r>
      <w:r w:rsidR="0022230B">
        <w:rPr>
          <w:b/>
          <w:bCs/>
        </w:rPr>
        <w:t>pretensão de fazer incidir a</w:t>
      </w:r>
      <w:r w:rsidR="00A33116">
        <w:rPr>
          <w:b/>
          <w:bCs/>
        </w:rPr>
        <w:t xml:space="preserve"> contribuição previdenciária</w:t>
      </w:r>
      <w:r w:rsidR="0022230B">
        <w:rPr>
          <w:b/>
          <w:bCs/>
        </w:rPr>
        <w:t xml:space="preserve"> sobre a verba cobrada</w:t>
      </w:r>
      <w:r>
        <w:t>.</w:t>
      </w:r>
    </w:p>
    <w:p w14:paraId="69C23EB8" w14:textId="60936496" w:rsidR="005B118D" w:rsidRDefault="005B118D" w:rsidP="00C809A4">
      <w:pPr>
        <w:pStyle w:val="SemEspaamento"/>
        <w:ind w:right="-284"/>
      </w:pPr>
      <w:r>
        <w:t xml:space="preserve">A jurisprudência do Tribunal de Justiça Catarinense caminha no mesmo sentido ao prever a isenção da obrigação da retenção de contribuição previdenciária. É o que se extrai da apelação cível n. 0044994-89.2009.8.24.0023 </w:t>
      </w:r>
      <w:r w:rsidRPr="005B118D">
        <w:rPr>
          <w:sz w:val="20"/>
          <w:szCs w:val="20"/>
        </w:rPr>
        <w:t>(Rel. Des. Francisco Oliveira Neto, j. 10-4-2018)</w:t>
      </w:r>
      <w:r>
        <w:t xml:space="preserve">, assim ementada: </w:t>
      </w:r>
    </w:p>
    <w:p w14:paraId="2660FF16" w14:textId="77777777" w:rsidR="005B118D" w:rsidRPr="00414718" w:rsidRDefault="005B118D" w:rsidP="005B118D">
      <w:pPr>
        <w:pStyle w:val="SemEspaamento"/>
        <w:numPr>
          <w:ilvl w:val="0"/>
          <w:numId w:val="0"/>
        </w:numPr>
        <w:ind w:right="-284" w:firstLine="1701"/>
        <w:rPr>
          <w:sz w:val="16"/>
          <w:szCs w:val="16"/>
        </w:rPr>
      </w:pPr>
    </w:p>
    <w:p w14:paraId="54F924CB" w14:textId="787DA880" w:rsidR="005B118D" w:rsidRDefault="005B118D" w:rsidP="00EC67CC">
      <w:pPr>
        <w:pStyle w:val="SemEspaamento"/>
        <w:numPr>
          <w:ilvl w:val="0"/>
          <w:numId w:val="0"/>
        </w:numPr>
        <w:ind w:right="-284"/>
        <w:jc w:val="center"/>
      </w:pPr>
      <w:r w:rsidRPr="005B118D">
        <w:rPr>
          <w:noProof/>
        </w:rPr>
        <w:drawing>
          <wp:inline distT="0" distB="0" distL="0" distR="0" wp14:anchorId="07B62F70" wp14:editId="6B7BB03A">
            <wp:extent cx="5083127" cy="1573619"/>
            <wp:effectExtent l="0" t="0" r="3810" b="7620"/>
            <wp:docPr id="88527484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74842" name="Imagem 1" descr="Texto&#10;&#10;O conteúdo gerado por IA pode estar incorreto."/>
                    <pic:cNvPicPr/>
                  </pic:nvPicPr>
                  <pic:blipFill>
                    <a:blip r:embed="rId9"/>
                    <a:stretch>
                      <a:fillRect/>
                    </a:stretch>
                  </pic:blipFill>
                  <pic:spPr>
                    <a:xfrm>
                      <a:off x="0" y="0"/>
                      <a:ext cx="5097407" cy="1578040"/>
                    </a:xfrm>
                    <a:prstGeom prst="rect">
                      <a:avLst/>
                    </a:prstGeom>
                  </pic:spPr>
                </pic:pic>
              </a:graphicData>
            </a:graphic>
          </wp:inline>
        </w:drawing>
      </w:r>
    </w:p>
    <w:p w14:paraId="60473D2B" w14:textId="50116B71" w:rsidR="00857443" w:rsidRDefault="00414718" w:rsidP="00C809A4">
      <w:pPr>
        <w:pStyle w:val="SemEspaamento"/>
        <w:ind w:right="-284"/>
      </w:pPr>
      <w:r>
        <w:t xml:space="preserve">Em resumo, além de ter deixado </w:t>
      </w:r>
      <w:r w:rsidRPr="00827E79">
        <w:rPr>
          <w:b/>
          <w:bCs/>
        </w:rPr>
        <w:t>precluir a matéria</w:t>
      </w:r>
      <w:r>
        <w:t>, o ente previdenciário está devidamente ciente da orientação sobre a isenção da retenção da contribuição previdenciária. Contudo, m</w:t>
      </w:r>
      <w:r w:rsidR="005B118D">
        <w:t xml:space="preserve">ais uma vez, </w:t>
      </w:r>
      <w:r w:rsidR="0022230B">
        <w:t>a</w:t>
      </w:r>
      <w:r w:rsidR="00A33116">
        <w:t xml:space="preserve"> intenção do IPREV, </w:t>
      </w:r>
      <w:r w:rsidR="0022230B">
        <w:t xml:space="preserve">reincidente nessa </w:t>
      </w:r>
      <w:r w:rsidR="00A33116">
        <w:t>conduta, é rediscutir algo que já não é mais passível de discussão</w:t>
      </w:r>
      <w:r>
        <w:t xml:space="preserve"> e que sabe não ter razão</w:t>
      </w:r>
      <w:r w:rsidR="00A33116">
        <w:t>. Novamente, a má-fé do ente previdenciário</w:t>
      </w:r>
      <w:r w:rsidR="0022230B">
        <w:t xml:space="preserve"> resta evidente</w:t>
      </w:r>
      <w:r w:rsidR="00A33116">
        <w:t xml:space="preserve">. </w:t>
      </w:r>
    </w:p>
    <w:p w14:paraId="011B05F7" w14:textId="77777777" w:rsidR="00857443" w:rsidRDefault="00857443" w:rsidP="00A33116">
      <w:pPr>
        <w:pStyle w:val="SemEspaamento"/>
        <w:numPr>
          <w:ilvl w:val="0"/>
          <w:numId w:val="0"/>
        </w:numPr>
        <w:ind w:right="-284" w:firstLine="1701"/>
      </w:pPr>
    </w:p>
    <w:p w14:paraId="0A543C63" w14:textId="2F4C6C22" w:rsidR="00A33116" w:rsidRPr="00E225C7" w:rsidRDefault="00DD0354" w:rsidP="00DD0354">
      <w:pPr>
        <w:pStyle w:val="SemEspaamento"/>
        <w:numPr>
          <w:ilvl w:val="0"/>
          <w:numId w:val="0"/>
        </w:numPr>
        <w:ind w:right="-284"/>
        <w:rPr>
          <w:b/>
          <w:bCs/>
          <w:sz w:val="22"/>
          <w:u w:val="single"/>
        </w:rPr>
      </w:pPr>
      <w:r>
        <w:rPr>
          <w:b/>
          <w:bCs/>
          <w:sz w:val="22"/>
          <w:u w:val="single"/>
        </w:rPr>
        <w:t xml:space="preserve">II.3 – </w:t>
      </w:r>
      <w:r w:rsidR="00A33116" w:rsidRPr="00E225C7">
        <w:rPr>
          <w:b/>
          <w:bCs/>
          <w:sz w:val="22"/>
          <w:u w:val="single"/>
        </w:rPr>
        <w:t>MARCO INICIAL DOS JUROS DE MORA</w:t>
      </w:r>
    </w:p>
    <w:p w14:paraId="1DD79FB6" w14:textId="77777777" w:rsidR="00A33116" w:rsidRDefault="00A33116" w:rsidP="00A33116">
      <w:pPr>
        <w:pStyle w:val="SemEspaamento"/>
        <w:numPr>
          <w:ilvl w:val="0"/>
          <w:numId w:val="0"/>
        </w:numPr>
        <w:ind w:right="-284" w:firstLine="1701"/>
      </w:pPr>
    </w:p>
    <w:p w14:paraId="07D7B6C3" w14:textId="6960ACDB" w:rsidR="00A33116" w:rsidRDefault="00A33116" w:rsidP="00A33116">
      <w:pPr>
        <w:pStyle w:val="SemEspaamento"/>
        <w:ind w:right="-284"/>
      </w:pPr>
      <w:r>
        <w:t xml:space="preserve">Por fim, e em caráter subsidiário, o IPREV defende excesso de execução de </w:t>
      </w:r>
      <w:r w:rsidRPr="00253F00">
        <w:rPr>
          <w:u w:val="single"/>
        </w:rPr>
        <w:t>R$</w:t>
      </w:r>
      <w:r w:rsidRPr="00A33116">
        <w:rPr>
          <w:u w:val="single"/>
        </w:rPr>
        <w:t xml:space="preserve"> </w:t>
      </w:r>
      <w:r w:rsidRPr="00253F00">
        <w:rPr>
          <w:u w:val="single"/>
        </w:rPr>
        <w:t>419.157,62</w:t>
      </w:r>
      <w:r>
        <w:t xml:space="preserve"> </w:t>
      </w:r>
      <w:r w:rsidRPr="00253F00">
        <w:rPr>
          <w:sz w:val="20"/>
          <w:szCs w:val="20"/>
        </w:rPr>
        <w:t>(quatrocentos e dezenove mil, cento e cinquenta e sete reais e sessenta e</w:t>
      </w:r>
      <w:r w:rsidRPr="00A33116">
        <w:rPr>
          <w:sz w:val="20"/>
          <w:szCs w:val="20"/>
        </w:rPr>
        <w:t xml:space="preserve"> dois centavos)</w:t>
      </w:r>
      <w:r>
        <w:t xml:space="preserve">, por entender que o marco inicial dos juros de mora </w:t>
      </w:r>
      <w:r w:rsidR="0022230B">
        <w:t>seria</w:t>
      </w:r>
      <w:r>
        <w:t xml:space="preserve"> a data da citação da ação de cobrança </w:t>
      </w:r>
      <w:r w:rsidR="0022230B" w:rsidRPr="00827E79">
        <w:rPr>
          <w:sz w:val="20"/>
          <w:szCs w:val="18"/>
        </w:rPr>
        <w:t>(25/11/2022)</w:t>
      </w:r>
      <w:r w:rsidR="0022230B">
        <w:t xml:space="preserve"> </w:t>
      </w:r>
      <w:r>
        <w:t>e não a data da citação do mandado de segurança</w:t>
      </w:r>
      <w:r w:rsidR="0022230B">
        <w:t xml:space="preserve"> </w:t>
      </w:r>
      <w:r w:rsidR="0022230B" w:rsidRPr="00827E79">
        <w:rPr>
          <w:sz w:val="20"/>
          <w:szCs w:val="18"/>
        </w:rPr>
        <w:t>(20/04/2016)</w:t>
      </w:r>
      <w:r>
        <w:t xml:space="preserve">. </w:t>
      </w:r>
    </w:p>
    <w:p w14:paraId="5EFF3DC7" w14:textId="2F5C02DF" w:rsidR="0022230B" w:rsidRDefault="00A33116" w:rsidP="00A33116">
      <w:pPr>
        <w:pStyle w:val="SemEspaamento"/>
        <w:ind w:right="-284"/>
      </w:pPr>
      <w:r>
        <w:t>Conquanto o acórdão</w:t>
      </w:r>
      <w:r w:rsidR="0022230B">
        <w:t xml:space="preserve">, de fato, não tenha sido claro sobre esse marco de incidência dos juros de mora, os conceitos, por outro lado, são inconfundíveis. A mora do ente previdenciário, </w:t>
      </w:r>
      <w:proofErr w:type="gramStart"/>
      <w:r w:rsidR="0022230B" w:rsidRPr="0022230B">
        <w:rPr>
          <w:i/>
          <w:iCs/>
        </w:rPr>
        <w:t>ultima</w:t>
      </w:r>
      <w:proofErr w:type="gramEnd"/>
      <w:r w:rsidR="0022230B" w:rsidRPr="0022230B">
        <w:rPr>
          <w:i/>
          <w:iCs/>
        </w:rPr>
        <w:t xml:space="preserve"> </w:t>
      </w:r>
      <w:proofErr w:type="spellStart"/>
      <w:r w:rsidR="0022230B" w:rsidRPr="0022230B">
        <w:rPr>
          <w:i/>
          <w:iCs/>
        </w:rPr>
        <w:t>ratio</w:t>
      </w:r>
      <w:proofErr w:type="spellEnd"/>
      <w:r w:rsidR="0022230B">
        <w:t>, foi constituída quando teve conhecimento do mandado de segurança n. 0303263-</w:t>
      </w:r>
      <w:r w:rsidR="001E4B48">
        <w:t>93.</w:t>
      </w:r>
      <w:r w:rsidR="0022230B">
        <w:t>2016.8.24.0023/SC, vale dizer, quando soube, de forma oficial e judicial, que a autora buscava a complementação da pensão por morte.</w:t>
      </w:r>
    </w:p>
    <w:p w14:paraId="7805E2A8" w14:textId="1C33F9D8" w:rsidR="00414718" w:rsidRDefault="00414718" w:rsidP="00414718">
      <w:pPr>
        <w:pStyle w:val="SemEspaamento"/>
        <w:ind w:right="-284"/>
      </w:pPr>
      <w:r>
        <w:lastRenderedPageBreak/>
        <w:t>É o que prevê o art. 240 do CPC, ao definir que “</w:t>
      </w:r>
      <w:r w:rsidRPr="0083466D">
        <w:rPr>
          <w:i/>
          <w:iCs/>
        </w:rPr>
        <w:t>a citação válida, ainda quando ordenada por juízo incompetente, induz litispendência, torna litigiosa a coisa e constitui em mora o devedor (...)</w:t>
      </w:r>
      <w:r>
        <w:t>”.</w:t>
      </w:r>
      <w:r w:rsidR="008E3C51">
        <w:t xml:space="preserve"> No mesmo sentido, o art. 405 do CC/02.</w:t>
      </w:r>
    </w:p>
    <w:p w14:paraId="1FA1A807" w14:textId="41D116EB" w:rsidR="0022230B" w:rsidRDefault="0022230B" w:rsidP="00A33116">
      <w:pPr>
        <w:pStyle w:val="SemEspaamento"/>
        <w:ind w:right="-284"/>
      </w:pPr>
      <w:r>
        <w:t xml:space="preserve">Na inicial da ação de cobrança, </w:t>
      </w:r>
      <w:r w:rsidR="00414718">
        <w:t>ao tratar d</w:t>
      </w:r>
      <w:r>
        <w:t xml:space="preserve">os juros de mora, a autora pleiteou mais do que isso, pois entendia que o marco inicial seria o dia seguinte </w:t>
      </w:r>
      <w:r w:rsidRPr="0022230B">
        <w:rPr>
          <w:sz w:val="20"/>
          <w:szCs w:val="20"/>
        </w:rPr>
        <w:t>(</w:t>
      </w:r>
      <w:r w:rsidRPr="0022230B">
        <w:rPr>
          <w:b/>
          <w:bCs/>
          <w:sz w:val="20"/>
          <w:szCs w:val="20"/>
        </w:rPr>
        <w:t>22/03/2011</w:t>
      </w:r>
      <w:r w:rsidRPr="0022230B">
        <w:rPr>
          <w:sz w:val="20"/>
          <w:szCs w:val="20"/>
        </w:rPr>
        <w:t>)</w:t>
      </w:r>
      <w:r>
        <w:t xml:space="preserve"> ao requerimento administrativo, formulado em 21/03/2011.  </w:t>
      </w:r>
    </w:p>
    <w:p w14:paraId="11D45E4C" w14:textId="01E59A6E" w:rsidR="001E4B48" w:rsidRDefault="0022230B" w:rsidP="001E4B48">
      <w:pPr>
        <w:pStyle w:val="SemEspaamento"/>
        <w:ind w:right="-284"/>
      </w:pPr>
      <w:r>
        <w:t xml:space="preserve">A sentença e o acórdão, firmados na ação de cobrança, entretanto, </w:t>
      </w:r>
      <w:r w:rsidR="00414718">
        <w:t xml:space="preserve">adotaram como marco inicial a citação válida, sem especificar que seria a ciência </w:t>
      </w:r>
      <w:r w:rsidR="008E3C51">
        <w:t xml:space="preserve">inequívoca </w:t>
      </w:r>
      <w:r w:rsidR="00414718">
        <w:t xml:space="preserve">no mandado de segurança, como prevê o tema </w:t>
      </w:r>
      <w:r w:rsidR="001E4B48">
        <w:t>1.133 do STJ, segundo o qual “</w:t>
      </w:r>
      <w:r w:rsidR="001E4B48" w:rsidRPr="00772A0E">
        <w:rPr>
          <w:i/>
          <w:iCs/>
        </w:rPr>
        <w:t>o termo inicial dos juros de mora, em ação de cobrança de valores pretéritos ao ajuizamento de anterior mandado de segurança que reconheceu o direito, é a data da notificação da autoridade coatora no mandado de segurança, quando o devedor é constituído em mora (art. 405 do Código Civil e art. 240 do CPC)</w:t>
      </w:r>
      <w:r w:rsidR="001E4B48">
        <w:t>”</w:t>
      </w:r>
      <w:r w:rsidR="001E4B48" w:rsidRPr="001E4B48">
        <w:t>.</w:t>
      </w:r>
    </w:p>
    <w:p w14:paraId="49AB1C34" w14:textId="7F87B348" w:rsidR="001E4B48" w:rsidRDefault="001E4B48" w:rsidP="00A33116">
      <w:pPr>
        <w:pStyle w:val="SemEspaamento"/>
        <w:ind w:right="-284"/>
      </w:pPr>
      <w:r>
        <w:t>Portanto, considerando que se está tratando de um consectário legal da condenação, que ostenta natureza de ordem pública</w:t>
      </w:r>
      <w:r w:rsidR="008E3C51">
        <w:t xml:space="preserve"> </w:t>
      </w:r>
      <w:r w:rsidR="008E3C51" w:rsidRPr="008E3C51">
        <w:rPr>
          <w:sz w:val="20"/>
          <w:szCs w:val="20"/>
        </w:rPr>
        <w:t>(STJ, AgInt. no AREsp. n. 1832824/RJ)</w:t>
      </w:r>
      <w:r w:rsidR="008E3C51">
        <w:rPr>
          <w:rStyle w:val="Refdenotaderodap"/>
          <w:sz w:val="20"/>
          <w:szCs w:val="20"/>
        </w:rPr>
        <w:footnoteReference w:id="1"/>
      </w:r>
      <w:r>
        <w:t xml:space="preserve">, a incidência dos juros de mora deve ser firmada </w:t>
      </w:r>
      <w:r w:rsidR="008E3C51">
        <w:t>neste</w:t>
      </w:r>
      <w:r>
        <w:t xml:space="preserve"> cumprimento de sentença</w:t>
      </w:r>
      <w:r w:rsidR="008E3C51">
        <w:t>,</w:t>
      </w:r>
      <w:r>
        <w:t xml:space="preserve"> passa</w:t>
      </w:r>
      <w:r w:rsidR="008E3C51">
        <w:t>ndo</w:t>
      </w:r>
      <w:r>
        <w:t xml:space="preserve"> a se tornar incontestável </w:t>
      </w:r>
      <w:r w:rsidR="008E3C51">
        <w:t xml:space="preserve">o marco inicial </w:t>
      </w:r>
      <w:r>
        <w:t>da ciência do devedor no mandado de segurança, ou seja, a partir de 20-4-2016</w:t>
      </w:r>
      <w:r w:rsidR="008E3C51">
        <w:t>, conforme cálculo já apresentado pela exequente na exordial</w:t>
      </w:r>
      <w:r>
        <w:t>.</w:t>
      </w:r>
    </w:p>
    <w:p w14:paraId="4FD56A53" w14:textId="075C4A66" w:rsidR="008E3C51" w:rsidRDefault="008E3C51" w:rsidP="00A33116">
      <w:pPr>
        <w:pStyle w:val="SemEspaamento"/>
        <w:ind w:right="-284"/>
      </w:pPr>
      <w:r>
        <w:t>Sem razão, assim, a alegação de excesso de execução.</w:t>
      </w:r>
    </w:p>
    <w:p w14:paraId="3814CAFD" w14:textId="77777777" w:rsidR="008E3C51" w:rsidRDefault="008E3C51" w:rsidP="008E3C51">
      <w:pPr>
        <w:pStyle w:val="SemEspaamento"/>
        <w:numPr>
          <w:ilvl w:val="0"/>
          <w:numId w:val="0"/>
        </w:numPr>
        <w:ind w:right="-284" w:firstLine="1701"/>
      </w:pPr>
    </w:p>
    <w:p w14:paraId="1AB3C2F0" w14:textId="25076E4A" w:rsidR="008E3C51" w:rsidRDefault="00DD0354" w:rsidP="008E3C51">
      <w:pPr>
        <w:pStyle w:val="SemEspaamento"/>
        <w:numPr>
          <w:ilvl w:val="0"/>
          <w:numId w:val="0"/>
        </w:numPr>
        <w:ind w:right="-284"/>
      </w:pPr>
      <w:r>
        <w:rPr>
          <w:b/>
          <w:bCs/>
          <w:sz w:val="22"/>
          <w:u w:val="single"/>
        </w:rPr>
        <w:t xml:space="preserve">II.4 – </w:t>
      </w:r>
      <w:r w:rsidR="00E225C7">
        <w:rPr>
          <w:b/>
          <w:bCs/>
          <w:sz w:val="22"/>
          <w:u w:val="single"/>
        </w:rPr>
        <w:t>HONORÁRIOS ADVOCATÍCIOS SOBRE O PLEITEADO EXCESSO DE EXECUÇÃO</w:t>
      </w:r>
    </w:p>
    <w:p w14:paraId="207BBEC9" w14:textId="77777777" w:rsidR="008E3C51" w:rsidRDefault="008E3C51" w:rsidP="008E3C51">
      <w:pPr>
        <w:pStyle w:val="SemEspaamento"/>
        <w:numPr>
          <w:ilvl w:val="0"/>
          <w:numId w:val="0"/>
        </w:numPr>
        <w:ind w:right="-284" w:firstLine="1701"/>
      </w:pPr>
    </w:p>
    <w:p w14:paraId="4F886F3E" w14:textId="7FC34621" w:rsidR="008E3C51" w:rsidRDefault="008E3C51" w:rsidP="004C7B83">
      <w:pPr>
        <w:pStyle w:val="SemEspaamento"/>
        <w:ind w:right="-284"/>
      </w:pPr>
      <w:r>
        <w:t>Afastad</w:t>
      </w:r>
      <w:r w:rsidR="00531C86">
        <w:t xml:space="preserve">a a alegação </w:t>
      </w:r>
      <w:r>
        <w:t>de excesso de execução</w:t>
      </w:r>
      <w:r w:rsidR="007D0250">
        <w:t xml:space="preserve"> e a impugnação do ente público</w:t>
      </w:r>
      <w:r>
        <w:t xml:space="preserve">, </w:t>
      </w:r>
      <w:r w:rsidR="007D0250">
        <w:t>é devida a</w:t>
      </w:r>
      <w:r w:rsidR="004C7B83">
        <w:t xml:space="preserve"> fixação de honorários advocatícios</w:t>
      </w:r>
      <w:r w:rsidR="007D0250">
        <w:t xml:space="preserve"> neste cumprimento de sentença</w:t>
      </w:r>
      <w:r w:rsidR="004C7B83">
        <w:t>, nos termos da tese firmada no AgInt no AgInt no REsp 2.008.452/SP, segundo a qual “</w:t>
      </w:r>
      <w:r w:rsidR="004C7B83" w:rsidRPr="0083466D">
        <w:rPr>
          <w:i/>
          <w:iCs/>
        </w:rPr>
        <w:t xml:space="preserve">é cabível a fixação de honorários advocatícios no cumprimento de sentença que </w:t>
      </w:r>
      <w:r w:rsidR="004C7B83" w:rsidRPr="0083466D">
        <w:rPr>
          <w:i/>
          <w:iCs/>
        </w:rPr>
        <w:lastRenderedPageBreak/>
        <w:t>enseje a expedição de precatório, pela rejeição da impugnação ofertada pela Fazenda Pública, à luz do art. 85, § 7º, do CPC, excetuada da base de cálculo apenas eventual parcela incontroversa do crédito</w:t>
      </w:r>
      <w:r w:rsidR="004C7B83">
        <w:t>”</w:t>
      </w:r>
      <w:r w:rsidR="004C7B83" w:rsidRPr="004C7B83">
        <w:t>.</w:t>
      </w:r>
      <w:r w:rsidR="004C7B83">
        <w:t xml:space="preserve"> </w:t>
      </w:r>
    </w:p>
    <w:p w14:paraId="5E802A90" w14:textId="50B2DBE5" w:rsidR="007D0250" w:rsidRDefault="007D0250" w:rsidP="004C7B83">
      <w:pPr>
        <w:pStyle w:val="SemEspaamento"/>
        <w:ind w:right="-284"/>
      </w:pPr>
      <w:r>
        <w:t xml:space="preserve">No mesmo sentido, do STJ: AgInt no AgInt no AREsp. n. 1.777.347/SP e AgInt no AREsp. n. 1.979.458/SP. </w:t>
      </w:r>
    </w:p>
    <w:p w14:paraId="7AF503A0" w14:textId="0C2AC9E9" w:rsidR="007D0250" w:rsidRDefault="007D0250" w:rsidP="004C7B83">
      <w:pPr>
        <w:pStyle w:val="SemEspaamento"/>
        <w:ind w:right="-284"/>
      </w:pPr>
      <w:r>
        <w:t>Assim,</w:t>
      </w:r>
      <w:r w:rsidR="00AD3528">
        <w:t xml:space="preserve"> consectário da rejeição da impugnação ao cumprimento de sentença, </w:t>
      </w:r>
      <w:r>
        <w:t xml:space="preserve">requer-se </w:t>
      </w:r>
      <w:r w:rsidR="00AD3528">
        <w:t>a fixação de honorários advocatícios adicionais de 10% sobre o valor do excesso alegado pelo IPREV</w:t>
      </w:r>
      <w:r w:rsidR="001C59BD">
        <w:t xml:space="preserve"> </w:t>
      </w:r>
      <w:r w:rsidR="001C59BD" w:rsidRPr="001C59BD">
        <w:rPr>
          <w:sz w:val="20"/>
          <w:szCs w:val="20"/>
        </w:rPr>
        <w:t xml:space="preserve">(R$994.638,22 </w:t>
      </w:r>
      <w:r w:rsidR="001C59BD">
        <w:rPr>
          <w:sz w:val="20"/>
          <w:szCs w:val="20"/>
        </w:rPr>
        <w:t>+</w:t>
      </w:r>
      <w:r w:rsidR="001C59BD" w:rsidRPr="001C59BD">
        <w:rPr>
          <w:sz w:val="20"/>
          <w:szCs w:val="20"/>
        </w:rPr>
        <w:t xml:space="preserve"> R$207.899,64)</w:t>
      </w:r>
      <w:r w:rsidR="00AD3528">
        <w:t>, salvo se outro percentual não for estabelecido pela legislação processual de regência.</w:t>
      </w:r>
    </w:p>
    <w:p w14:paraId="49F32504" w14:textId="77777777" w:rsidR="00ED2E6F" w:rsidRPr="00ED2E6F" w:rsidRDefault="00ED2E6F" w:rsidP="001129BD">
      <w:pPr>
        <w:pStyle w:val="SemEspaamento"/>
        <w:numPr>
          <w:ilvl w:val="0"/>
          <w:numId w:val="0"/>
        </w:numPr>
        <w:ind w:left="1701"/>
      </w:pPr>
    </w:p>
    <w:p w14:paraId="4962610B" w14:textId="4C0D3902" w:rsidR="0081268C" w:rsidRPr="008E3C51" w:rsidRDefault="00DD0354" w:rsidP="00387418">
      <w:pPr>
        <w:pStyle w:val="Ttulo"/>
        <w:rPr>
          <w:u w:val="single"/>
        </w:rPr>
      </w:pPr>
      <w:r>
        <w:rPr>
          <w:u w:val="single"/>
        </w:rPr>
        <w:t xml:space="preserve">III – </w:t>
      </w:r>
      <w:r w:rsidR="00387418" w:rsidRPr="008E3C51">
        <w:rPr>
          <w:u w:val="single"/>
        </w:rPr>
        <w:t>REQUERIMENTOS</w:t>
      </w:r>
    </w:p>
    <w:p w14:paraId="3AD1B06F" w14:textId="77777777" w:rsidR="00387418" w:rsidRPr="00387418" w:rsidRDefault="00387418" w:rsidP="001129BD">
      <w:pPr>
        <w:pStyle w:val="SemEspaamento"/>
        <w:numPr>
          <w:ilvl w:val="0"/>
          <w:numId w:val="0"/>
        </w:numPr>
        <w:ind w:left="1701"/>
      </w:pPr>
    </w:p>
    <w:p w14:paraId="5B522105" w14:textId="739DFC0E" w:rsidR="00AD3528" w:rsidRDefault="00AD3528" w:rsidP="00387418">
      <w:pPr>
        <w:pStyle w:val="SemEspaamento"/>
      </w:pPr>
      <w:r>
        <w:t>Em breve extrato d</w:t>
      </w:r>
      <w:r w:rsidR="00842F57">
        <w:t>os contrapontos à</w:t>
      </w:r>
      <w:r>
        <w:t xml:space="preserve"> impugnação ao cumprimento de sentença, deve ser rejeitada a alegação do IPREV de excesso de execução, seja porque a verba IRESA compõe a base de cálculo da pensão por morte, seja porque a </w:t>
      </w:r>
      <w:r w:rsidR="00842F57">
        <w:t>execução</w:t>
      </w:r>
      <w:r>
        <w:t xml:space="preserve"> é isenta de contribuição previdenciária. Mais do que isso, não procede a impugnação quanto ao marco inicial dos juros de mora, po</w:t>
      </w:r>
      <w:r w:rsidR="00842F57">
        <w:t>is</w:t>
      </w:r>
      <w:r>
        <w:t xml:space="preserve"> </w:t>
      </w:r>
      <w:r w:rsidR="001C59BD">
        <w:t>o cálculo da autora,</w:t>
      </w:r>
      <w:r>
        <w:t xml:space="preserve"> apresentad</w:t>
      </w:r>
      <w:r w:rsidR="001C59BD">
        <w:t>o</w:t>
      </w:r>
      <w:r>
        <w:t xml:space="preserve"> na exordial do cumprimento de sentença</w:t>
      </w:r>
      <w:r w:rsidR="001C59BD">
        <w:t>,</w:t>
      </w:r>
      <w:r>
        <w:t xml:space="preserve"> está balizad</w:t>
      </w:r>
      <w:r w:rsidR="001C59BD">
        <w:t>o</w:t>
      </w:r>
      <w:r>
        <w:t xml:space="preserve"> pelo Tema 1.133/STJ</w:t>
      </w:r>
      <w:r w:rsidR="001C59BD">
        <w:t>.</w:t>
      </w:r>
    </w:p>
    <w:p w14:paraId="64E8D803" w14:textId="29B1A0D2" w:rsidR="00842F57" w:rsidRPr="00842F57" w:rsidRDefault="000169F1" w:rsidP="00387418">
      <w:pPr>
        <w:pStyle w:val="SemEspaamento"/>
        <w:rPr>
          <w:szCs w:val="24"/>
        </w:rPr>
      </w:pPr>
      <w:r>
        <w:t>A</w:t>
      </w:r>
      <w:r w:rsidRPr="00136102">
        <w:t xml:space="preserve">nte o exposto, </w:t>
      </w:r>
      <w:r w:rsidR="001C59BD">
        <w:t xml:space="preserve">rechaçada a impugnação </w:t>
      </w:r>
      <w:r w:rsidR="00842F57">
        <w:t>do IPREV</w:t>
      </w:r>
      <w:r w:rsidR="001C59BD">
        <w:t xml:space="preserve">, deve ser </w:t>
      </w:r>
      <w:r w:rsidR="00842F57" w:rsidRPr="00842F57">
        <w:rPr>
          <w:u w:val="single"/>
        </w:rPr>
        <w:t>confirmado</w:t>
      </w:r>
      <w:r w:rsidR="00842F57" w:rsidRPr="00C65780">
        <w:t xml:space="preserve"> </w:t>
      </w:r>
      <w:r w:rsidR="00842F57" w:rsidRPr="00842F57">
        <w:rPr>
          <w:u w:val="single"/>
        </w:rPr>
        <w:t>o</w:t>
      </w:r>
      <w:r w:rsidR="00842F57" w:rsidRPr="00C65780">
        <w:t xml:space="preserve"> </w:t>
      </w:r>
      <w:r w:rsidR="00842F57" w:rsidRPr="00842F57">
        <w:rPr>
          <w:u w:val="single"/>
        </w:rPr>
        <w:t>cálculo</w:t>
      </w:r>
      <w:r w:rsidR="00842F57" w:rsidRPr="00C65780">
        <w:t xml:space="preserve"> </w:t>
      </w:r>
      <w:r w:rsidR="00842F57" w:rsidRPr="00842F57">
        <w:rPr>
          <w:u w:val="single"/>
        </w:rPr>
        <w:t>executado</w:t>
      </w:r>
      <w:r w:rsidR="00842F57">
        <w:t xml:space="preserve">, com aplicação de honorários advocatícios nesta fase de cumprimento de sentença </w:t>
      </w:r>
      <w:r w:rsidR="00842F57" w:rsidRPr="00B04A7B">
        <w:rPr>
          <w:sz w:val="20"/>
          <w:szCs w:val="20"/>
        </w:rPr>
        <w:t>(art. 8</w:t>
      </w:r>
      <w:r w:rsidR="00842F57">
        <w:rPr>
          <w:sz w:val="20"/>
          <w:szCs w:val="20"/>
        </w:rPr>
        <w:t>5</w:t>
      </w:r>
      <w:r w:rsidR="00842F57" w:rsidRPr="00B04A7B">
        <w:rPr>
          <w:sz w:val="20"/>
          <w:szCs w:val="20"/>
        </w:rPr>
        <w:t xml:space="preserve">, </w:t>
      </w:r>
      <w:r w:rsidR="00842F57">
        <w:rPr>
          <w:sz w:val="20"/>
          <w:szCs w:val="20"/>
        </w:rPr>
        <w:t xml:space="preserve">§7º, </w:t>
      </w:r>
      <w:r w:rsidR="00842F57" w:rsidRPr="00B04A7B">
        <w:rPr>
          <w:sz w:val="20"/>
          <w:szCs w:val="20"/>
        </w:rPr>
        <w:t>do CPC)</w:t>
      </w:r>
      <w:r w:rsidR="00842F57">
        <w:t xml:space="preserve">. Além disso, deve ser aplicada a </w:t>
      </w:r>
      <w:r w:rsidR="00842F57" w:rsidRPr="001129BD">
        <w:rPr>
          <w:u w:val="single"/>
        </w:rPr>
        <w:t>pena</w:t>
      </w:r>
      <w:r w:rsidR="00842F57">
        <w:t xml:space="preserve"> </w:t>
      </w:r>
      <w:r w:rsidR="00842F57" w:rsidRPr="001129BD">
        <w:rPr>
          <w:u w:val="single"/>
        </w:rPr>
        <w:t>da</w:t>
      </w:r>
      <w:r w:rsidR="00842F57">
        <w:t xml:space="preserve"> </w:t>
      </w:r>
      <w:r w:rsidR="00842F57" w:rsidRPr="001129BD">
        <w:rPr>
          <w:u w:val="single"/>
        </w:rPr>
        <w:t>litigância</w:t>
      </w:r>
      <w:r w:rsidR="00842F57">
        <w:t xml:space="preserve"> </w:t>
      </w:r>
      <w:r w:rsidR="00842F57" w:rsidRPr="001129BD">
        <w:rPr>
          <w:u w:val="single"/>
        </w:rPr>
        <w:t>de</w:t>
      </w:r>
      <w:r w:rsidR="00842F57">
        <w:t xml:space="preserve"> </w:t>
      </w:r>
      <w:r w:rsidR="00842F57" w:rsidRPr="001129BD">
        <w:rPr>
          <w:u w:val="single"/>
        </w:rPr>
        <w:t>má</w:t>
      </w:r>
      <w:r w:rsidR="00842F57">
        <w:t>-</w:t>
      </w:r>
      <w:r w:rsidR="00842F57" w:rsidRPr="001129BD">
        <w:rPr>
          <w:u w:val="single"/>
        </w:rPr>
        <w:t>fé</w:t>
      </w:r>
      <w:r w:rsidR="00842F57">
        <w:t xml:space="preserve"> </w:t>
      </w:r>
      <w:r w:rsidR="00842F57" w:rsidRPr="00B04A7B">
        <w:rPr>
          <w:sz w:val="20"/>
          <w:szCs w:val="20"/>
        </w:rPr>
        <w:t xml:space="preserve">(art. 80, I, IV, V, </w:t>
      </w:r>
      <w:r w:rsidR="00842F57">
        <w:rPr>
          <w:sz w:val="20"/>
          <w:szCs w:val="20"/>
        </w:rPr>
        <w:t xml:space="preserve">e 81 </w:t>
      </w:r>
      <w:r w:rsidR="00842F57" w:rsidRPr="00B04A7B">
        <w:rPr>
          <w:sz w:val="20"/>
          <w:szCs w:val="20"/>
        </w:rPr>
        <w:t>do CPC)</w:t>
      </w:r>
      <w:r w:rsidR="00842F57">
        <w:t xml:space="preserve">, em seu </w:t>
      </w:r>
      <w:r w:rsidR="00842F57" w:rsidRPr="001129BD">
        <w:rPr>
          <w:u w:val="single"/>
        </w:rPr>
        <w:t>grau</w:t>
      </w:r>
      <w:r w:rsidR="00842F57">
        <w:t xml:space="preserve"> </w:t>
      </w:r>
      <w:r w:rsidR="00842F57" w:rsidRPr="001129BD">
        <w:rPr>
          <w:u w:val="single"/>
        </w:rPr>
        <w:t>máximo</w:t>
      </w:r>
      <w:r w:rsidR="00842F57">
        <w:t xml:space="preserve"> </w:t>
      </w:r>
      <w:r w:rsidR="00842F57" w:rsidRPr="00842F57">
        <w:rPr>
          <w:sz w:val="20"/>
          <w:szCs w:val="20"/>
        </w:rPr>
        <w:t>(10%)</w:t>
      </w:r>
      <w:r w:rsidR="00842F57">
        <w:rPr>
          <w:sz w:val="20"/>
          <w:szCs w:val="20"/>
        </w:rPr>
        <w:t xml:space="preserve">, </w:t>
      </w:r>
      <w:r w:rsidR="00842F57" w:rsidRPr="00842F57">
        <w:rPr>
          <w:szCs w:val="24"/>
        </w:rPr>
        <w:t>e</w:t>
      </w:r>
      <w:r w:rsidR="00842F57">
        <w:rPr>
          <w:szCs w:val="24"/>
        </w:rPr>
        <w:t>m razão d</w:t>
      </w:r>
      <w:r w:rsidR="00842F57" w:rsidRPr="00842F57">
        <w:rPr>
          <w:szCs w:val="24"/>
        </w:rPr>
        <w:t>a resistência injustificada e desleal do ente previdenciário depois de 15 anos de litígio e após duas demandas judiciais transitadas em julgado a favor da autora.</w:t>
      </w:r>
    </w:p>
    <w:p w14:paraId="6DB9021B" w14:textId="3E7D4E70" w:rsidR="004869F7" w:rsidRDefault="00387418" w:rsidP="004869F7">
      <w:pPr>
        <w:pStyle w:val="SemEspaamento"/>
      </w:pPr>
      <w:r>
        <w:rPr>
          <w:rFonts w:eastAsia="Calibri" w:cs="Times New Roman"/>
        </w:rPr>
        <w:t>Reitera</w:t>
      </w:r>
      <w:r w:rsidR="0090226D" w:rsidRPr="0090226D">
        <w:rPr>
          <w:rFonts w:eastAsia="Calibri" w:cs="Times New Roman"/>
        </w:rPr>
        <w:t>, por fim, sejam</w:t>
      </w:r>
      <w:r w:rsidR="0090226D" w:rsidRPr="00416D9D">
        <w:t xml:space="preserve"> todas as intimações realizadas em nome d</w:t>
      </w:r>
      <w:r w:rsidR="0090226D">
        <w:t>o</w:t>
      </w:r>
      <w:r w:rsidR="0090226D" w:rsidRPr="00416D9D">
        <w:t xml:space="preserve"> advogad</w:t>
      </w:r>
      <w:r w:rsidR="0090226D">
        <w:t>o</w:t>
      </w:r>
      <w:r w:rsidR="0090226D" w:rsidRPr="00416D9D">
        <w:t xml:space="preserve"> </w:t>
      </w:r>
      <w:r w:rsidR="0090226D">
        <w:t>Paulo Ekke Moukarzel Junior</w:t>
      </w:r>
      <w:r w:rsidR="0090226D" w:rsidRPr="00416D9D">
        <w:t>, inscrit</w:t>
      </w:r>
      <w:r w:rsidR="0090226D">
        <w:t>o</w:t>
      </w:r>
      <w:r w:rsidR="0090226D" w:rsidRPr="00416D9D">
        <w:t xml:space="preserve"> na OAB/SC sob o nº </w:t>
      </w:r>
      <w:r w:rsidR="0090226D">
        <w:t xml:space="preserve">36.591, </w:t>
      </w:r>
      <w:r w:rsidR="0090226D" w:rsidRPr="00416D9D">
        <w:t>sob pena de nulidade</w:t>
      </w:r>
      <w:r w:rsidR="0090226D" w:rsidRPr="00A51EDB">
        <w:t xml:space="preserve"> </w:t>
      </w:r>
      <w:r w:rsidR="0090226D" w:rsidRPr="0090226D">
        <w:rPr>
          <w:sz w:val="20"/>
        </w:rPr>
        <w:t>(art. 272, §5º, do CPC)</w:t>
      </w:r>
      <w:r w:rsidR="0090226D" w:rsidRPr="00416D9D">
        <w:t>.</w:t>
      </w:r>
    </w:p>
    <w:p w14:paraId="31F4189E" w14:textId="77777777" w:rsidR="001129BD" w:rsidRPr="001129BD" w:rsidRDefault="001129BD" w:rsidP="001129BD">
      <w:pPr>
        <w:pStyle w:val="Ttulo2"/>
        <w:rPr>
          <w:sz w:val="10"/>
          <w:szCs w:val="10"/>
        </w:rPr>
      </w:pPr>
    </w:p>
    <w:p w14:paraId="350098E7" w14:textId="77777777" w:rsidR="000169F1" w:rsidRPr="00855A17" w:rsidRDefault="000169F1" w:rsidP="00387418">
      <w:pPr>
        <w:pStyle w:val="Ttulo2"/>
        <w:rPr>
          <w:rFonts w:eastAsia="Calibri"/>
          <w:sz w:val="2"/>
          <w:szCs w:val="2"/>
        </w:rPr>
      </w:pPr>
    </w:p>
    <w:p w14:paraId="72F694A1" w14:textId="77777777"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78B0E5F6" w14:textId="56FC1ADD"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192296">
        <w:rPr>
          <w:rFonts w:ascii="Arial" w:eastAsia="Calibri" w:hAnsi="Arial" w:cs="Times New Roman"/>
          <w:noProof/>
          <w:sz w:val="24"/>
          <w:szCs w:val="24"/>
        </w:rPr>
        <w:t>12 de agosto de 2025</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194AD111"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66432E5F"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3A56F15E" w14:textId="77777777" w:rsidR="000169F1" w:rsidRPr="005F72CB" w:rsidRDefault="000169F1" w:rsidP="000169F1">
      <w:pPr>
        <w:spacing w:after="0" w:line="240" w:lineRule="auto"/>
        <w:ind w:right="-2"/>
        <w:jc w:val="center"/>
        <w:rPr>
          <w:rFonts w:ascii="Arial" w:eastAsia="Times New Roman" w:hAnsi="Arial" w:cs="Times New Roman"/>
          <w:sz w:val="24"/>
          <w:szCs w:val="24"/>
          <w:lang w:val="en-US"/>
        </w:rPr>
      </w:pPr>
      <w:r w:rsidRPr="005F72CB">
        <w:rPr>
          <w:rFonts w:ascii="Arial" w:eastAsia="Times New Roman" w:hAnsi="Arial" w:cs="Times New Roman"/>
          <w:b/>
          <w:sz w:val="24"/>
          <w:szCs w:val="24"/>
          <w:lang w:val="en-US"/>
        </w:rPr>
        <w:t>Paulo Ekke Moukarzel Junior</w:t>
      </w:r>
    </w:p>
    <w:p w14:paraId="2EFDE94C" w14:textId="7D16AFCC" w:rsidR="00A80B46" w:rsidRPr="005F72CB" w:rsidRDefault="000169F1" w:rsidP="00842F57">
      <w:pPr>
        <w:spacing w:after="0" w:line="240" w:lineRule="auto"/>
        <w:ind w:right="-2"/>
        <w:jc w:val="center"/>
        <w:rPr>
          <w:lang w:val="en-US"/>
        </w:rPr>
      </w:pPr>
      <w:r w:rsidRPr="005F72CB">
        <w:rPr>
          <w:rFonts w:ascii="Arial" w:eastAsia="Times New Roman" w:hAnsi="Arial" w:cs="Times New Roman"/>
          <w:sz w:val="24"/>
          <w:szCs w:val="24"/>
          <w:lang w:val="en-US"/>
        </w:rPr>
        <w:t>OAB/SC 36.591</w:t>
      </w:r>
    </w:p>
    <w:sectPr w:rsidR="00A80B46" w:rsidRPr="005F72CB" w:rsidSect="005509D7">
      <w:headerReference w:type="default" r:id="rId10"/>
      <w:footerReference w:type="default" r:id="rId11"/>
      <w:pgSz w:w="11906" w:h="16838"/>
      <w:pgMar w:top="1843" w:right="1416" w:bottom="1135"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1FAE7" w14:textId="77777777" w:rsidR="00573978" w:rsidRDefault="00573978" w:rsidP="00943258">
      <w:pPr>
        <w:spacing w:after="0" w:line="240" w:lineRule="auto"/>
      </w:pPr>
      <w:r>
        <w:separator/>
      </w:r>
    </w:p>
  </w:endnote>
  <w:endnote w:type="continuationSeparator" w:id="0">
    <w:p w14:paraId="2FF41D83" w14:textId="77777777" w:rsidR="00573978" w:rsidRDefault="00573978"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EndPr/>
    <w:sdtContent>
      <w:p w14:paraId="50D15F2E"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70518FED" wp14:editId="040B62B3">
              <wp:simplePos x="0" y="0"/>
              <wp:positionH relativeFrom="column">
                <wp:posOffset>1616528</wp:posOffset>
              </wp:positionH>
              <wp:positionV relativeFrom="paragraph">
                <wp:posOffset>34282</wp:posOffset>
              </wp:positionV>
              <wp:extent cx="2628900" cy="156648"/>
              <wp:effectExtent l="0" t="0" r="0" b="0"/>
              <wp:wrapNone/>
              <wp:docPr id="1557758583" name="Imagem 155775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0B3D52DD"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1B20F" w14:textId="77777777" w:rsidR="00573978" w:rsidRDefault="00573978" w:rsidP="00943258">
      <w:pPr>
        <w:spacing w:after="0" w:line="240" w:lineRule="auto"/>
      </w:pPr>
      <w:r>
        <w:separator/>
      </w:r>
    </w:p>
  </w:footnote>
  <w:footnote w:type="continuationSeparator" w:id="0">
    <w:p w14:paraId="34A3D777" w14:textId="77777777" w:rsidR="00573978" w:rsidRDefault="00573978" w:rsidP="00943258">
      <w:pPr>
        <w:spacing w:after="0" w:line="240" w:lineRule="auto"/>
      </w:pPr>
      <w:r>
        <w:continuationSeparator/>
      </w:r>
    </w:p>
  </w:footnote>
  <w:footnote w:id="1">
    <w:p w14:paraId="3601D844" w14:textId="65B3379B" w:rsidR="008E3C51" w:rsidRPr="008E3C51" w:rsidRDefault="008E3C51" w:rsidP="008E3C51">
      <w:pPr>
        <w:pStyle w:val="Textodenotaderodap"/>
        <w:ind w:right="-284"/>
        <w:jc w:val="both"/>
        <w:rPr>
          <w:rFonts w:ascii="Arial" w:hAnsi="Arial" w:cs="Arial"/>
          <w:sz w:val="18"/>
          <w:szCs w:val="18"/>
        </w:rPr>
      </w:pPr>
      <w:r>
        <w:rPr>
          <w:rStyle w:val="Refdenotaderodap"/>
        </w:rPr>
        <w:footnoteRef/>
      </w:r>
      <w:r>
        <w:t xml:space="preserve"> </w:t>
      </w:r>
      <w:r w:rsidRPr="008E3C51">
        <w:rPr>
          <w:rFonts w:ascii="Arial" w:hAnsi="Arial" w:cs="Arial"/>
          <w:sz w:val="18"/>
          <w:szCs w:val="18"/>
        </w:rPr>
        <w:t xml:space="preserve">AGRAVO INTERNO NO AGRAVO EM RECURSO ESPECIAL. PROCESSO CIVIL. ALTERAÇÃO, DE OFÍCIO, DO TERMO INICIAL DOS JUROS DE MORA. MATÉRIA DE ORDEM PÚBLICA. JULGAMENTO "EXTRA PETITA" E REFORMATIO IN PEJUS. INEXISTÊNCIA. 1. O Tribunal a quo decidiu em conformidade com o entendimento desta Corte Superior, de acordo com o qual </w:t>
      </w:r>
      <w:r w:rsidRPr="00192296">
        <w:rPr>
          <w:rFonts w:ascii="Arial" w:hAnsi="Arial" w:cs="Arial"/>
          <w:b/>
          <w:bCs/>
          <w:sz w:val="18"/>
          <w:szCs w:val="18"/>
        </w:rPr>
        <w:t xml:space="preserve">o termo inicial dos juros de mora constitui </w:t>
      </w:r>
      <w:r w:rsidRPr="00192296">
        <w:rPr>
          <w:rFonts w:ascii="Arial" w:hAnsi="Arial" w:cs="Arial"/>
          <w:b/>
          <w:bCs/>
          <w:sz w:val="18"/>
          <w:szCs w:val="18"/>
          <w:u w:val="single"/>
        </w:rPr>
        <w:t>matéria</w:t>
      </w:r>
      <w:r w:rsidRPr="00192296">
        <w:rPr>
          <w:rFonts w:ascii="Arial" w:hAnsi="Arial" w:cs="Arial"/>
          <w:b/>
          <w:bCs/>
          <w:sz w:val="18"/>
          <w:szCs w:val="18"/>
        </w:rPr>
        <w:t xml:space="preserve"> </w:t>
      </w:r>
      <w:r w:rsidRPr="00192296">
        <w:rPr>
          <w:rFonts w:ascii="Arial" w:hAnsi="Arial" w:cs="Arial"/>
          <w:b/>
          <w:bCs/>
          <w:sz w:val="18"/>
          <w:szCs w:val="18"/>
          <w:u w:val="single"/>
        </w:rPr>
        <w:t>de</w:t>
      </w:r>
      <w:r w:rsidRPr="00192296">
        <w:rPr>
          <w:rFonts w:ascii="Arial" w:hAnsi="Arial" w:cs="Arial"/>
          <w:b/>
          <w:bCs/>
          <w:sz w:val="18"/>
          <w:szCs w:val="18"/>
        </w:rPr>
        <w:t xml:space="preserve"> </w:t>
      </w:r>
      <w:r w:rsidRPr="00192296">
        <w:rPr>
          <w:rFonts w:ascii="Arial" w:hAnsi="Arial" w:cs="Arial"/>
          <w:b/>
          <w:bCs/>
          <w:sz w:val="18"/>
          <w:szCs w:val="18"/>
          <w:u w:val="single"/>
        </w:rPr>
        <w:t>ordem</w:t>
      </w:r>
      <w:r w:rsidRPr="00192296">
        <w:rPr>
          <w:rFonts w:ascii="Arial" w:hAnsi="Arial" w:cs="Arial"/>
          <w:b/>
          <w:bCs/>
          <w:sz w:val="18"/>
          <w:szCs w:val="18"/>
        </w:rPr>
        <w:t xml:space="preserve"> </w:t>
      </w:r>
      <w:r w:rsidRPr="00192296">
        <w:rPr>
          <w:rFonts w:ascii="Arial" w:hAnsi="Arial" w:cs="Arial"/>
          <w:b/>
          <w:bCs/>
          <w:sz w:val="18"/>
          <w:szCs w:val="18"/>
          <w:u w:val="single"/>
        </w:rPr>
        <w:t>pública</w:t>
      </w:r>
      <w:r w:rsidRPr="008E3C51">
        <w:rPr>
          <w:rFonts w:ascii="Arial" w:hAnsi="Arial" w:cs="Arial"/>
          <w:sz w:val="18"/>
          <w:szCs w:val="18"/>
        </w:rPr>
        <w:t xml:space="preserve">, podendo ser alterado de ofício. Mesmo raciocínio empregado quanto a inversão dos honorários sucumbenciais, pois foi constatada ilegalidade quanto a sua distribuição, pois o autor se sagrou vencedor em maior parte dos pedidos. 2. A jurisprudência do STJ é firme no sentido de que a correção monetária e os juros de mora são consectários legais da condenação principal, possuem natureza de ordem pública e podem ser analisados até mesmo de ofício, de modo que sua aplicação ou alteração, bem como a modificação de seu termo inicial, não configura julgamento extra petita nem reformatio in pejus. AGRAVO DESPROVIDO (STJ - AgInt no AREsp: 1832824 RJ, </w:t>
      </w:r>
      <w:proofErr w:type="spellStart"/>
      <w:r w:rsidRPr="008E3C51">
        <w:rPr>
          <w:rFonts w:ascii="Arial" w:hAnsi="Arial" w:cs="Arial"/>
          <w:sz w:val="18"/>
          <w:szCs w:val="18"/>
        </w:rPr>
        <w:t>DJe</w:t>
      </w:r>
      <w:proofErr w:type="spellEnd"/>
      <w:r w:rsidRPr="008E3C51">
        <w:rPr>
          <w:rFonts w:ascii="Arial" w:hAnsi="Arial" w:cs="Arial"/>
          <w:sz w:val="18"/>
          <w:szCs w:val="18"/>
        </w:rPr>
        <w:t xml:space="preserve"> 22/09/2022)</w:t>
      </w:r>
      <w:r>
        <w:rPr>
          <w:rFonts w:ascii="Arial" w:hAnsi="Arial" w:cs="Arial"/>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9B8FE"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06A90A32" wp14:editId="1DF8E40D">
          <wp:simplePos x="0" y="0"/>
          <wp:positionH relativeFrom="page">
            <wp:posOffset>-21361</wp:posOffset>
          </wp:positionH>
          <wp:positionV relativeFrom="page">
            <wp:posOffset>-71063</wp:posOffset>
          </wp:positionV>
          <wp:extent cx="7612446" cy="1100138"/>
          <wp:effectExtent l="0" t="0" r="0" b="0"/>
          <wp:wrapNone/>
          <wp:docPr id="947144018" name="Imagem 947144018"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576AC482" w14:textId="77777777" w:rsidR="007C36DB" w:rsidRDefault="007C36DB" w:rsidP="00131BEB">
    <w:pPr>
      <w:pStyle w:val="Cabealho"/>
      <w:tabs>
        <w:tab w:val="clear" w:pos="4252"/>
        <w:tab w:val="clear" w:pos="8504"/>
        <w:tab w:val="left" w:pos="2685"/>
      </w:tabs>
    </w:pPr>
  </w:p>
  <w:p w14:paraId="3601A012" w14:textId="77777777" w:rsidR="007C36DB" w:rsidRDefault="007C36DB" w:rsidP="007C36DB">
    <w:pPr>
      <w:pStyle w:val="Cabealho"/>
      <w:tabs>
        <w:tab w:val="clear" w:pos="4252"/>
        <w:tab w:val="clear" w:pos="8504"/>
        <w:tab w:val="left" w:pos="6555"/>
      </w:tabs>
    </w:pPr>
  </w:p>
  <w:p w14:paraId="77669B24"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 w:numId="3" w16cid:durableId="93594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A2D"/>
    <w:rsid w:val="00003F31"/>
    <w:rsid w:val="000169F1"/>
    <w:rsid w:val="0004298B"/>
    <w:rsid w:val="00055A58"/>
    <w:rsid w:val="00097661"/>
    <w:rsid w:val="000A27D3"/>
    <w:rsid w:val="000A3ECA"/>
    <w:rsid w:val="000D153B"/>
    <w:rsid w:val="000D228C"/>
    <w:rsid w:val="001129BD"/>
    <w:rsid w:val="001243A1"/>
    <w:rsid w:val="00131BEB"/>
    <w:rsid w:val="001667B0"/>
    <w:rsid w:val="001761C0"/>
    <w:rsid w:val="00183BE2"/>
    <w:rsid w:val="00184926"/>
    <w:rsid w:val="00192296"/>
    <w:rsid w:val="001B2B98"/>
    <w:rsid w:val="001B2E75"/>
    <w:rsid w:val="001C59BD"/>
    <w:rsid w:val="001E4B48"/>
    <w:rsid w:val="00201F45"/>
    <w:rsid w:val="00207BE4"/>
    <w:rsid w:val="00214E09"/>
    <w:rsid w:val="0022230B"/>
    <w:rsid w:val="00235A87"/>
    <w:rsid w:val="00253F00"/>
    <w:rsid w:val="00265E48"/>
    <w:rsid w:val="00272BFB"/>
    <w:rsid w:val="00281D03"/>
    <w:rsid w:val="00291F6C"/>
    <w:rsid w:val="002E7287"/>
    <w:rsid w:val="00320A2D"/>
    <w:rsid w:val="00331D6A"/>
    <w:rsid w:val="003366E2"/>
    <w:rsid w:val="0035417D"/>
    <w:rsid w:val="00377A2E"/>
    <w:rsid w:val="003801CD"/>
    <w:rsid w:val="00387418"/>
    <w:rsid w:val="003B4507"/>
    <w:rsid w:val="003E46B9"/>
    <w:rsid w:val="004049CA"/>
    <w:rsid w:val="00414718"/>
    <w:rsid w:val="00414F64"/>
    <w:rsid w:val="00417249"/>
    <w:rsid w:val="004528A3"/>
    <w:rsid w:val="004869F7"/>
    <w:rsid w:val="00487A45"/>
    <w:rsid w:val="0049236F"/>
    <w:rsid w:val="004949AD"/>
    <w:rsid w:val="00496C67"/>
    <w:rsid w:val="004C7B83"/>
    <w:rsid w:val="004F2B78"/>
    <w:rsid w:val="004F384D"/>
    <w:rsid w:val="0050070A"/>
    <w:rsid w:val="00501A18"/>
    <w:rsid w:val="005021E7"/>
    <w:rsid w:val="00520AB3"/>
    <w:rsid w:val="00531C86"/>
    <w:rsid w:val="005321DA"/>
    <w:rsid w:val="00534F1E"/>
    <w:rsid w:val="00540545"/>
    <w:rsid w:val="005509D7"/>
    <w:rsid w:val="00551E48"/>
    <w:rsid w:val="0056566B"/>
    <w:rsid w:val="00573978"/>
    <w:rsid w:val="00583578"/>
    <w:rsid w:val="005B118D"/>
    <w:rsid w:val="005B67EA"/>
    <w:rsid w:val="005C74EE"/>
    <w:rsid w:val="005D698D"/>
    <w:rsid w:val="005E58E2"/>
    <w:rsid w:val="005E7601"/>
    <w:rsid w:val="005E7D92"/>
    <w:rsid w:val="005F72CB"/>
    <w:rsid w:val="00644E1F"/>
    <w:rsid w:val="00673228"/>
    <w:rsid w:val="00693F8B"/>
    <w:rsid w:val="00694E3D"/>
    <w:rsid w:val="00696295"/>
    <w:rsid w:val="006C0DFC"/>
    <w:rsid w:val="006C63CF"/>
    <w:rsid w:val="00700545"/>
    <w:rsid w:val="00722DF5"/>
    <w:rsid w:val="0072437D"/>
    <w:rsid w:val="00725CDC"/>
    <w:rsid w:val="00735CCD"/>
    <w:rsid w:val="00765B23"/>
    <w:rsid w:val="00772A0E"/>
    <w:rsid w:val="00795616"/>
    <w:rsid w:val="00797900"/>
    <w:rsid w:val="007C36DB"/>
    <w:rsid w:val="007D0250"/>
    <w:rsid w:val="007D1031"/>
    <w:rsid w:val="007D34FC"/>
    <w:rsid w:val="007E569E"/>
    <w:rsid w:val="007F0502"/>
    <w:rsid w:val="00810D34"/>
    <w:rsid w:val="0081268C"/>
    <w:rsid w:val="00817047"/>
    <w:rsid w:val="0082678B"/>
    <w:rsid w:val="00827E79"/>
    <w:rsid w:val="0083466D"/>
    <w:rsid w:val="0084003A"/>
    <w:rsid w:val="00842F57"/>
    <w:rsid w:val="00855194"/>
    <w:rsid w:val="00855A17"/>
    <w:rsid w:val="00857443"/>
    <w:rsid w:val="008A0012"/>
    <w:rsid w:val="008B7C41"/>
    <w:rsid w:val="008E31FF"/>
    <w:rsid w:val="008E377D"/>
    <w:rsid w:val="008E3C51"/>
    <w:rsid w:val="008F2218"/>
    <w:rsid w:val="008F53CE"/>
    <w:rsid w:val="008F7B29"/>
    <w:rsid w:val="0090226D"/>
    <w:rsid w:val="00910516"/>
    <w:rsid w:val="00924163"/>
    <w:rsid w:val="00943258"/>
    <w:rsid w:val="00974D43"/>
    <w:rsid w:val="00982DE8"/>
    <w:rsid w:val="009B457C"/>
    <w:rsid w:val="009D7053"/>
    <w:rsid w:val="009F2E04"/>
    <w:rsid w:val="00A049FC"/>
    <w:rsid w:val="00A33116"/>
    <w:rsid w:val="00A41077"/>
    <w:rsid w:val="00A80B46"/>
    <w:rsid w:val="00AC0EDF"/>
    <w:rsid w:val="00AC1CB5"/>
    <w:rsid w:val="00AD3528"/>
    <w:rsid w:val="00B04A7B"/>
    <w:rsid w:val="00B14A81"/>
    <w:rsid w:val="00B25AE8"/>
    <w:rsid w:val="00B33C7D"/>
    <w:rsid w:val="00B35C0F"/>
    <w:rsid w:val="00B55AC5"/>
    <w:rsid w:val="00B6363E"/>
    <w:rsid w:val="00BA2544"/>
    <w:rsid w:val="00BA795B"/>
    <w:rsid w:val="00C03A30"/>
    <w:rsid w:val="00C03B4C"/>
    <w:rsid w:val="00C0456B"/>
    <w:rsid w:val="00C65780"/>
    <w:rsid w:val="00C809A4"/>
    <w:rsid w:val="00CA4E90"/>
    <w:rsid w:val="00CB5FC5"/>
    <w:rsid w:val="00CD23E2"/>
    <w:rsid w:val="00D30DBA"/>
    <w:rsid w:val="00D32740"/>
    <w:rsid w:val="00D36AF3"/>
    <w:rsid w:val="00D54F0E"/>
    <w:rsid w:val="00D83D1E"/>
    <w:rsid w:val="00D919E3"/>
    <w:rsid w:val="00D975C5"/>
    <w:rsid w:val="00DB20E2"/>
    <w:rsid w:val="00DD0354"/>
    <w:rsid w:val="00DE0162"/>
    <w:rsid w:val="00DE0552"/>
    <w:rsid w:val="00DF5478"/>
    <w:rsid w:val="00E05790"/>
    <w:rsid w:val="00E225C7"/>
    <w:rsid w:val="00E227D0"/>
    <w:rsid w:val="00E2744B"/>
    <w:rsid w:val="00E90F3C"/>
    <w:rsid w:val="00E94FCD"/>
    <w:rsid w:val="00E968BB"/>
    <w:rsid w:val="00EB4346"/>
    <w:rsid w:val="00EC67CC"/>
    <w:rsid w:val="00ED2E6F"/>
    <w:rsid w:val="00EE3903"/>
    <w:rsid w:val="00F11B2C"/>
    <w:rsid w:val="00F22B73"/>
    <w:rsid w:val="00F25A40"/>
    <w:rsid w:val="00F86D73"/>
    <w:rsid w:val="00F96D3A"/>
    <w:rsid w:val="00FA6EAA"/>
    <w:rsid w:val="00FB3A3F"/>
    <w:rsid w:val="00FC63CA"/>
    <w:rsid w:val="00FD5AC0"/>
    <w:rsid w:val="00FD7A43"/>
    <w:rsid w:val="00FF22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79058"/>
  <w15:chartTrackingRefBased/>
  <w15:docId w15:val="{F0C6A3BD-F759-4061-B0A4-3B297D5E6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501A18"/>
    <w:pPr>
      <w:spacing w:after="0" w:line="360"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501A18"/>
    <w:rPr>
      <w:rFonts w:ascii="Arial" w:eastAsia="Calibri" w:hAnsi="Arial" w:cs="Times New Roman"/>
      <w:b/>
      <w:szCs w:val="24"/>
    </w:rPr>
  </w:style>
  <w:style w:type="paragraph" w:styleId="SemEspaamento">
    <w:name w:val="No Spacing"/>
    <w:aliases w:val="Texto numerad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paragraph" w:styleId="Textodenotaderodap">
    <w:name w:val="footnote text"/>
    <w:basedOn w:val="Normal"/>
    <w:link w:val="TextodenotaderodapChar"/>
    <w:uiPriority w:val="99"/>
    <w:semiHidden/>
    <w:unhideWhenUsed/>
    <w:rsid w:val="008E3C5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E3C51"/>
    <w:rPr>
      <w:sz w:val="20"/>
      <w:szCs w:val="20"/>
    </w:rPr>
  </w:style>
  <w:style w:type="character" w:styleId="Refdenotaderodap">
    <w:name w:val="footnote reference"/>
    <w:basedOn w:val="Fontepargpadro"/>
    <w:uiPriority w:val="99"/>
    <w:semiHidden/>
    <w:unhideWhenUsed/>
    <w:rsid w:val="008E3C51"/>
    <w:rPr>
      <w:vertAlign w:val="superscript"/>
    </w:rPr>
  </w:style>
  <w:style w:type="paragraph" w:styleId="NormalWeb">
    <w:name w:val="Normal (Web)"/>
    <w:basedOn w:val="Normal"/>
    <w:uiPriority w:val="99"/>
    <w:semiHidden/>
    <w:unhideWhenUsed/>
    <w:rsid w:val="00644E1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Template>
  <TotalTime>69</TotalTime>
  <Pages>7</Pages>
  <Words>2037</Words>
  <Characters>11000</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62</cp:revision>
  <cp:lastPrinted>2025-08-12T20:13:00Z</cp:lastPrinted>
  <dcterms:created xsi:type="dcterms:W3CDTF">2025-08-12T20:13:00Z</dcterms:created>
  <dcterms:modified xsi:type="dcterms:W3CDTF">2025-08-12T22:57:00Z</dcterms:modified>
</cp:coreProperties>
</file>