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5E742" w14:textId="538AC142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</w:t>
      </w:r>
      <w:r w:rsidR="006E1D1A">
        <w:rPr>
          <w:rFonts w:ascii="Arial" w:eastAsia="Calibri" w:hAnsi="Arial" w:cs="Times New Roman"/>
          <w:sz w:val="24"/>
          <w:szCs w:val="24"/>
        </w:rPr>
        <w:t>A</w:t>
      </w:r>
      <w:r w:rsidR="003F66B2">
        <w:rPr>
          <w:rFonts w:ascii="Arial" w:eastAsia="Calibri" w:hAnsi="Arial" w:cs="Times New Roman"/>
          <w:sz w:val="24"/>
          <w:szCs w:val="24"/>
        </w:rPr>
        <w:t xml:space="preserve"> SENHOR</w:t>
      </w:r>
      <w:r w:rsidR="006E1D1A">
        <w:rPr>
          <w:rFonts w:ascii="Arial" w:eastAsia="Calibri" w:hAnsi="Arial" w:cs="Times New Roman"/>
          <w:sz w:val="24"/>
          <w:szCs w:val="24"/>
        </w:rPr>
        <w:t>A</w:t>
      </w:r>
      <w:r w:rsidR="003F66B2">
        <w:rPr>
          <w:rFonts w:ascii="Arial" w:eastAsia="Calibri" w:hAnsi="Arial" w:cs="Times New Roman"/>
          <w:sz w:val="24"/>
          <w:szCs w:val="24"/>
        </w:rPr>
        <w:t xml:space="preserve"> DESEMBARGADOR</w:t>
      </w:r>
      <w:r w:rsidR="006E1D1A">
        <w:rPr>
          <w:rFonts w:ascii="Arial" w:eastAsia="Calibri" w:hAnsi="Arial" w:cs="Times New Roman"/>
          <w:sz w:val="24"/>
          <w:szCs w:val="24"/>
        </w:rPr>
        <w:t>A</w:t>
      </w:r>
      <w:r w:rsidR="003F66B2">
        <w:rPr>
          <w:rFonts w:ascii="Arial" w:eastAsia="Calibri" w:hAnsi="Arial" w:cs="Times New Roman"/>
          <w:sz w:val="24"/>
          <w:szCs w:val="24"/>
        </w:rPr>
        <w:t xml:space="preserve"> FEDERAL </w:t>
      </w:r>
      <w:r w:rsidR="006E1D1A" w:rsidRPr="006E1D1A">
        <w:rPr>
          <w:rFonts w:ascii="Arial" w:eastAsia="Calibri" w:hAnsi="Arial" w:cs="Times New Roman"/>
          <w:sz w:val="24"/>
          <w:szCs w:val="24"/>
        </w:rPr>
        <w:t>ANA PAULA DE BORTOLI</w:t>
      </w:r>
      <w:r w:rsidR="003F66B2">
        <w:rPr>
          <w:rFonts w:ascii="Arial" w:eastAsia="Calibri" w:hAnsi="Arial" w:cs="Times New Roman"/>
          <w:sz w:val="24"/>
          <w:szCs w:val="24"/>
        </w:rPr>
        <w:t>, DIGNÍSSIM</w:t>
      </w:r>
      <w:r w:rsidR="006E1D1A">
        <w:rPr>
          <w:rFonts w:ascii="Arial" w:eastAsia="Calibri" w:hAnsi="Arial" w:cs="Times New Roman"/>
          <w:sz w:val="24"/>
          <w:szCs w:val="24"/>
        </w:rPr>
        <w:t>A</w:t>
      </w:r>
      <w:r w:rsidR="003F66B2">
        <w:rPr>
          <w:rFonts w:ascii="Arial" w:eastAsia="Calibri" w:hAnsi="Arial" w:cs="Times New Roman"/>
          <w:sz w:val="24"/>
          <w:szCs w:val="24"/>
        </w:rPr>
        <w:t xml:space="preserve"> RELATOR</w:t>
      </w:r>
      <w:r w:rsidR="006E1D1A">
        <w:rPr>
          <w:rFonts w:ascii="Arial" w:eastAsia="Calibri" w:hAnsi="Arial" w:cs="Times New Roman"/>
          <w:sz w:val="24"/>
          <w:szCs w:val="24"/>
        </w:rPr>
        <w:t>A</w:t>
      </w:r>
      <w:r w:rsidR="003F66B2">
        <w:rPr>
          <w:rFonts w:ascii="Arial" w:eastAsia="Calibri" w:hAnsi="Arial" w:cs="Times New Roman"/>
          <w:sz w:val="24"/>
          <w:szCs w:val="24"/>
        </w:rPr>
        <w:t xml:space="preserve"> DO</w:t>
      </w:r>
      <w:r w:rsidR="006E1D1A">
        <w:rPr>
          <w:rFonts w:ascii="Arial" w:eastAsia="Calibri" w:hAnsi="Arial" w:cs="Times New Roman"/>
          <w:sz w:val="24"/>
          <w:szCs w:val="24"/>
        </w:rPr>
        <w:t>S ACLARATÓRIOS NO</w:t>
      </w:r>
      <w:r w:rsidR="003F66B2">
        <w:rPr>
          <w:rFonts w:ascii="Arial" w:eastAsia="Calibri" w:hAnsi="Arial" w:cs="Times New Roman"/>
          <w:sz w:val="24"/>
          <w:szCs w:val="24"/>
        </w:rPr>
        <w:t xml:space="preserve"> RECURSO EM SENTIDO ESTRITO N. </w:t>
      </w:r>
      <w:r w:rsidR="008C4C26" w:rsidRPr="008C4C26">
        <w:rPr>
          <w:rFonts w:ascii="Arial" w:eastAsia="Calibri" w:hAnsi="Arial" w:cs="Times New Roman"/>
          <w:sz w:val="24"/>
          <w:szCs w:val="24"/>
        </w:rPr>
        <w:t>5002238-85.2025.4.04.7208</w:t>
      </w:r>
    </w:p>
    <w:p w14:paraId="6845B5C7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094CBE7" w14:textId="77777777" w:rsidR="00960658" w:rsidRDefault="00960658" w:rsidP="00CC0544">
      <w:pPr>
        <w:spacing w:after="0" w:line="360" w:lineRule="auto"/>
        <w:contextualSpacing/>
        <w:jc w:val="both"/>
        <w:rPr>
          <w:rFonts w:ascii="Arial" w:eastAsia="Calibri" w:hAnsi="Arial" w:cs="Times New Roman"/>
          <w:sz w:val="16"/>
          <w:szCs w:val="16"/>
        </w:rPr>
      </w:pPr>
    </w:p>
    <w:p w14:paraId="2294F329" w14:textId="77777777" w:rsidR="009A18D0" w:rsidRDefault="009A18D0" w:rsidP="00CC0544">
      <w:pPr>
        <w:spacing w:after="0" w:line="360" w:lineRule="auto"/>
        <w:contextualSpacing/>
        <w:jc w:val="both"/>
        <w:rPr>
          <w:rFonts w:ascii="Arial" w:eastAsia="Calibri" w:hAnsi="Arial" w:cs="Times New Roman"/>
          <w:sz w:val="16"/>
          <w:szCs w:val="16"/>
        </w:rPr>
      </w:pPr>
    </w:p>
    <w:p w14:paraId="2979E462" w14:textId="77777777" w:rsidR="009A18D0" w:rsidRPr="00C45BD2" w:rsidRDefault="009A18D0" w:rsidP="00CC0544">
      <w:pPr>
        <w:spacing w:after="0" w:line="360" w:lineRule="auto"/>
        <w:contextualSpacing/>
        <w:jc w:val="both"/>
        <w:rPr>
          <w:rFonts w:ascii="Arial" w:eastAsia="Calibri" w:hAnsi="Arial" w:cs="Times New Roman"/>
          <w:sz w:val="16"/>
          <w:szCs w:val="16"/>
        </w:rPr>
      </w:pPr>
    </w:p>
    <w:p w14:paraId="30ACF50F" w14:textId="2C06B51D" w:rsidR="000169F1" w:rsidRPr="008C4C26" w:rsidRDefault="008C4C26" w:rsidP="008C4C26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8C4C26">
        <w:rPr>
          <w:rFonts w:ascii="Arial" w:eastAsia="Calibri" w:hAnsi="Arial" w:cs="Times New Roman"/>
        </w:rPr>
        <w:t>Autos n. 5002238-85.2025.4.04.7208</w:t>
      </w:r>
    </w:p>
    <w:p w14:paraId="088E3BA1" w14:textId="77777777" w:rsidR="00960658" w:rsidRDefault="00960658" w:rsidP="00CC0544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16"/>
          <w:szCs w:val="16"/>
        </w:rPr>
      </w:pPr>
    </w:p>
    <w:p w14:paraId="30C51488" w14:textId="77777777" w:rsidR="009A18D0" w:rsidRDefault="009A18D0" w:rsidP="00CC0544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16"/>
          <w:szCs w:val="16"/>
        </w:rPr>
      </w:pPr>
    </w:p>
    <w:p w14:paraId="18CDA3B2" w14:textId="77777777" w:rsidR="009A18D0" w:rsidRDefault="009A18D0" w:rsidP="00CC0544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16"/>
          <w:szCs w:val="16"/>
        </w:rPr>
      </w:pPr>
    </w:p>
    <w:p w14:paraId="3885F096" w14:textId="77777777" w:rsidR="009A18D0" w:rsidRPr="00C45BD2" w:rsidRDefault="009A18D0" w:rsidP="00CC0544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16"/>
          <w:szCs w:val="16"/>
        </w:rPr>
      </w:pPr>
    </w:p>
    <w:p w14:paraId="61652F60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1D76140" w14:textId="313ACCF5" w:rsidR="000169F1" w:rsidRPr="008C4C26" w:rsidRDefault="008C4C26" w:rsidP="000169F1">
      <w:pPr>
        <w:pStyle w:val="Qualificaodaspartes"/>
      </w:pPr>
      <w:r>
        <w:rPr>
          <w:b/>
        </w:rPr>
        <w:t>WELLINGTON RODRIGUES FERREIRA</w:t>
      </w:r>
      <w:r w:rsidR="000169F1" w:rsidRPr="00A814BD">
        <w:t xml:space="preserve">, </w:t>
      </w:r>
      <w:r>
        <w:t>já qualificado nos autos do</w:t>
      </w:r>
      <w:r w:rsidR="006E1D1A">
        <w:t>s embargos de declaração no</w:t>
      </w:r>
      <w:r>
        <w:t xml:space="preserve"> recurso em sentido estrito n. </w:t>
      </w:r>
      <w:r w:rsidRPr="002D6CB1">
        <w:rPr>
          <w:rFonts w:eastAsia="Calibri" w:cs="Times New Roman"/>
        </w:rPr>
        <w:t>5002238-85.2025.4.04.7208</w:t>
      </w:r>
      <w:r>
        <w:rPr>
          <w:rFonts w:eastAsia="Calibri" w:cs="Times New Roman"/>
        </w:rPr>
        <w:t xml:space="preserve">, em que são recorridos a MATTEL INC e o </w:t>
      </w:r>
      <w:r w:rsidR="00DD0825">
        <w:rPr>
          <w:rFonts w:eastAsia="Calibri" w:cs="Times New Roman"/>
        </w:rPr>
        <w:t>MINISTÉRIO PÚBLICO FEDERAL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 w:rsidR="00234CAB">
        <w:t xml:space="preserve">em atenção à intimação do evento 34, apresentar, a tempo e modo, </w:t>
      </w:r>
      <w:r w:rsidR="00234CAB">
        <w:rPr>
          <w:b/>
          <w:i/>
        </w:rPr>
        <w:t xml:space="preserve">CONTRARRAZÕES </w:t>
      </w:r>
      <w:r w:rsidR="00234CAB">
        <w:rPr>
          <w:iCs/>
        </w:rPr>
        <w:t>aos embargos de declaratórios opostos no evento 29</w:t>
      </w:r>
      <w:r w:rsidR="00234CAB">
        <w:t>, pelas razões de fato e de direito a seguir expostas</w:t>
      </w:r>
      <w:r>
        <w:t>.</w:t>
      </w:r>
    </w:p>
    <w:p w14:paraId="7CFFFC81" w14:textId="77777777" w:rsidR="009A5988" w:rsidRPr="00CC0544" w:rsidRDefault="009A5988" w:rsidP="009A5988">
      <w:pPr>
        <w:pStyle w:val="SemEspaamento"/>
        <w:numPr>
          <w:ilvl w:val="0"/>
          <w:numId w:val="0"/>
        </w:numPr>
        <w:rPr>
          <w:sz w:val="28"/>
          <w:szCs w:val="24"/>
        </w:rPr>
      </w:pPr>
    </w:p>
    <w:p w14:paraId="688C19E3" w14:textId="0622B6BF" w:rsidR="009A5988" w:rsidRDefault="009A5988" w:rsidP="009A5988">
      <w:pPr>
        <w:pStyle w:val="Ttulo"/>
      </w:pPr>
      <w:r>
        <w:t>I – SÍNTESE DOS ACLARATÓRIOS</w:t>
      </w:r>
    </w:p>
    <w:p w14:paraId="58E2DA09" w14:textId="77777777" w:rsidR="009A5988" w:rsidRPr="009A5988" w:rsidRDefault="009A5988" w:rsidP="009A5988"/>
    <w:p w14:paraId="03D38C1C" w14:textId="546AE454" w:rsidR="002E6D0A" w:rsidRDefault="009A5988" w:rsidP="002E6D0A">
      <w:pPr>
        <w:pStyle w:val="SemEspaamento"/>
      </w:pPr>
      <w:r>
        <w:t xml:space="preserve">Em suma, </w:t>
      </w:r>
      <w:r w:rsidR="00B444FD">
        <w:t xml:space="preserve">após o provimento do recurso em sentido estrito para reconhecer a consumação da decadência no caso em tela, </w:t>
      </w:r>
      <w:r w:rsidR="005232B1">
        <w:t>a</w:t>
      </w:r>
      <w:r>
        <w:t xml:space="preserve"> embargante</w:t>
      </w:r>
      <w:r w:rsidR="00B444FD">
        <w:t xml:space="preserve"> a</w:t>
      </w:r>
      <w:r w:rsidR="00287E14">
        <w:t>lega</w:t>
      </w:r>
      <w:r w:rsidR="00003DFD">
        <w:t>, inicialmente,</w:t>
      </w:r>
      <w:r w:rsidR="00287E14">
        <w:t xml:space="preserve"> que o acórdão padeceria de omissão</w:t>
      </w:r>
      <w:r w:rsidR="004C08BA">
        <w:t xml:space="preserve"> ou</w:t>
      </w:r>
      <w:r w:rsidR="00864EAF">
        <w:t xml:space="preserve"> </w:t>
      </w:r>
      <w:r w:rsidR="00287E14">
        <w:t>contradição</w:t>
      </w:r>
      <w:r w:rsidR="00864EAF">
        <w:t xml:space="preserve">, </w:t>
      </w:r>
      <w:r w:rsidR="00287E14">
        <w:t xml:space="preserve">por </w:t>
      </w:r>
      <w:r w:rsidR="00994699">
        <w:t>supostamente</w:t>
      </w:r>
      <w:r w:rsidR="00287E14">
        <w:t xml:space="preserve"> </w:t>
      </w:r>
      <w:r w:rsidR="00D24A8B">
        <w:t>não ter sido utilizado o entendimento do Superior Tribunal de Justiça</w:t>
      </w:r>
      <w:r w:rsidR="00994699">
        <w:t xml:space="preserve"> no sentido</w:t>
      </w:r>
      <w:r w:rsidR="00D24A8B">
        <w:t xml:space="preserve"> de que deveriam ser aplicados, concomitantemente, o art. 38 e o art. 529 do CPP</w:t>
      </w:r>
      <w:r w:rsidR="00003DFD">
        <w:t xml:space="preserve"> </w:t>
      </w:r>
      <w:r w:rsidR="00003DFD" w:rsidRPr="00707337">
        <w:rPr>
          <w:sz w:val="20"/>
          <w:szCs w:val="18"/>
        </w:rPr>
        <w:t>(evento 29, p. 2/3)</w:t>
      </w:r>
      <w:r w:rsidR="00D24A8B">
        <w:t>.</w:t>
      </w:r>
    </w:p>
    <w:p w14:paraId="5CECE9E1" w14:textId="5B5794FC" w:rsidR="00D24A8B" w:rsidRDefault="005232B1" w:rsidP="002E6D0A">
      <w:pPr>
        <w:pStyle w:val="SemEspaamento"/>
      </w:pPr>
      <w:r>
        <w:t>A</w:t>
      </w:r>
      <w:r w:rsidR="00D24A8B">
        <w:t xml:space="preserve"> embargante sustenta que</w:t>
      </w:r>
      <w:r w:rsidR="00825217">
        <w:t xml:space="preserve"> o aresto embargado teria </w:t>
      </w:r>
      <w:r w:rsidR="00D24A8B">
        <w:t>“</w:t>
      </w:r>
      <w:r w:rsidR="00D24A8B" w:rsidRPr="0033564F">
        <w:rPr>
          <w:i/>
          <w:iCs/>
        </w:rPr>
        <w:t>utilizado tão somente a norma geral prevista no art. 38 do CPP</w:t>
      </w:r>
      <w:r w:rsidR="00D24A8B">
        <w:t>”</w:t>
      </w:r>
      <w:r w:rsidR="005D7D30">
        <w:t>,</w:t>
      </w:r>
      <w:r w:rsidR="00B84B89">
        <w:t xml:space="preserve"> que define o prazo decadencial de 6 meses para ajuizamento da </w:t>
      </w:r>
      <w:r w:rsidR="005F77CB">
        <w:t>ação penal</w:t>
      </w:r>
      <w:r w:rsidR="00B84B89">
        <w:t xml:space="preserve"> privada,</w:t>
      </w:r>
      <w:r w:rsidR="005D7D30">
        <w:t xml:space="preserve"> </w:t>
      </w:r>
      <w:r w:rsidR="00B84B89">
        <w:t xml:space="preserve">sob a alegação de </w:t>
      </w:r>
      <w:r w:rsidR="005D7D30">
        <w:t>que “</w:t>
      </w:r>
      <w:r w:rsidR="005D7D30" w:rsidRPr="005D7D30">
        <w:rPr>
          <w:i/>
          <w:iCs/>
        </w:rPr>
        <w:t>o laudo pericial é o principal elemento de prova (“Corpo de delito”) e deve sempre acompanhar a petição inicial, sob pena de rejeição liminar da queixa</w:t>
      </w:r>
      <w:r w:rsidR="00825217">
        <w:rPr>
          <w:i/>
          <w:iCs/>
        </w:rPr>
        <w:t>¹</w:t>
      </w:r>
      <w:r w:rsidR="005D7D30" w:rsidRPr="005D7D30">
        <w:rPr>
          <w:i/>
          <w:iCs/>
        </w:rPr>
        <w:t xml:space="preserve"> (art. 525, do CPP)</w:t>
      </w:r>
      <w:r w:rsidR="005D7D30">
        <w:t>”</w:t>
      </w:r>
      <w:r w:rsidR="00825217">
        <w:t xml:space="preserve"> </w:t>
      </w:r>
      <w:r w:rsidR="00D24A8B" w:rsidRPr="0027757B">
        <w:rPr>
          <w:sz w:val="20"/>
          <w:szCs w:val="18"/>
        </w:rPr>
        <w:t xml:space="preserve">(evento 29, p. </w:t>
      </w:r>
      <w:r w:rsidR="0027757B" w:rsidRPr="0027757B">
        <w:rPr>
          <w:sz w:val="20"/>
          <w:szCs w:val="18"/>
        </w:rPr>
        <w:t>3/4)</w:t>
      </w:r>
      <w:r w:rsidR="0027757B">
        <w:t>.</w:t>
      </w:r>
    </w:p>
    <w:p w14:paraId="74FC5708" w14:textId="37E0FC0E" w:rsidR="005D7D30" w:rsidRDefault="005D7D30" w:rsidP="002E6D0A">
      <w:pPr>
        <w:pStyle w:val="SemEspaamento"/>
      </w:pPr>
      <w:r>
        <w:lastRenderedPageBreak/>
        <w:t xml:space="preserve">Na sequência, </w:t>
      </w:r>
      <w:r w:rsidR="00825217">
        <w:t>aduz que seria “</w:t>
      </w:r>
      <w:r w:rsidR="00825217" w:rsidRPr="00825217">
        <w:rPr>
          <w:i/>
          <w:iCs/>
        </w:rPr>
        <w:t>óbvio que a vítima (ora Embargante) precisou aguardar a conclusão da perícia no bojo do procedimento preparatório para poder ajuizar a respectiva ação pena privada</w:t>
      </w:r>
      <w:r w:rsidR="00825217">
        <w:t>”</w:t>
      </w:r>
      <w:r w:rsidR="00D95691">
        <w:t xml:space="preserve"> </w:t>
      </w:r>
      <w:r w:rsidR="00D95691" w:rsidRPr="00D95691">
        <w:rPr>
          <w:sz w:val="20"/>
          <w:szCs w:val="18"/>
        </w:rPr>
        <w:t>(evento 29, p. 4)</w:t>
      </w:r>
      <w:r w:rsidR="00825217">
        <w:t>.</w:t>
      </w:r>
    </w:p>
    <w:p w14:paraId="22A704FB" w14:textId="14D4F92D" w:rsidR="00D95691" w:rsidRDefault="00D95691" w:rsidP="002E6D0A">
      <w:pPr>
        <w:pStyle w:val="SemEspaamento"/>
      </w:pPr>
      <w:r>
        <w:t xml:space="preserve">Argumenta </w:t>
      </w:r>
      <w:r w:rsidR="003C0F40">
        <w:t>a</w:t>
      </w:r>
      <w:r>
        <w:t xml:space="preserve"> recorrente, ainda, que</w:t>
      </w:r>
      <w:r w:rsidR="005F5ACF">
        <w:t>,</w:t>
      </w:r>
      <w:r>
        <w:t xml:space="preserve"> </w:t>
      </w:r>
      <w:r w:rsidR="005F5ACF">
        <w:t>“</w:t>
      </w:r>
      <w:r w:rsidR="005F5ACF" w:rsidRPr="005F5ACF">
        <w:rPr>
          <w:i/>
          <w:iCs/>
        </w:rPr>
        <w:t>no caso concreto, foi impossível à embargante ter ajuizado sua queixa dentro de 6 meses contados da ciência da autoria delitiva, uma vez que ainda estava ausente o principal elemento de materialidade delitiva, isto é, o laudo pericial confirmando a infração a seus direitos autorais e marcários. Além disso, é fundamental destacar que essa demora não foi causada por sua inércia, mas sim pela demora característica do próprio procedimento preparatório</w:t>
      </w:r>
      <w:r w:rsidR="005F5ACF">
        <w:t xml:space="preserve">” </w:t>
      </w:r>
      <w:r w:rsidR="005F5ACF" w:rsidRPr="005F5ACF">
        <w:rPr>
          <w:sz w:val="20"/>
          <w:szCs w:val="18"/>
        </w:rPr>
        <w:t>(evento 29, p. 5)</w:t>
      </w:r>
      <w:r w:rsidR="005F5ACF">
        <w:t>.</w:t>
      </w:r>
    </w:p>
    <w:p w14:paraId="63F22B28" w14:textId="5E705379" w:rsidR="005F5ACF" w:rsidRDefault="005F5ACF" w:rsidP="00153F2C">
      <w:pPr>
        <w:pStyle w:val="SemEspaamento"/>
      </w:pPr>
      <w:r>
        <w:t xml:space="preserve">Em seguida, </w:t>
      </w:r>
      <w:r w:rsidR="005232B1">
        <w:t>a</w:t>
      </w:r>
      <w:r w:rsidR="00961632">
        <w:t xml:space="preserve"> embargante afirma que restaria “</w:t>
      </w:r>
      <w:r w:rsidR="00153F2C" w:rsidRPr="00153F2C">
        <w:rPr>
          <w:i/>
          <w:iCs/>
        </w:rPr>
        <w:t xml:space="preserve">evidente a obscuridade e contradição do v. aresto, pois apesar de preconizar a aplicação concomitante das regras atinentes aos prazos decadenciais previstas no CPP, acaba por empregar tão somente a norma do art. 38, em prejuízo a própria interpretação do Superior Tribunal de Justiça e negativa de vigência aos artigos 525 e 529 do CPP e aos direitos de Propriedade Imaterial da Embargante (arts. 189, inciso I, 190, inciso I, 195, inciso III e 129, da Lei nº 9.279/96), bem como </w:t>
      </w:r>
      <w:proofErr w:type="spellStart"/>
      <w:r w:rsidR="00153F2C" w:rsidRPr="00153F2C">
        <w:rPr>
          <w:i/>
          <w:iCs/>
        </w:rPr>
        <w:t>art</w:t>
      </w:r>
      <w:proofErr w:type="spellEnd"/>
      <w:r w:rsidR="00153F2C" w:rsidRPr="00153F2C">
        <w:rPr>
          <w:i/>
          <w:iCs/>
        </w:rPr>
        <w:t xml:space="preserve"> 184, “caput” do Código Penal, no qual o acórdão foi omisso em analisar, ora prequestionados</w:t>
      </w:r>
      <w:r w:rsidR="00153F2C">
        <w:t>”</w:t>
      </w:r>
      <w:r w:rsidR="00153F2C" w:rsidRPr="00153F2C">
        <w:rPr>
          <w:sz w:val="20"/>
          <w:szCs w:val="18"/>
        </w:rPr>
        <w:t xml:space="preserve"> </w:t>
      </w:r>
      <w:r w:rsidR="00153F2C" w:rsidRPr="005F5ACF">
        <w:rPr>
          <w:sz w:val="20"/>
          <w:szCs w:val="18"/>
        </w:rPr>
        <w:t>(evento 29, p. 5)</w:t>
      </w:r>
      <w:r w:rsidR="00153F2C">
        <w:t>.</w:t>
      </w:r>
    </w:p>
    <w:p w14:paraId="2DCA1C2B" w14:textId="49FB607D" w:rsidR="00153F2C" w:rsidRPr="00EE34DC" w:rsidRDefault="00DB7EF4" w:rsidP="00F16111">
      <w:pPr>
        <w:pStyle w:val="SemEspaamento"/>
      </w:pPr>
      <w:r>
        <w:t xml:space="preserve">Ao final, </w:t>
      </w:r>
      <w:r w:rsidR="005232B1">
        <w:t>a</w:t>
      </w:r>
      <w:r>
        <w:t xml:space="preserve"> embargante discorre sobre a</w:t>
      </w:r>
      <w:r w:rsidR="00526422">
        <w:t xml:space="preserve"> alegada existência de dissídio jurisprudencial e reafirma que o acórdão recorrido não teria aplicado “</w:t>
      </w:r>
      <w:r w:rsidR="00F16111" w:rsidRPr="00F16111">
        <w:rPr>
          <w:i/>
          <w:iCs/>
        </w:rPr>
        <w:t xml:space="preserve">a harmonização concomitante entre o art. 38 e 529 do CPP, </w:t>
      </w:r>
      <w:r w:rsidR="009D7575">
        <w:rPr>
          <w:i/>
          <w:iCs/>
        </w:rPr>
        <w:t xml:space="preserve">[assim como] </w:t>
      </w:r>
      <w:r w:rsidR="00F16111" w:rsidRPr="00F16111">
        <w:rPr>
          <w:i/>
          <w:iCs/>
        </w:rPr>
        <w:t>negou vigência aos artigos das leis federais apontados e, por fim, também diverge da jurisprudência consolidada de outros tribunais na análise da mesma matéria – a contagem do prazo decadencial em crimes contra a Propriedade Imaterial – e acaba por dar interpretação totalmente distinta ao tema</w:t>
      </w:r>
      <w:r w:rsidR="00F16111">
        <w:t xml:space="preserve">” </w:t>
      </w:r>
      <w:r w:rsidR="00F16111" w:rsidRPr="002F5527">
        <w:rPr>
          <w:sz w:val="20"/>
          <w:szCs w:val="18"/>
        </w:rPr>
        <w:t xml:space="preserve">(evento 29, p. </w:t>
      </w:r>
      <w:r w:rsidR="002F5527" w:rsidRPr="002F5527">
        <w:rPr>
          <w:sz w:val="20"/>
          <w:szCs w:val="18"/>
        </w:rPr>
        <w:t>5/10)</w:t>
      </w:r>
      <w:r w:rsidR="00F16111">
        <w:t xml:space="preserve">. </w:t>
      </w:r>
    </w:p>
    <w:p w14:paraId="65B2C817" w14:textId="78D6F110" w:rsidR="002E6D0A" w:rsidRDefault="00994699" w:rsidP="002E6D0A">
      <w:pPr>
        <w:pStyle w:val="SemEspaamento"/>
      </w:pPr>
      <w:r>
        <w:t xml:space="preserve">A despeito de tudo isso, </w:t>
      </w:r>
      <w:r w:rsidR="000F0AFD">
        <w:t>não há como acolher os vícios apontados</w:t>
      </w:r>
      <w:r w:rsidR="00B07047">
        <w:t xml:space="preserve">, </w:t>
      </w:r>
      <w:r w:rsidR="001F10E2">
        <w:t>sobretudo porque</w:t>
      </w:r>
      <w:r w:rsidR="00CB5D98">
        <w:t xml:space="preserve"> as suas teses foram devidamente enfrentadas, inclusive com a prolação de voto divergente</w:t>
      </w:r>
      <w:r w:rsidR="000F0AFD">
        <w:t>,</w:t>
      </w:r>
      <w:r w:rsidR="00CB5D98">
        <w:t xml:space="preserve"> e,</w:t>
      </w:r>
      <w:r w:rsidR="000F0AFD" w:rsidRPr="000F0AFD">
        <w:t xml:space="preserve"> </w:t>
      </w:r>
      <w:r w:rsidR="000F0AFD">
        <w:t xml:space="preserve">ao contrário do que sustenta </w:t>
      </w:r>
      <w:r w:rsidR="005232B1">
        <w:t>a</w:t>
      </w:r>
      <w:r w:rsidR="000F0AFD">
        <w:t xml:space="preserve"> embargante,</w:t>
      </w:r>
      <w:r w:rsidR="001F10E2">
        <w:t xml:space="preserve"> </w:t>
      </w:r>
      <w:r w:rsidR="001603FA">
        <w:t xml:space="preserve">a maioria dessa </w:t>
      </w:r>
      <w:r w:rsidR="00B07047">
        <w:t xml:space="preserve">Colenda Turma </w:t>
      </w:r>
      <w:r w:rsidR="001603FA">
        <w:t xml:space="preserve">seguiu o entendimento jurisprudencial </w:t>
      </w:r>
      <w:r w:rsidR="001F10E2">
        <w:t>atual</w:t>
      </w:r>
      <w:r w:rsidR="002E6D0A">
        <w:t xml:space="preserve"> </w:t>
      </w:r>
      <w:r w:rsidR="001603FA">
        <w:t>firmado pela digna Corte da Cidadania, que</w:t>
      </w:r>
      <w:r>
        <w:t>, de forma muito clara,</w:t>
      </w:r>
      <w:r w:rsidR="001603FA">
        <w:t xml:space="preserve"> concilia o art. 38 do CPP e o art. 529 do CPP para o reconhecimento da decadência no caso de ações penais privadas relativas a acusações de delitos marcários e de violação de direito autoral</w:t>
      </w:r>
      <w:r w:rsidR="001F10E2">
        <w:t>, como se verá a seguir</w:t>
      </w:r>
      <w:r w:rsidR="002E6D0A">
        <w:t>.</w:t>
      </w:r>
    </w:p>
    <w:p w14:paraId="0F0AFB0C" w14:textId="77777777" w:rsidR="001603FA" w:rsidRDefault="001603FA" w:rsidP="001603FA">
      <w:pPr>
        <w:pStyle w:val="SemEspaamento"/>
        <w:numPr>
          <w:ilvl w:val="0"/>
          <w:numId w:val="0"/>
        </w:numPr>
        <w:ind w:left="1701"/>
      </w:pPr>
    </w:p>
    <w:p w14:paraId="40F980D9" w14:textId="4F004E4F" w:rsidR="001603FA" w:rsidRDefault="001603FA" w:rsidP="001603FA">
      <w:pPr>
        <w:pStyle w:val="Ttulo"/>
      </w:pPr>
      <w:r>
        <w:t>II – DAS RAZÕES QUE CONDUZEM À REJEIÇÃO DOS EMBARGOS DE DECLARAÇ</w:t>
      </w:r>
      <w:r w:rsidR="00493C24">
        <w:t>ÃO</w:t>
      </w:r>
    </w:p>
    <w:p w14:paraId="493A49BE" w14:textId="1EE93A0D" w:rsidR="001603FA" w:rsidRDefault="001603FA" w:rsidP="001603FA">
      <w:pPr>
        <w:pStyle w:val="Ttulo"/>
        <w:spacing w:line="276" w:lineRule="auto"/>
      </w:pPr>
      <w:r>
        <w:t>II.1 – Ausência dos vícios apontados</w:t>
      </w:r>
      <w:r w:rsidR="00CC0544">
        <w:t>.</w:t>
      </w:r>
      <w:r>
        <w:t xml:space="preserve"> </w:t>
      </w:r>
      <w:r w:rsidR="00CC0544">
        <w:t xml:space="preserve">Mera </w:t>
      </w:r>
      <w:r>
        <w:t>tentativa de rediscussão d</w:t>
      </w:r>
      <w:r w:rsidR="00CC0544">
        <w:t>e</w:t>
      </w:r>
      <w:r>
        <w:t xml:space="preserve"> matéria já decidida</w:t>
      </w:r>
    </w:p>
    <w:p w14:paraId="6E5FEDE1" w14:textId="77777777" w:rsidR="001603FA" w:rsidRDefault="001603FA" w:rsidP="001603FA">
      <w:pPr>
        <w:rPr>
          <w:sz w:val="6"/>
          <w:szCs w:val="6"/>
        </w:rPr>
      </w:pPr>
    </w:p>
    <w:p w14:paraId="16014EA8" w14:textId="77777777" w:rsidR="00994699" w:rsidRPr="00994699" w:rsidRDefault="00994699" w:rsidP="001603FA">
      <w:pPr>
        <w:rPr>
          <w:sz w:val="6"/>
          <w:szCs w:val="6"/>
        </w:rPr>
      </w:pPr>
    </w:p>
    <w:p w14:paraId="377E0C3B" w14:textId="3EF130B2" w:rsidR="001603FA" w:rsidRDefault="00BB0E77" w:rsidP="005F77CB">
      <w:pPr>
        <w:pStyle w:val="SemEspaamento"/>
      </w:pPr>
      <w:r>
        <w:t>Dispensando</w:t>
      </w:r>
      <w:r w:rsidR="0049094D">
        <w:t xml:space="preserve"> maiores digressões, </w:t>
      </w:r>
      <w:r w:rsidR="00CB5D98">
        <w:t xml:space="preserve">Excelência, </w:t>
      </w:r>
      <w:r w:rsidR="005F77CB">
        <w:t>basta a leitura da</w:t>
      </w:r>
      <w:r w:rsidR="00994699">
        <w:t xml:space="preserve"> pretensão aclaratória</w:t>
      </w:r>
      <w:r w:rsidR="005F77CB">
        <w:t xml:space="preserve"> para se constatar que </w:t>
      </w:r>
      <w:r w:rsidR="003C0F40">
        <w:t>a</w:t>
      </w:r>
      <w:r w:rsidR="005F77CB">
        <w:t xml:space="preserve"> recorrente busca</w:t>
      </w:r>
      <w:r w:rsidR="000554DA">
        <w:t xml:space="preserve"> </w:t>
      </w:r>
      <w:r w:rsidR="000554DA" w:rsidRPr="00441AED">
        <w:rPr>
          <w:u w:val="single"/>
        </w:rPr>
        <w:t>somente</w:t>
      </w:r>
      <w:r w:rsidR="005F77CB" w:rsidRPr="00F53FF5">
        <w:t xml:space="preserve"> </w:t>
      </w:r>
      <w:r w:rsidR="005F77CB" w:rsidRPr="00CC0544">
        <w:rPr>
          <w:u w:val="single"/>
        </w:rPr>
        <w:t>rediscutir</w:t>
      </w:r>
      <w:r w:rsidR="005F77CB">
        <w:t xml:space="preserve"> </w:t>
      </w:r>
      <w:r w:rsidR="005F77CB" w:rsidRPr="00CC0544">
        <w:rPr>
          <w:u w:val="single"/>
        </w:rPr>
        <w:t>matéria</w:t>
      </w:r>
      <w:r w:rsidR="005F77CB">
        <w:t xml:space="preserve"> </w:t>
      </w:r>
      <w:r w:rsidR="005F77CB" w:rsidRPr="00CC0544">
        <w:rPr>
          <w:u w:val="single"/>
        </w:rPr>
        <w:t>de</w:t>
      </w:r>
      <w:r w:rsidR="005F77CB">
        <w:t xml:space="preserve"> </w:t>
      </w:r>
      <w:r w:rsidR="005F77CB" w:rsidRPr="00CC0544">
        <w:rPr>
          <w:u w:val="single"/>
        </w:rPr>
        <w:t>mérito</w:t>
      </w:r>
      <w:r w:rsidR="005F77CB">
        <w:t xml:space="preserve"> </w:t>
      </w:r>
      <w:r w:rsidR="005F77CB" w:rsidRPr="00CC0544">
        <w:rPr>
          <w:u w:val="single"/>
        </w:rPr>
        <w:t>já</w:t>
      </w:r>
      <w:r w:rsidR="005F77CB">
        <w:t xml:space="preserve"> </w:t>
      </w:r>
      <w:r w:rsidR="005F77CB" w:rsidRPr="00CC0544">
        <w:rPr>
          <w:u w:val="single"/>
        </w:rPr>
        <w:t>decidida</w:t>
      </w:r>
      <w:r w:rsidR="005F77CB">
        <w:t xml:space="preserve"> por esse nobre Órgão Jurisdicional, o que não é admitido pela via eleita</w:t>
      </w:r>
      <w:r w:rsidR="000B1DCF">
        <w:rPr>
          <w:rStyle w:val="Refdenotaderodap"/>
          <w:sz w:val="20"/>
          <w:szCs w:val="18"/>
        </w:rPr>
        <w:footnoteReference w:id="1"/>
      </w:r>
      <w:r w:rsidR="00374F5A">
        <w:t>, sobretudo porque</w:t>
      </w:r>
      <w:r>
        <w:t xml:space="preserve"> </w:t>
      </w:r>
      <w:r w:rsidR="005232B1">
        <w:t>a</w:t>
      </w:r>
      <w:r>
        <w:t xml:space="preserve"> embargante</w:t>
      </w:r>
      <w:r w:rsidR="00374F5A">
        <w:t xml:space="preserve"> </w:t>
      </w:r>
      <w:r w:rsidR="00374F5A" w:rsidRPr="009F6978">
        <w:rPr>
          <w:b/>
          <w:bCs/>
        </w:rPr>
        <w:t>pleiteia a aplicação isolada</w:t>
      </w:r>
      <w:r w:rsidR="00B650A0" w:rsidRPr="009F6978">
        <w:rPr>
          <w:b/>
          <w:bCs/>
        </w:rPr>
        <w:t xml:space="preserve"> do art. </w:t>
      </w:r>
      <w:r w:rsidR="0035228B" w:rsidRPr="009F6978">
        <w:rPr>
          <w:b/>
          <w:bCs/>
        </w:rPr>
        <w:t>529 do CPP</w:t>
      </w:r>
      <w:r w:rsidR="0035228B">
        <w:t>,</w:t>
      </w:r>
      <w:r w:rsidR="00D75D03">
        <w:t xml:space="preserve"> </w:t>
      </w:r>
      <w:r w:rsidR="008A1563">
        <w:t xml:space="preserve">sem considerar o art. 38 do CPP, </w:t>
      </w:r>
      <w:r w:rsidR="00316D52">
        <w:t>em razão do disposto</w:t>
      </w:r>
      <w:r w:rsidR="008A1563">
        <w:t xml:space="preserve"> </w:t>
      </w:r>
      <w:r w:rsidR="00316D52">
        <w:t>n</w:t>
      </w:r>
      <w:r w:rsidR="008A1563">
        <w:t xml:space="preserve">o </w:t>
      </w:r>
      <w:r w:rsidR="00D75D03">
        <w:t>art. 525 do CPP,</w:t>
      </w:r>
      <w:r w:rsidR="0035228B">
        <w:t xml:space="preserve"> para </w:t>
      </w:r>
      <w:r w:rsidR="008340E6">
        <w:t xml:space="preserve">sustentar a tese de </w:t>
      </w:r>
      <w:r w:rsidR="0035228B">
        <w:t>início do prazo decadencial somente após a homologação d</w:t>
      </w:r>
      <w:r w:rsidR="000554DA">
        <w:t>e</w:t>
      </w:r>
      <w:r w:rsidR="0035228B">
        <w:t xml:space="preserve"> laudo peri</w:t>
      </w:r>
      <w:r w:rsidR="00346E18">
        <w:t>cial em juízo</w:t>
      </w:r>
      <w:r w:rsidR="005F77CB">
        <w:t>.</w:t>
      </w:r>
    </w:p>
    <w:p w14:paraId="12ED0B46" w14:textId="2D441CEA" w:rsidR="00EE0E02" w:rsidRDefault="008340E6" w:rsidP="003E3DD0">
      <w:pPr>
        <w:pStyle w:val="SemEspaamento"/>
      </w:pPr>
      <w:r>
        <w:t>Contudo, c</w:t>
      </w:r>
      <w:r w:rsidR="007C4260">
        <w:t>omo se extrai do acórdão embargado, as teses deduzidas pel</w:t>
      </w:r>
      <w:r w:rsidR="005232B1">
        <w:t>a</w:t>
      </w:r>
      <w:r w:rsidR="007C4260">
        <w:t xml:space="preserve"> embargante foram devidamente consideradas</w:t>
      </w:r>
      <w:r w:rsidR="00E619AA">
        <w:t xml:space="preserve"> pelo aresto </w:t>
      </w:r>
      <w:r w:rsidR="007C4260">
        <w:t xml:space="preserve">e, inclusive, constaram do voto vencido </w:t>
      </w:r>
      <w:r w:rsidR="007C4260" w:rsidRPr="00180D83">
        <w:rPr>
          <w:sz w:val="20"/>
          <w:szCs w:val="18"/>
        </w:rPr>
        <w:t xml:space="preserve">(evento </w:t>
      </w:r>
      <w:r w:rsidR="00180D83" w:rsidRPr="00180D83">
        <w:rPr>
          <w:sz w:val="20"/>
          <w:szCs w:val="18"/>
        </w:rPr>
        <w:t>19</w:t>
      </w:r>
      <w:r w:rsidR="007C4260" w:rsidRPr="00180D83">
        <w:rPr>
          <w:sz w:val="20"/>
          <w:szCs w:val="18"/>
        </w:rPr>
        <w:t>)</w:t>
      </w:r>
      <w:r w:rsidR="00180D83">
        <w:t xml:space="preserve">, quando </w:t>
      </w:r>
      <w:r w:rsidR="006C7E8E">
        <w:t xml:space="preserve">o </w:t>
      </w:r>
      <w:r w:rsidR="001B1B31">
        <w:t xml:space="preserve">eminente Desembargador </w:t>
      </w:r>
      <w:proofErr w:type="spellStart"/>
      <w:r w:rsidR="00D465A0">
        <w:t>Loraci</w:t>
      </w:r>
      <w:proofErr w:type="spellEnd"/>
      <w:r w:rsidR="00D465A0">
        <w:t xml:space="preserve"> </w:t>
      </w:r>
      <w:r w:rsidR="006C7E8E">
        <w:t xml:space="preserve">Flores de Lima </w:t>
      </w:r>
      <w:r w:rsidR="003E665A">
        <w:t>entendeu</w:t>
      </w:r>
      <w:r w:rsidR="006C7E8E">
        <w:t xml:space="preserve"> </w:t>
      </w:r>
      <w:r w:rsidR="001B1B31">
        <w:t>que</w:t>
      </w:r>
      <w:r w:rsidR="00EC29FE">
        <w:t>, diante do art. 525 do CPP,</w:t>
      </w:r>
      <w:r w:rsidR="001B1B31">
        <w:t xml:space="preserve"> </w:t>
      </w:r>
      <w:r w:rsidR="002E4FFB">
        <w:t>“</w:t>
      </w:r>
      <w:r w:rsidR="002E4FFB" w:rsidRPr="002E4FFB">
        <w:rPr>
          <w:i/>
          <w:iCs/>
        </w:rPr>
        <w:t>Não parece razoável admitir</w:t>
      </w:r>
      <w:r w:rsidR="002E4FFB">
        <w:rPr>
          <w:i/>
          <w:iCs/>
        </w:rPr>
        <w:t xml:space="preserve"> [...]</w:t>
      </w:r>
      <w:r w:rsidR="002E4FFB" w:rsidRPr="002E4FFB">
        <w:rPr>
          <w:i/>
          <w:iCs/>
        </w:rPr>
        <w:t xml:space="preserve"> que a demora na conclusão do laudo seja imputável à suposta vítima, que exerceu o seu direito de ação dentro do trintídio de que trata o artigo 529 do CPP</w:t>
      </w:r>
      <w:r w:rsidR="002E4FFB">
        <w:t>”.</w:t>
      </w:r>
    </w:p>
    <w:p w14:paraId="06BC233B" w14:textId="4F1878C5" w:rsidR="009B507B" w:rsidRDefault="009B507B" w:rsidP="003E3DD0">
      <w:pPr>
        <w:pStyle w:val="SemEspaamento"/>
      </w:pPr>
      <w:r>
        <w:t>Fica evidente, p</w:t>
      </w:r>
      <w:r w:rsidR="00D50AFA">
        <w:t xml:space="preserve">ortanto, </w:t>
      </w:r>
      <w:r>
        <w:t xml:space="preserve">que se está diante de mero inconformismo </w:t>
      </w:r>
      <w:r w:rsidR="00D07459">
        <w:t>d</w:t>
      </w:r>
      <w:r w:rsidR="005232B1">
        <w:t>a</w:t>
      </w:r>
      <w:r w:rsidR="00D07459">
        <w:t xml:space="preserve"> embargante </w:t>
      </w:r>
      <w:r>
        <w:t>com a conclusão adotada pela maioria dessa Colenda Turma, o que</w:t>
      </w:r>
      <w:r w:rsidR="0035239D">
        <w:t xml:space="preserve"> já conduz à rejeição dos aclaratórios opostos.</w:t>
      </w:r>
    </w:p>
    <w:p w14:paraId="32A2D46A" w14:textId="77777777" w:rsidR="0035239D" w:rsidRDefault="0035239D" w:rsidP="003E3DD0">
      <w:pPr>
        <w:pStyle w:val="SemEspaamento"/>
      </w:pPr>
      <w:r>
        <w:t>Mas não é só.</w:t>
      </w:r>
    </w:p>
    <w:p w14:paraId="32BB43F5" w14:textId="7979DF25" w:rsidR="00224D73" w:rsidRDefault="0035239D" w:rsidP="003E3DD0">
      <w:pPr>
        <w:pStyle w:val="SemEspaamento"/>
      </w:pPr>
      <w:r>
        <w:t>D</w:t>
      </w:r>
      <w:r w:rsidR="009F6978">
        <w:t xml:space="preserve">iversamente do que sustenta </w:t>
      </w:r>
      <w:r w:rsidR="005232B1">
        <w:t>a</w:t>
      </w:r>
      <w:r w:rsidR="009F6978">
        <w:t xml:space="preserve"> embargante, </w:t>
      </w:r>
      <w:r>
        <w:t xml:space="preserve">o acórdão embargado não aplicou </w:t>
      </w:r>
      <w:r w:rsidR="00D75D03">
        <w:t xml:space="preserve">isoladamente o art. 38 do CPP, </w:t>
      </w:r>
      <w:r w:rsidR="00C23375">
        <w:t>mas o</w:t>
      </w:r>
      <w:r w:rsidR="00DD0EC7">
        <w:t xml:space="preserve"> utilizou em conjunto</w:t>
      </w:r>
      <w:r w:rsidR="00C23375">
        <w:t xml:space="preserve"> com o art. 529 do CPP, </w:t>
      </w:r>
      <w:r w:rsidR="00D75D03">
        <w:t xml:space="preserve">como se </w:t>
      </w:r>
      <w:r>
        <w:t xml:space="preserve">detalhará </w:t>
      </w:r>
      <w:r w:rsidR="00D75D03">
        <w:t>a seguir, o que afasta</w:t>
      </w:r>
      <w:r>
        <w:t>, de uma vez por todas,</w:t>
      </w:r>
      <w:r w:rsidR="00D50AFA">
        <w:t xml:space="preserve"> </w:t>
      </w:r>
      <w:r>
        <w:t>a existência d</w:t>
      </w:r>
      <w:r w:rsidR="00D50AFA">
        <w:t>os vícios apontados</w:t>
      </w:r>
      <w:r>
        <w:t xml:space="preserve"> </w:t>
      </w:r>
      <w:r w:rsidR="00475280">
        <w:t>nas razões recursais</w:t>
      </w:r>
      <w:r w:rsidR="00D75D03">
        <w:t>.</w:t>
      </w:r>
      <w:r>
        <w:t xml:space="preserve"> </w:t>
      </w:r>
    </w:p>
    <w:p w14:paraId="2D14206C" w14:textId="44E00B42" w:rsidR="003E3DD0" w:rsidRDefault="00D75D03" w:rsidP="003E3DD0">
      <w:pPr>
        <w:pStyle w:val="SemEspaamento"/>
      </w:pPr>
      <w:r>
        <w:t>Ora</w:t>
      </w:r>
      <w:r w:rsidR="007C4260">
        <w:t xml:space="preserve">, </w:t>
      </w:r>
      <w:r w:rsidR="003E3DD0">
        <w:t xml:space="preserve">o voto do ilustre Relator segue o entendimento sedimentado </w:t>
      </w:r>
      <w:r w:rsidR="007C4260">
        <w:t xml:space="preserve">e reafirmado </w:t>
      </w:r>
      <w:r w:rsidR="003E3DD0">
        <w:t>pel</w:t>
      </w:r>
      <w:r w:rsidR="00C60814">
        <w:t>a</w:t>
      </w:r>
      <w:r w:rsidR="003E3DD0">
        <w:t xml:space="preserve"> </w:t>
      </w:r>
      <w:r w:rsidR="00C60814">
        <w:t xml:space="preserve">Colenda Corte da Cidadania </w:t>
      </w:r>
      <w:r w:rsidR="003E3DD0" w:rsidRPr="007C4260">
        <w:rPr>
          <w:sz w:val="20"/>
          <w:szCs w:val="18"/>
        </w:rPr>
        <w:t>(REsp n. 1.762.142/MG, rel. Min. Sebastião Reis Júnior, 6ª Turma, j. em 13.4.2021)</w:t>
      </w:r>
      <w:r w:rsidR="003E3DD0">
        <w:t xml:space="preserve"> </w:t>
      </w:r>
      <w:r w:rsidR="003E3DD0" w:rsidRPr="007C4260">
        <w:rPr>
          <w:u w:val="single"/>
        </w:rPr>
        <w:t>e</w:t>
      </w:r>
      <w:r w:rsidR="003E3DD0">
        <w:t xml:space="preserve"> </w:t>
      </w:r>
      <w:r w:rsidR="003E3DD0" w:rsidRPr="007C4260">
        <w:rPr>
          <w:u w:val="single"/>
        </w:rPr>
        <w:t>por</w:t>
      </w:r>
      <w:r w:rsidR="003E3DD0">
        <w:t xml:space="preserve"> </w:t>
      </w:r>
      <w:r w:rsidR="003E3DD0" w:rsidRPr="007C4260">
        <w:rPr>
          <w:u w:val="single"/>
        </w:rPr>
        <w:t>esse</w:t>
      </w:r>
      <w:r w:rsidR="003E3DD0">
        <w:t xml:space="preserve"> </w:t>
      </w:r>
      <w:r w:rsidR="003E3DD0" w:rsidRPr="007C4260">
        <w:rPr>
          <w:u w:val="single"/>
        </w:rPr>
        <w:t>Egrégio</w:t>
      </w:r>
      <w:r w:rsidR="003E3DD0">
        <w:t xml:space="preserve"> </w:t>
      </w:r>
      <w:r w:rsidR="003E3DD0" w:rsidRPr="007C4260">
        <w:rPr>
          <w:u w:val="single"/>
        </w:rPr>
        <w:t>Tribunal</w:t>
      </w:r>
      <w:r w:rsidR="003E3DD0">
        <w:t xml:space="preserve"> </w:t>
      </w:r>
      <w:r w:rsidR="003E3DD0" w:rsidRPr="007C4260">
        <w:rPr>
          <w:u w:val="single"/>
        </w:rPr>
        <w:t>Regional</w:t>
      </w:r>
      <w:r w:rsidR="003E3DD0">
        <w:t xml:space="preserve"> </w:t>
      </w:r>
      <w:r w:rsidR="003E3DD0" w:rsidRPr="007C4260">
        <w:rPr>
          <w:u w:val="single"/>
        </w:rPr>
        <w:t>Federal</w:t>
      </w:r>
      <w:r w:rsidR="003E3DD0">
        <w:t xml:space="preserve"> </w:t>
      </w:r>
      <w:r w:rsidR="003E3DD0" w:rsidRPr="007C4260">
        <w:rPr>
          <w:u w:val="single"/>
        </w:rPr>
        <w:t>da</w:t>
      </w:r>
      <w:r w:rsidR="003E3DD0">
        <w:t xml:space="preserve"> </w:t>
      </w:r>
      <w:r w:rsidR="003E3DD0" w:rsidRPr="007C4260">
        <w:rPr>
          <w:u w:val="single"/>
        </w:rPr>
        <w:t>4ª</w:t>
      </w:r>
      <w:r w:rsidR="003E3DD0">
        <w:t xml:space="preserve"> </w:t>
      </w:r>
      <w:r w:rsidR="003E3DD0" w:rsidRPr="007C4260">
        <w:rPr>
          <w:u w:val="single"/>
        </w:rPr>
        <w:t>Região</w:t>
      </w:r>
      <w:r w:rsidR="003E3DD0">
        <w:t xml:space="preserve">, uma vez que decorridos mais de 6 meses entre a ciência da autoria </w:t>
      </w:r>
      <w:r w:rsidR="003E3DD0" w:rsidRPr="007C4260">
        <w:rPr>
          <w:sz w:val="20"/>
          <w:szCs w:val="18"/>
        </w:rPr>
        <w:t>(13.12.2022 – evento 22 a 26 do procedimento cautelar n. 5012701-91.2022.4.04.7208)</w:t>
      </w:r>
      <w:r w:rsidR="003E3DD0">
        <w:t xml:space="preserve"> e o ajuizamento da queixa-crime </w:t>
      </w:r>
      <w:r w:rsidR="003E3DD0" w:rsidRPr="007C4260">
        <w:rPr>
          <w:sz w:val="20"/>
          <w:szCs w:val="18"/>
        </w:rPr>
        <w:t>(2.1.2024 – evento 1 – autos originários)</w:t>
      </w:r>
      <w:r w:rsidR="003E3DD0">
        <w:t>.</w:t>
      </w:r>
    </w:p>
    <w:p w14:paraId="782C87A7" w14:textId="45E5E139" w:rsidR="003E3DD0" w:rsidRDefault="003E3DD0" w:rsidP="003E3DD0">
      <w:pPr>
        <w:pStyle w:val="SemEspaamento"/>
      </w:pPr>
      <w:r>
        <w:t>Como exposto pelo eminente Relator, em novembro de 2024</w:t>
      </w:r>
      <w:r w:rsidR="00994699">
        <w:t>,</w:t>
      </w:r>
      <w:r>
        <w:t xml:space="preserve"> essa ilustre 8ª Turma, de forma unânime, firmou o entendimento de que</w:t>
      </w:r>
      <w:r w:rsidR="00E619AA">
        <w:t>,</w:t>
      </w:r>
      <w:r>
        <w:t xml:space="preserve"> “</w:t>
      </w:r>
      <w:r w:rsidRPr="00F7724D">
        <w:rPr>
          <w:i/>
          <w:iCs/>
        </w:rPr>
        <w:t xml:space="preserve">Transcorrido mais de 06 (seis) meses da data em que o querelante veio a saber quem é o autor do crime, houve decadência do exercício da ação penal privada. </w:t>
      </w:r>
      <w:r w:rsidRPr="007C4260">
        <w:rPr>
          <w:b/>
          <w:bCs/>
          <w:i/>
          <w:iCs/>
        </w:rPr>
        <w:t xml:space="preserve">A aplicação do art. 529, o CPP, deve ser de </w:t>
      </w:r>
      <w:r w:rsidRPr="0035239D">
        <w:rPr>
          <w:b/>
          <w:bCs/>
          <w:i/>
          <w:iCs/>
          <w:u w:val="single"/>
        </w:rPr>
        <w:t>forma</w:t>
      </w:r>
      <w:r w:rsidRPr="007C4260">
        <w:rPr>
          <w:b/>
          <w:bCs/>
          <w:i/>
          <w:iCs/>
        </w:rPr>
        <w:t xml:space="preserve"> </w:t>
      </w:r>
      <w:r w:rsidRPr="0035239D">
        <w:rPr>
          <w:b/>
          <w:bCs/>
          <w:i/>
          <w:iCs/>
          <w:u w:val="single"/>
        </w:rPr>
        <w:t>conjunta</w:t>
      </w:r>
      <w:r w:rsidRPr="007C4260">
        <w:rPr>
          <w:b/>
          <w:bCs/>
          <w:i/>
          <w:iCs/>
        </w:rPr>
        <w:t xml:space="preserve"> </w:t>
      </w:r>
      <w:r w:rsidRPr="0035239D">
        <w:rPr>
          <w:b/>
          <w:bCs/>
          <w:i/>
          <w:iCs/>
          <w:u w:val="single"/>
        </w:rPr>
        <w:t>com</w:t>
      </w:r>
      <w:r w:rsidRPr="007C4260">
        <w:rPr>
          <w:b/>
          <w:bCs/>
          <w:i/>
          <w:iCs/>
        </w:rPr>
        <w:t xml:space="preserve"> o </w:t>
      </w:r>
      <w:r w:rsidRPr="0035239D">
        <w:rPr>
          <w:b/>
          <w:bCs/>
          <w:i/>
          <w:iCs/>
          <w:u w:val="single"/>
        </w:rPr>
        <w:t>art</w:t>
      </w:r>
      <w:r w:rsidRPr="007C4260">
        <w:rPr>
          <w:b/>
          <w:bCs/>
          <w:i/>
          <w:iCs/>
        </w:rPr>
        <w:t xml:space="preserve">. </w:t>
      </w:r>
      <w:r w:rsidRPr="0035239D">
        <w:rPr>
          <w:b/>
          <w:bCs/>
          <w:i/>
          <w:iCs/>
          <w:u w:val="single"/>
        </w:rPr>
        <w:t>38</w:t>
      </w:r>
      <w:r w:rsidRPr="007C4260">
        <w:rPr>
          <w:b/>
          <w:bCs/>
          <w:i/>
          <w:iCs/>
        </w:rPr>
        <w:t xml:space="preserve"> do mesmo diploma legal, </w:t>
      </w:r>
      <w:r w:rsidRPr="0035239D">
        <w:rPr>
          <w:b/>
          <w:bCs/>
          <w:i/>
          <w:iCs/>
          <w:u w:val="single"/>
        </w:rPr>
        <w:t>não</w:t>
      </w:r>
      <w:r w:rsidRPr="00F7724D">
        <w:rPr>
          <w:b/>
          <w:bCs/>
          <w:i/>
          <w:iCs/>
        </w:rPr>
        <w:t xml:space="preserve"> </w:t>
      </w:r>
      <w:r w:rsidRPr="0035239D">
        <w:rPr>
          <w:b/>
          <w:bCs/>
          <w:i/>
          <w:iCs/>
          <w:u w:val="single"/>
        </w:rPr>
        <w:t>ensejando</w:t>
      </w:r>
      <w:r w:rsidRPr="00F7724D">
        <w:rPr>
          <w:b/>
          <w:bCs/>
          <w:i/>
          <w:iCs/>
        </w:rPr>
        <w:t xml:space="preserve">, a </w:t>
      </w:r>
      <w:r w:rsidRPr="0035239D">
        <w:rPr>
          <w:b/>
          <w:bCs/>
          <w:i/>
          <w:iCs/>
          <w:u w:val="single"/>
        </w:rPr>
        <w:t>homologação</w:t>
      </w:r>
      <w:r w:rsidRPr="00F7724D">
        <w:rPr>
          <w:b/>
          <w:bCs/>
          <w:i/>
          <w:iCs/>
        </w:rPr>
        <w:t xml:space="preserve"> </w:t>
      </w:r>
      <w:r w:rsidRPr="0035239D">
        <w:rPr>
          <w:b/>
          <w:bCs/>
          <w:i/>
          <w:iCs/>
          <w:u w:val="single"/>
        </w:rPr>
        <w:t>do</w:t>
      </w:r>
      <w:r w:rsidRPr="00F7724D">
        <w:rPr>
          <w:b/>
          <w:bCs/>
          <w:i/>
          <w:iCs/>
        </w:rPr>
        <w:t xml:space="preserve"> </w:t>
      </w:r>
      <w:r w:rsidRPr="0035239D">
        <w:rPr>
          <w:b/>
          <w:bCs/>
          <w:i/>
          <w:iCs/>
          <w:u w:val="single"/>
        </w:rPr>
        <w:t>laudo</w:t>
      </w:r>
      <w:r w:rsidRPr="00F7724D">
        <w:rPr>
          <w:b/>
          <w:bCs/>
          <w:i/>
          <w:iCs/>
        </w:rPr>
        <w:t xml:space="preserve"> </w:t>
      </w:r>
      <w:r w:rsidRPr="0035239D">
        <w:rPr>
          <w:b/>
          <w:bCs/>
          <w:i/>
          <w:iCs/>
          <w:u w:val="single"/>
        </w:rPr>
        <w:t>pericial</w:t>
      </w:r>
      <w:r w:rsidRPr="00F7724D">
        <w:rPr>
          <w:b/>
          <w:bCs/>
          <w:i/>
          <w:iCs/>
        </w:rPr>
        <w:t xml:space="preserve">, </w:t>
      </w:r>
      <w:r w:rsidRPr="00E619AA">
        <w:rPr>
          <w:b/>
          <w:bCs/>
          <w:i/>
          <w:iCs/>
          <w:u w:val="single"/>
        </w:rPr>
        <w:t>em</w:t>
      </w:r>
      <w:r w:rsidRPr="00F7724D">
        <w:rPr>
          <w:b/>
          <w:bCs/>
          <w:i/>
          <w:iCs/>
        </w:rPr>
        <w:t xml:space="preserve"> </w:t>
      </w:r>
      <w:r w:rsidRPr="00E619AA">
        <w:rPr>
          <w:b/>
          <w:bCs/>
          <w:i/>
          <w:iCs/>
          <w:u w:val="single"/>
        </w:rPr>
        <w:t>abertura</w:t>
      </w:r>
      <w:r w:rsidRPr="00F7724D">
        <w:rPr>
          <w:b/>
          <w:bCs/>
          <w:i/>
          <w:iCs/>
        </w:rPr>
        <w:t xml:space="preserve"> </w:t>
      </w:r>
      <w:r w:rsidRPr="00E619AA">
        <w:rPr>
          <w:b/>
          <w:bCs/>
          <w:i/>
          <w:iCs/>
          <w:u w:val="single"/>
        </w:rPr>
        <w:t>de</w:t>
      </w:r>
      <w:r w:rsidRPr="00F7724D">
        <w:rPr>
          <w:b/>
          <w:bCs/>
          <w:i/>
          <w:iCs/>
        </w:rPr>
        <w:t xml:space="preserve"> </w:t>
      </w:r>
      <w:r w:rsidRPr="00E619AA">
        <w:rPr>
          <w:b/>
          <w:bCs/>
          <w:i/>
          <w:iCs/>
          <w:u w:val="single"/>
        </w:rPr>
        <w:t>novo</w:t>
      </w:r>
      <w:r w:rsidRPr="00F7724D">
        <w:rPr>
          <w:b/>
          <w:bCs/>
          <w:i/>
          <w:iCs/>
        </w:rPr>
        <w:t xml:space="preserve"> </w:t>
      </w:r>
      <w:r w:rsidRPr="00E619AA">
        <w:rPr>
          <w:b/>
          <w:bCs/>
          <w:i/>
          <w:iCs/>
          <w:u w:val="single"/>
        </w:rPr>
        <w:t>prazo</w:t>
      </w:r>
      <w:r w:rsidRPr="00F7724D">
        <w:rPr>
          <w:b/>
          <w:bCs/>
          <w:i/>
          <w:iCs/>
        </w:rPr>
        <w:t xml:space="preserve">, </w:t>
      </w:r>
      <w:r w:rsidRPr="00F7724D">
        <w:rPr>
          <w:b/>
          <w:bCs/>
          <w:i/>
          <w:iCs/>
          <w:u w:val="single"/>
        </w:rPr>
        <w:t>sob</w:t>
      </w:r>
      <w:r w:rsidRPr="00F7724D">
        <w:rPr>
          <w:b/>
          <w:bCs/>
          <w:i/>
          <w:iCs/>
        </w:rPr>
        <w:t xml:space="preserve"> </w:t>
      </w:r>
      <w:r w:rsidRPr="00F7724D">
        <w:rPr>
          <w:b/>
          <w:bCs/>
          <w:i/>
          <w:iCs/>
          <w:u w:val="single"/>
        </w:rPr>
        <w:t>a</w:t>
      </w:r>
      <w:r w:rsidRPr="00F7724D">
        <w:rPr>
          <w:b/>
          <w:bCs/>
          <w:i/>
          <w:iCs/>
        </w:rPr>
        <w:t xml:space="preserve"> </w:t>
      </w:r>
      <w:r w:rsidRPr="00F7724D">
        <w:rPr>
          <w:b/>
          <w:bCs/>
          <w:i/>
          <w:iCs/>
          <w:u w:val="single"/>
        </w:rPr>
        <w:t>pena</w:t>
      </w:r>
      <w:r w:rsidRPr="00F7724D">
        <w:rPr>
          <w:b/>
          <w:bCs/>
          <w:i/>
          <w:iCs/>
        </w:rPr>
        <w:t xml:space="preserve"> </w:t>
      </w:r>
      <w:r w:rsidRPr="00F7724D">
        <w:rPr>
          <w:b/>
          <w:bCs/>
          <w:i/>
          <w:iCs/>
          <w:u w:val="single"/>
        </w:rPr>
        <w:t>de</w:t>
      </w:r>
      <w:r w:rsidRPr="00F7724D">
        <w:rPr>
          <w:b/>
          <w:bCs/>
          <w:i/>
          <w:iCs/>
        </w:rPr>
        <w:t xml:space="preserve"> </w:t>
      </w:r>
      <w:r w:rsidRPr="00F7724D">
        <w:rPr>
          <w:b/>
          <w:bCs/>
          <w:i/>
          <w:iCs/>
          <w:u w:val="single"/>
        </w:rPr>
        <w:t>se</w:t>
      </w:r>
      <w:r w:rsidRPr="00F7724D">
        <w:rPr>
          <w:b/>
          <w:bCs/>
          <w:i/>
          <w:iCs/>
        </w:rPr>
        <w:t xml:space="preserve"> </w:t>
      </w:r>
      <w:r w:rsidRPr="00F7724D">
        <w:rPr>
          <w:b/>
          <w:bCs/>
          <w:i/>
          <w:iCs/>
          <w:u w:val="single"/>
        </w:rPr>
        <w:t>ofender</w:t>
      </w:r>
      <w:r w:rsidRPr="00F7724D">
        <w:rPr>
          <w:b/>
          <w:bCs/>
          <w:i/>
          <w:iCs/>
        </w:rPr>
        <w:t xml:space="preserve"> </w:t>
      </w:r>
      <w:r w:rsidRPr="00F7724D">
        <w:rPr>
          <w:b/>
          <w:bCs/>
          <w:i/>
          <w:iCs/>
          <w:u w:val="single"/>
        </w:rPr>
        <w:t>a</w:t>
      </w:r>
      <w:r w:rsidRPr="00F7724D">
        <w:rPr>
          <w:b/>
          <w:bCs/>
          <w:i/>
          <w:iCs/>
        </w:rPr>
        <w:t xml:space="preserve"> </w:t>
      </w:r>
      <w:r w:rsidRPr="00F7724D">
        <w:rPr>
          <w:b/>
          <w:bCs/>
          <w:i/>
          <w:iCs/>
          <w:u w:val="single"/>
        </w:rPr>
        <w:t>segurança</w:t>
      </w:r>
      <w:r w:rsidRPr="00F7724D">
        <w:rPr>
          <w:b/>
          <w:bCs/>
          <w:i/>
          <w:iCs/>
        </w:rPr>
        <w:t xml:space="preserve"> </w:t>
      </w:r>
      <w:r w:rsidRPr="00F7724D">
        <w:rPr>
          <w:b/>
          <w:bCs/>
          <w:i/>
          <w:iCs/>
          <w:u w:val="single"/>
        </w:rPr>
        <w:t>jurídica</w:t>
      </w:r>
      <w:r>
        <w:t xml:space="preserve">” </w:t>
      </w:r>
      <w:r w:rsidRPr="00F7724D">
        <w:rPr>
          <w:sz w:val="20"/>
          <w:szCs w:val="18"/>
        </w:rPr>
        <w:t>(RESE n. 5013348-39.2024.4.04.7201, rel. Des. Thompson Flores, j. em 6.11.2024)</w:t>
      </w:r>
      <w:r>
        <w:t xml:space="preserve">. </w:t>
      </w:r>
    </w:p>
    <w:p w14:paraId="5F5D0940" w14:textId="77777777" w:rsidR="003E3DD0" w:rsidRDefault="003E3DD0" w:rsidP="003E3DD0">
      <w:pPr>
        <w:pStyle w:val="SemEspaamento"/>
      </w:pPr>
      <w:r>
        <w:t>E a 7ª Turma dessa Egrégia Corte decidiu, na mesma linha, que, “</w:t>
      </w:r>
      <w:r w:rsidRPr="00F7724D">
        <w:rPr>
          <w:i/>
          <w:iCs/>
        </w:rPr>
        <w:t>Conforme o entendimento do colendo STJ, faz-se necessário conformar os prazos previstos nos arts. 38 e 529, ambos do CPP, de modo que, em se tratando de crimes contra a propriedade imaterial que deixem vestígio, a ciência da autoria do fato delituoso dá ensejo ao início do prazo decadencial de 6 meses, sendo tal prazo reduzido para 30 dias se homologado laudo pericial nesse ínterim</w:t>
      </w:r>
      <w:r>
        <w:t xml:space="preserve">” </w:t>
      </w:r>
      <w:r w:rsidRPr="00F7724D">
        <w:rPr>
          <w:sz w:val="20"/>
          <w:szCs w:val="18"/>
        </w:rPr>
        <w:t>(TRF4, RESE n. 5001159-29.2024.4.04.7201/SC, rel. Des. Ângelo Roberto Ilha da Silva, 7ª Turma, j. em 5.11.2024)</w:t>
      </w:r>
      <w:r w:rsidRPr="007C5312">
        <w:t>.</w:t>
      </w:r>
    </w:p>
    <w:p w14:paraId="0F38D88F" w14:textId="6BE9DA88" w:rsidR="003E3DD0" w:rsidRDefault="003E3DD0" w:rsidP="003E3DD0">
      <w:pPr>
        <w:pStyle w:val="SemEspaamento"/>
      </w:pPr>
      <w:r>
        <w:t xml:space="preserve">Esse entendimento, </w:t>
      </w:r>
      <w:r w:rsidR="00C60814">
        <w:t>vale repetir</w:t>
      </w:r>
      <w:r>
        <w:t xml:space="preserve">, coaduna-se com o posicionamento consolidado da Corte da Cidadania, o que é reforçado pelo fato de que, em 20.4.2023, o eminente Ministro Jesuíno </w:t>
      </w:r>
      <w:proofErr w:type="spellStart"/>
      <w:r>
        <w:t>Rissato</w:t>
      </w:r>
      <w:proofErr w:type="spellEnd"/>
      <w:r>
        <w:t xml:space="preserve"> </w:t>
      </w:r>
      <w:r w:rsidRPr="009858B6">
        <w:rPr>
          <w:sz w:val="20"/>
          <w:szCs w:val="18"/>
        </w:rPr>
        <w:t>(Desembargador convocado do TJDFT)</w:t>
      </w:r>
      <w:r>
        <w:t>,</w:t>
      </w:r>
      <w:r w:rsidRPr="00036048">
        <w:t xml:space="preserve"> </w:t>
      </w:r>
      <w:r>
        <w:t xml:space="preserve">concedeu a ordem em </w:t>
      </w:r>
      <w:r>
        <w:rPr>
          <w:i/>
          <w:iCs/>
        </w:rPr>
        <w:t>habeas corpus</w:t>
      </w:r>
      <w:r>
        <w:t xml:space="preserve">, de forma monocrática, para reconhecer a decadência e trancar ação penal com situação jurídica similar </w:t>
      </w:r>
      <w:r w:rsidR="00994699">
        <w:t>à</w:t>
      </w:r>
      <w:r>
        <w:t xml:space="preserve"> destes autos </w:t>
      </w:r>
      <w:r w:rsidRPr="00036048">
        <w:rPr>
          <w:sz w:val="20"/>
          <w:szCs w:val="18"/>
        </w:rPr>
        <w:t>(STJ, AgRg no HC n. 801.068/SC, j. em 20.4.2023)</w:t>
      </w:r>
      <w:r>
        <w:t>.</w:t>
      </w:r>
      <w:r w:rsidR="00034911">
        <w:t xml:space="preserve"> </w:t>
      </w:r>
    </w:p>
    <w:p w14:paraId="3C678292" w14:textId="51D73B41" w:rsidR="003C17E5" w:rsidRDefault="003C17E5" w:rsidP="003C17E5">
      <w:pPr>
        <w:pStyle w:val="SemEspaamento"/>
      </w:pPr>
      <w:r>
        <w:t>Nessa decisão, restou assentado que, de fato, “</w:t>
      </w:r>
      <w:r w:rsidRPr="00E4009A">
        <w:rPr>
          <w:i/>
          <w:iCs/>
        </w:rPr>
        <w:t xml:space="preserve">há que se conformar os prazos previstos nos arts. 38 e 529 do CPP. Vale dizer, a ciência da autoria do fato delituoso dá início ao prazo decadencial de 6 meses, </w:t>
      </w:r>
      <w:r w:rsidRPr="00662B07">
        <w:rPr>
          <w:b/>
          <w:bCs/>
          <w:i/>
          <w:iCs/>
        </w:rPr>
        <w:t xml:space="preserve">sendo tal prazo </w:t>
      </w:r>
      <w:r w:rsidR="0035239D" w:rsidRPr="00662B07">
        <w:rPr>
          <w:b/>
          <w:bCs/>
          <w:i/>
          <w:iCs/>
          <w:u w:val="single"/>
        </w:rPr>
        <w:t>REDUZIDO</w:t>
      </w:r>
      <w:r w:rsidR="0035239D" w:rsidRPr="00662B07">
        <w:rPr>
          <w:b/>
          <w:bCs/>
          <w:i/>
          <w:iCs/>
        </w:rPr>
        <w:t xml:space="preserve"> </w:t>
      </w:r>
      <w:r w:rsidRPr="00662B07">
        <w:rPr>
          <w:b/>
          <w:bCs/>
          <w:i/>
          <w:iCs/>
          <w:u w:val="single"/>
        </w:rPr>
        <w:t>para</w:t>
      </w:r>
      <w:r w:rsidRPr="00662B07">
        <w:rPr>
          <w:b/>
          <w:bCs/>
          <w:i/>
          <w:iCs/>
        </w:rPr>
        <w:t xml:space="preserve"> </w:t>
      </w:r>
      <w:r w:rsidRPr="00662B07">
        <w:rPr>
          <w:b/>
          <w:bCs/>
          <w:i/>
          <w:iCs/>
          <w:u w:val="single"/>
        </w:rPr>
        <w:t>30</w:t>
      </w:r>
      <w:r w:rsidRPr="00662B07">
        <w:rPr>
          <w:b/>
          <w:bCs/>
          <w:i/>
          <w:iCs/>
        </w:rPr>
        <w:t xml:space="preserve"> </w:t>
      </w:r>
      <w:r w:rsidRPr="00662B07">
        <w:rPr>
          <w:b/>
          <w:bCs/>
          <w:i/>
          <w:iCs/>
          <w:u w:val="single"/>
        </w:rPr>
        <w:t>dias</w:t>
      </w:r>
      <w:r w:rsidRPr="00662B07">
        <w:rPr>
          <w:b/>
          <w:bCs/>
          <w:i/>
          <w:iCs/>
        </w:rPr>
        <w:t xml:space="preserve"> </w:t>
      </w:r>
      <w:r w:rsidRPr="00662B07">
        <w:rPr>
          <w:b/>
          <w:bCs/>
          <w:i/>
          <w:iCs/>
          <w:u w:val="single"/>
        </w:rPr>
        <w:t>se</w:t>
      </w:r>
      <w:r w:rsidRPr="00662B07">
        <w:rPr>
          <w:b/>
          <w:bCs/>
          <w:i/>
          <w:iCs/>
        </w:rPr>
        <w:t xml:space="preserve"> </w:t>
      </w:r>
      <w:r w:rsidRPr="00662B07">
        <w:rPr>
          <w:b/>
          <w:bCs/>
          <w:i/>
          <w:iCs/>
          <w:u w:val="single"/>
        </w:rPr>
        <w:t>homologado</w:t>
      </w:r>
      <w:r w:rsidRPr="00662B07">
        <w:rPr>
          <w:b/>
          <w:bCs/>
          <w:i/>
          <w:iCs/>
        </w:rPr>
        <w:t xml:space="preserve"> </w:t>
      </w:r>
      <w:r w:rsidRPr="00662B07">
        <w:rPr>
          <w:b/>
          <w:bCs/>
          <w:i/>
          <w:iCs/>
          <w:u w:val="single"/>
        </w:rPr>
        <w:t>laudo</w:t>
      </w:r>
      <w:r w:rsidRPr="00662B07">
        <w:rPr>
          <w:b/>
          <w:bCs/>
          <w:i/>
          <w:iCs/>
        </w:rPr>
        <w:t xml:space="preserve"> pericial nesse ínterim</w:t>
      </w:r>
      <w:r>
        <w:t>”</w:t>
      </w:r>
      <w:r w:rsidRPr="00E4009A">
        <w:t>.</w:t>
      </w:r>
      <w:r>
        <w:t xml:space="preserve"> Vejamos </w:t>
      </w:r>
      <w:r w:rsidRPr="00EB73C2">
        <w:rPr>
          <w:sz w:val="20"/>
          <w:szCs w:val="18"/>
        </w:rPr>
        <w:t>(</w:t>
      </w:r>
      <w:r>
        <w:rPr>
          <w:sz w:val="20"/>
          <w:szCs w:val="18"/>
        </w:rPr>
        <w:t xml:space="preserve">STJ, </w:t>
      </w:r>
      <w:r w:rsidRPr="00EB73C2">
        <w:rPr>
          <w:sz w:val="20"/>
          <w:szCs w:val="18"/>
        </w:rPr>
        <w:t>AgRg no HC n. 801.068/SC)</w:t>
      </w:r>
      <w:r>
        <w:t>:</w:t>
      </w:r>
    </w:p>
    <w:p w14:paraId="6A08F088" w14:textId="000D2746" w:rsidR="003C17E5" w:rsidRPr="00A7234E" w:rsidRDefault="003C17E5" w:rsidP="003C17E5">
      <w:pPr>
        <w:pStyle w:val="SemEspaamento"/>
        <w:numPr>
          <w:ilvl w:val="0"/>
          <w:numId w:val="0"/>
        </w:numPr>
        <w:ind w:left="1701"/>
        <w:rPr>
          <w:sz w:val="2"/>
          <w:szCs w:val="2"/>
        </w:rPr>
      </w:pPr>
    </w:p>
    <w:p w14:paraId="740074E8" w14:textId="13A84AD3" w:rsidR="003C17E5" w:rsidRDefault="005562B8" w:rsidP="003C17E5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FDC3AD" wp14:editId="4A5D45AB">
                <wp:simplePos x="0" y="0"/>
                <wp:positionH relativeFrom="column">
                  <wp:posOffset>-516048</wp:posOffset>
                </wp:positionH>
                <wp:positionV relativeFrom="paragraph">
                  <wp:posOffset>121285</wp:posOffset>
                </wp:positionV>
                <wp:extent cx="818707" cy="404038"/>
                <wp:effectExtent l="0" t="19050" r="38735" b="34290"/>
                <wp:wrapNone/>
                <wp:docPr id="1770069845" name="Seta: para a Direi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707" cy="404038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DAEFD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1" o:spid="_x0000_s1026" type="#_x0000_t13" style="position:absolute;margin-left:-40.65pt;margin-top:9.55pt;width:64.45pt;height:3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" adj="16270" fillcolor="#e00" strokecolor="black [3213]" strokeweight="1pt"/>
            </w:pict>
          </mc:Fallback>
        </mc:AlternateContent>
      </w:r>
      <w:r w:rsidR="003C17E5">
        <w:rPr>
          <w:noProof/>
        </w:rPr>
        <w:drawing>
          <wp:inline distT="0" distB="0" distL="0" distR="0" wp14:anchorId="5091F0E0" wp14:editId="60107005">
            <wp:extent cx="5154725" cy="3561907"/>
            <wp:effectExtent l="0" t="0" r="8255" b="635"/>
            <wp:docPr id="1277522393" name="Imagem 2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22393" name="Imagem 2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2179" cy="3594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2D2F0" w14:textId="77777777" w:rsidR="003C17E5" w:rsidRPr="00FA081D" w:rsidRDefault="003C17E5" w:rsidP="003C17E5">
      <w:pPr>
        <w:pStyle w:val="Ttulo2"/>
        <w:rPr>
          <w:sz w:val="4"/>
          <w:szCs w:val="4"/>
        </w:rPr>
      </w:pPr>
    </w:p>
    <w:p w14:paraId="07CB9D4F" w14:textId="41B30037" w:rsidR="00B650A0" w:rsidRPr="00B650A0" w:rsidRDefault="00034911" w:rsidP="00B650A0">
      <w:pPr>
        <w:pStyle w:val="SemEspaamento"/>
      </w:pPr>
      <w:r>
        <w:t xml:space="preserve">E, </w:t>
      </w:r>
      <w:r w:rsidR="008258EC">
        <w:t>recentemente</w:t>
      </w:r>
      <w:r>
        <w:t xml:space="preserve">, </w:t>
      </w:r>
      <w:r w:rsidR="008258EC">
        <w:t xml:space="preserve">em </w:t>
      </w:r>
      <w:r w:rsidR="0035239D">
        <w:t xml:space="preserve">26.3.2025, </w:t>
      </w:r>
      <w:r>
        <w:t>o posicionamento da Corte Superior foi reafirmado</w:t>
      </w:r>
      <w:r w:rsidR="0035239D">
        <w:t>, uma vez mais,</w:t>
      </w:r>
      <w:r>
        <w:t xml:space="preserve"> </w:t>
      </w:r>
      <w:r w:rsidR="007B7C9A">
        <w:t xml:space="preserve">no julgamento do </w:t>
      </w:r>
      <w:r w:rsidR="00B650A0" w:rsidRPr="00B650A0">
        <w:t>AgRg no AREsp 2</w:t>
      </w:r>
      <w:r w:rsidR="00B650A0">
        <w:t>.</w:t>
      </w:r>
      <w:r w:rsidR="00B650A0" w:rsidRPr="00B650A0">
        <w:t>358</w:t>
      </w:r>
      <w:r w:rsidR="00B650A0">
        <w:t>.</w:t>
      </w:r>
      <w:r w:rsidR="00B650A0" w:rsidRPr="00B650A0">
        <w:t>898/MG</w:t>
      </w:r>
      <w:r w:rsidR="0035239D">
        <w:t xml:space="preserve"> </w:t>
      </w:r>
      <w:r w:rsidR="00EB1A42" w:rsidRPr="00EB1A42">
        <w:rPr>
          <w:sz w:val="20"/>
          <w:szCs w:val="18"/>
        </w:rPr>
        <w:t>(rel. Min. Joel Ilan Paciornik)</w:t>
      </w:r>
      <w:r w:rsidR="00B650A0" w:rsidRPr="00B650A0">
        <w:t xml:space="preserve">, </w:t>
      </w:r>
      <w:r w:rsidR="0035239D">
        <w:t xml:space="preserve">sendo </w:t>
      </w:r>
      <w:r w:rsidR="007D18DA">
        <w:t xml:space="preserve">novamente </w:t>
      </w:r>
      <w:r w:rsidR="0035239D">
        <w:t xml:space="preserve">assentado </w:t>
      </w:r>
      <w:r w:rsidR="00EB1A42">
        <w:t xml:space="preserve">que </w:t>
      </w:r>
      <w:r w:rsidR="00B650A0" w:rsidRPr="00B650A0">
        <w:t>"</w:t>
      </w:r>
      <w:r w:rsidR="00B650A0" w:rsidRPr="00B650A0">
        <w:rPr>
          <w:i/>
          <w:iCs/>
        </w:rPr>
        <w:t xml:space="preserve">A ciência da autoria do fato delituoso dá ensejo ao início do prazo decadencial de 6 meses, sendo tal </w:t>
      </w:r>
      <w:r w:rsidR="00B650A0" w:rsidRPr="007D18DA">
        <w:rPr>
          <w:b/>
          <w:bCs/>
          <w:i/>
          <w:iCs/>
        </w:rPr>
        <w:t>prazo</w:t>
      </w:r>
      <w:r w:rsidR="00B650A0" w:rsidRPr="00B650A0">
        <w:rPr>
          <w:i/>
          <w:iCs/>
        </w:rPr>
        <w:t xml:space="preserve"> </w:t>
      </w:r>
      <w:r w:rsidR="00B650A0" w:rsidRPr="0035239D">
        <w:rPr>
          <w:b/>
          <w:bCs/>
          <w:i/>
          <w:iCs/>
        </w:rPr>
        <w:t xml:space="preserve">reduzido para 30 dias </w:t>
      </w:r>
      <w:r w:rsidR="00B650A0" w:rsidRPr="007D18DA">
        <w:rPr>
          <w:b/>
          <w:bCs/>
          <w:i/>
          <w:iCs/>
          <w:u w:val="single"/>
        </w:rPr>
        <w:t>se</w:t>
      </w:r>
      <w:r w:rsidR="00B650A0" w:rsidRPr="0035239D">
        <w:rPr>
          <w:b/>
          <w:bCs/>
          <w:i/>
          <w:iCs/>
        </w:rPr>
        <w:t xml:space="preserve"> </w:t>
      </w:r>
      <w:r w:rsidR="00B650A0" w:rsidRPr="007D18DA">
        <w:rPr>
          <w:b/>
          <w:bCs/>
          <w:i/>
          <w:iCs/>
          <w:u w:val="single"/>
        </w:rPr>
        <w:t>homologado</w:t>
      </w:r>
      <w:r w:rsidR="00B650A0" w:rsidRPr="0035239D">
        <w:rPr>
          <w:b/>
          <w:bCs/>
          <w:i/>
          <w:iCs/>
        </w:rPr>
        <w:t xml:space="preserve"> </w:t>
      </w:r>
      <w:r w:rsidR="00B650A0" w:rsidRPr="003C0F40">
        <w:rPr>
          <w:b/>
          <w:bCs/>
          <w:i/>
          <w:iCs/>
          <w:u w:val="single"/>
        </w:rPr>
        <w:t>laudo</w:t>
      </w:r>
      <w:r w:rsidR="00B650A0" w:rsidRPr="0035239D">
        <w:rPr>
          <w:b/>
          <w:bCs/>
          <w:i/>
          <w:iCs/>
        </w:rPr>
        <w:t xml:space="preserve"> pericial</w:t>
      </w:r>
      <w:r w:rsidR="00B650A0" w:rsidRPr="00B650A0">
        <w:rPr>
          <w:i/>
          <w:iCs/>
        </w:rPr>
        <w:t xml:space="preserve"> nesse ínterim. </w:t>
      </w:r>
      <w:r w:rsidR="00B650A0" w:rsidRPr="0035239D">
        <w:rPr>
          <w:b/>
          <w:bCs/>
          <w:i/>
          <w:iCs/>
        </w:rPr>
        <w:t>Interpretação dos arts. 38 e 529, ambos do CPP</w:t>
      </w:r>
      <w:r w:rsidR="00B650A0" w:rsidRPr="00B650A0">
        <w:t>".</w:t>
      </w:r>
    </w:p>
    <w:p w14:paraId="01E3CF69" w14:textId="3846F681" w:rsidR="001603FA" w:rsidRPr="00335A81" w:rsidRDefault="003C17E5" w:rsidP="003C17E5">
      <w:pPr>
        <w:pStyle w:val="SemEspaamento"/>
      </w:pPr>
      <w:r w:rsidRPr="00335A81">
        <w:t>Não há como acolher, portanto, a tese d</w:t>
      </w:r>
      <w:r w:rsidR="005232B1">
        <w:t>a</w:t>
      </w:r>
      <w:r w:rsidRPr="00335A81">
        <w:t xml:space="preserve"> embargante de que </w:t>
      </w:r>
      <w:r w:rsidR="007B7C9A" w:rsidRPr="00335A81">
        <w:t xml:space="preserve">haveria omissão ou contradição </w:t>
      </w:r>
      <w:r w:rsidR="00827844" w:rsidRPr="00335A81">
        <w:t xml:space="preserve">por </w:t>
      </w:r>
      <w:r w:rsidRPr="00335A81">
        <w:t xml:space="preserve">não </w:t>
      </w:r>
      <w:r w:rsidR="007B7C9A" w:rsidRPr="00335A81">
        <w:t xml:space="preserve">ter </w:t>
      </w:r>
      <w:r w:rsidRPr="00335A81">
        <w:t xml:space="preserve">sido observado o entendimento atual do Superior Tribunal de Justiça, </w:t>
      </w:r>
      <w:r w:rsidR="00690302" w:rsidRPr="00335A81">
        <w:t xml:space="preserve">exposto acima, </w:t>
      </w:r>
      <w:r w:rsidRPr="00335A81">
        <w:t xml:space="preserve">até porque, </w:t>
      </w:r>
      <w:r w:rsidR="00AA2F37" w:rsidRPr="00335A81">
        <w:t xml:space="preserve">vale repetir, </w:t>
      </w:r>
      <w:r w:rsidRPr="00335A81">
        <w:t xml:space="preserve">da leitura de suas razões recursais, o que </w:t>
      </w:r>
      <w:r w:rsidR="003C0F40">
        <w:t>a</w:t>
      </w:r>
      <w:r w:rsidRPr="00335A81">
        <w:t xml:space="preserve"> recorrente pretende é que seja aplicado </w:t>
      </w:r>
      <w:r w:rsidRPr="00335A81">
        <w:rPr>
          <w:b/>
          <w:bCs/>
        </w:rPr>
        <w:t xml:space="preserve">somente o art. 529 do CPP </w:t>
      </w:r>
      <w:r w:rsidRPr="00335A81">
        <w:rPr>
          <w:sz w:val="20"/>
          <w:szCs w:val="18"/>
        </w:rPr>
        <w:t>(ajuizamento no prazo de 30 dias após a homologação do laudo pericial em juízo)</w:t>
      </w:r>
      <w:r w:rsidRPr="00335A81">
        <w:t xml:space="preserve">, por conta de seu </w:t>
      </w:r>
      <w:r w:rsidRPr="00335A81">
        <w:rPr>
          <w:b/>
          <w:bCs/>
        </w:rPr>
        <w:t xml:space="preserve">entendimento equivocado </w:t>
      </w:r>
      <w:r w:rsidRPr="00335A81">
        <w:t xml:space="preserve">de que </w:t>
      </w:r>
      <w:r w:rsidRPr="00335A81">
        <w:rPr>
          <w:b/>
          <w:bCs/>
        </w:rPr>
        <w:t xml:space="preserve">seria indispensável </w:t>
      </w:r>
      <w:r w:rsidRPr="00335A81">
        <w:t xml:space="preserve">a </w:t>
      </w:r>
      <w:r w:rsidRPr="00335A81">
        <w:rPr>
          <w:b/>
          <w:bCs/>
        </w:rPr>
        <w:t>realização de perícia judicial</w:t>
      </w:r>
      <w:r w:rsidRPr="00335A81">
        <w:t xml:space="preserve"> para propositura da queixa-crime</w:t>
      </w:r>
      <w:r w:rsidR="00AA2F37" w:rsidRPr="00335A81">
        <w:t xml:space="preserve"> </w:t>
      </w:r>
      <w:r w:rsidR="00AA2F37" w:rsidRPr="00335A81">
        <w:rPr>
          <w:sz w:val="20"/>
          <w:szCs w:val="18"/>
        </w:rPr>
        <w:t>(</w:t>
      </w:r>
      <w:r w:rsidR="000E665C">
        <w:rPr>
          <w:sz w:val="20"/>
          <w:szCs w:val="18"/>
        </w:rPr>
        <w:t xml:space="preserve">interpretação </w:t>
      </w:r>
      <w:r w:rsidR="003C0F40">
        <w:rPr>
          <w:sz w:val="20"/>
          <w:szCs w:val="18"/>
        </w:rPr>
        <w:t>errônea</w:t>
      </w:r>
      <w:r w:rsidR="000E665C">
        <w:rPr>
          <w:sz w:val="20"/>
          <w:szCs w:val="18"/>
        </w:rPr>
        <w:t xml:space="preserve"> do </w:t>
      </w:r>
      <w:r w:rsidR="00AA2F37" w:rsidRPr="00335A81">
        <w:rPr>
          <w:sz w:val="20"/>
          <w:szCs w:val="18"/>
        </w:rPr>
        <w:t>art. 525 do CPP</w:t>
      </w:r>
      <w:r w:rsidR="000E665C">
        <w:rPr>
          <w:sz w:val="20"/>
          <w:szCs w:val="18"/>
        </w:rPr>
        <w:t xml:space="preserve"> pela embargante</w:t>
      </w:r>
      <w:r w:rsidR="00AA2F37" w:rsidRPr="00335A81">
        <w:rPr>
          <w:sz w:val="20"/>
          <w:szCs w:val="18"/>
        </w:rPr>
        <w:t>)</w:t>
      </w:r>
      <w:r w:rsidRPr="00335A81">
        <w:t>.</w:t>
      </w:r>
    </w:p>
    <w:p w14:paraId="70651264" w14:textId="6AE8B7EE" w:rsidR="002E6D0A" w:rsidRPr="00E55C9B" w:rsidRDefault="002E6D0A" w:rsidP="002E6D0A">
      <w:pPr>
        <w:pStyle w:val="SemEspaamento"/>
      </w:pPr>
      <w:r w:rsidRPr="00E55C9B">
        <w:t>Aliás,</w:t>
      </w:r>
      <w:r w:rsidR="00A65A14" w:rsidRPr="00E55C9B">
        <w:t xml:space="preserve"> </w:t>
      </w:r>
      <w:r w:rsidRPr="00E55C9B">
        <w:t xml:space="preserve">o próprio art. 525 do CPP, utilizado como fundamento </w:t>
      </w:r>
      <w:r w:rsidR="00F028B7" w:rsidRPr="00E55C9B">
        <w:t xml:space="preserve">pela embargante nas razões recursais e </w:t>
      </w:r>
      <w:r w:rsidRPr="00E55C9B">
        <w:t>pel</w:t>
      </w:r>
      <w:r w:rsidR="00C414B5" w:rsidRPr="00E55C9B">
        <w:t xml:space="preserve">o acórdão vencido </w:t>
      </w:r>
      <w:r w:rsidRPr="00E55C9B">
        <w:t>para afastar a decadência</w:t>
      </w:r>
      <w:r w:rsidR="00F028B7" w:rsidRPr="00E55C9B">
        <w:t xml:space="preserve"> </w:t>
      </w:r>
      <w:r w:rsidR="00F028B7" w:rsidRPr="00E55C9B">
        <w:rPr>
          <w:sz w:val="20"/>
          <w:szCs w:val="18"/>
        </w:rPr>
        <w:t>(evento 19)</w:t>
      </w:r>
      <w:r w:rsidRPr="00E55C9B">
        <w:t xml:space="preserve">, </w:t>
      </w:r>
      <w:r w:rsidR="00C414B5" w:rsidRPr="00E55C9B">
        <w:rPr>
          <w:b/>
          <w:bCs/>
        </w:rPr>
        <w:t xml:space="preserve">NÃO EXIGE </w:t>
      </w:r>
      <w:r w:rsidRPr="00E55C9B">
        <w:rPr>
          <w:b/>
          <w:bCs/>
        </w:rPr>
        <w:t>perícia homologada judicialmente para o recebimento da queixa-crime</w:t>
      </w:r>
      <w:r w:rsidRPr="00E55C9B">
        <w:t xml:space="preserve">, diversamente do que quer fazer crer </w:t>
      </w:r>
      <w:r w:rsidR="005232B1">
        <w:t>a</w:t>
      </w:r>
      <w:r w:rsidR="00A65A14" w:rsidRPr="00E55C9B">
        <w:t xml:space="preserve"> embargante</w:t>
      </w:r>
      <w:r w:rsidRPr="00E55C9B">
        <w:t>.</w:t>
      </w:r>
    </w:p>
    <w:p w14:paraId="707F6BB4" w14:textId="77777777" w:rsidR="002E6D0A" w:rsidRPr="00081FF3" w:rsidRDefault="002E6D0A" w:rsidP="002E6D0A">
      <w:pPr>
        <w:pStyle w:val="SemEspaamento"/>
      </w:pPr>
      <w:r w:rsidRPr="00081FF3">
        <w:t>Ora, esse dispositivo legal estabelece que, “</w:t>
      </w:r>
      <w:r w:rsidRPr="00081FF3">
        <w:rPr>
          <w:i/>
          <w:iCs/>
        </w:rPr>
        <w:t xml:space="preserve">No caso de haver o crime deixado vestígio, a queixa ou a denúncia não será recebida se não for instruída com o </w:t>
      </w:r>
      <w:r w:rsidRPr="00081FF3">
        <w:rPr>
          <w:i/>
          <w:iCs/>
          <w:u w:val="single"/>
        </w:rPr>
        <w:t>exame</w:t>
      </w:r>
      <w:r w:rsidRPr="00081FF3">
        <w:rPr>
          <w:i/>
          <w:iCs/>
        </w:rPr>
        <w:t xml:space="preserve"> </w:t>
      </w:r>
      <w:r w:rsidRPr="00081FF3">
        <w:rPr>
          <w:i/>
          <w:iCs/>
          <w:u w:val="single"/>
        </w:rPr>
        <w:t>pericial</w:t>
      </w:r>
      <w:r w:rsidRPr="00081FF3">
        <w:rPr>
          <w:i/>
          <w:iCs/>
        </w:rPr>
        <w:t xml:space="preserve"> dos objetos que constituam o corpo de delito</w:t>
      </w:r>
      <w:r w:rsidRPr="00081FF3">
        <w:t>”</w:t>
      </w:r>
      <w:r w:rsidRPr="00081FF3">
        <w:rPr>
          <w:i/>
          <w:iCs/>
        </w:rPr>
        <w:t>.</w:t>
      </w:r>
      <w:r w:rsidRPr="00081FF3">
        <w:t xml:space="preserve"> </w:t>
      </w:r>
    </w:p>
    <w:p w14:paraId="6353CF73" w14:textId="7CFFF95C" w:rsidR="002E6D0A" w:rsidRDefault="00C414B5" w:rsidP="002E6D0A">
      <w:pPr>
        <w:pStyle w:val="SemEspaamento"/>
      </w:pPr>
      <w:r>
        <w:t>Ou seja</w:t>
      </w:r>
      <w:r w:rsidR="002E6D0A">
        <w:t xml:space="preserve">, </w:t>
      </w:r>
      <w:r w:rsidR="002E6D0A" w:rsidRPr="00610AFD">
        <w:rPr>
          <w:b/>
          <w:bCs/>
        </w:rPr>
        <w:t>a própria recorrida MATTEL poderia ter realizado exame pericial</w:t>
      </w:r>
      <w:r w:rsidR="002E6D0A">
        <w:t xml:space="preserve"> </w:t>
      </w:r>
      <w:r w:rsidR="002E6D0A" w:rsidRPr="00136293">
        <w:rPr>
          <w:b/>
          <w:bCs/>
          <w:u w:val="single"/>
        </w:rPr>
        <w:t>dentro</w:t>
      </w:r>
      <w:r w:rsidR="002E6D0A" w:rsidRPr="00AC3969">
        <w:rPr>
          <w:b/>
          <w:bCs/>
        </w:rPr>
        <w:t xml:space="preserve"> </w:t>
      </w:r>
      <w:r w:rsidR="002E6D0A" w:rsidRPr="00136293">
        <w:rPr>
          <w:b/>
          <w:bCs/>
          <w:u w:val="single"/>
        </w:rPr>
        <w:t>do</w:t>
      </w:r>
      <w:r w:rsidR="002E6D0A" w:rsidRPr="00AC3969">
        <w:rPr>
          <w:b/>
          <w:bCs/>
        </w:rPr>
        <w:t xml:space="preserve"> </w:t>
      </w:r>
      <w:r w:rsidR="002E6D0A" w:rsidRPr="00136293">
        <w:rPr>
          <w:b/>
          <w:bCs/>
          <w:u w:val="single"/>
        </w:rPr>
        <w:t>prazo</w:t>
      </w:r>
      <w:r w:rsidR="002E6D0A" w:rsidRPr="00AC3969">
        <w:rPr>
          <w:b/>
          <w:bCs/>
        </w:rPr>
        <w:t xml:space="preserve"> </w:t>
      </w:r>
      <w:r w:rsidR="002E6D0A" w:rsidRPr="00136293">
        <w:rPr>
          <w:b/>
          <w:bCs/>
          <w:u w:val="single"/>
        </w:rPr>
        <w:t>decadencial</w:t>
      </w:r>
      <w:r w:rsidR="002E6D0A">
        <w:t xml:space="preserve"> </w:t>
      </w:r>
      <w:r w:rsidR="002E6D0A" w:rsidRPr="00C414B5">
        <w:rPr>
          <w:b/>
          <w:bCs/>
        </w:rPr>
        <w:t>para fundamentar a ação penal privada, seja por seus técnicos ou por meio da contratação de empresa especializada para analisar o material apreendido</w:t>
      </w:r>
      <w:r w:rsidR="002E6D0A" w:rsidRPr="00335A81">
        <w:rPr>
          <w:b/>
          <w:bCs/>
        </w:rPr>
        <w:t xml:space="preserve"> </w:t>
      </w:r>
      <w:r w:rsidR="00335A81" w:rsidRPr="00335A81">
        <w:rPr>
          <w:b/>
          <w:bCs/>
        </w:rPr>
        <w:t>e</w:t>
      </w:r>
      <w:r w:rsidR="002E6D0A" w:rsidRPr="00335A81">
        <w:rPr>
          <w:b/>
          <w:bCs/>
        </w:rPr>
        <w:t xml:space="preserve"> elaborar esse exame dentro do prazo mencionado, </w:t>
      </w:r>
      <w:r w:rsidR="00EC1123" w:rsidRPr="00335A81">
        <w:rPr>
          <w:b/>
          <w:bCs/>
        </w:rPr>
        <w:t xml:space="preserve">observando a </w:t>
      </w:r>
      <w:r w:rsidR="00EC1123" w:rsidRPr="00940359">
        <w:rPr>
          <w:b/>
          <w:bCs/>
          <w:u w:val="single"/>
        </w:rPr>
        <w:t>aplicação</w:t>
      </w:r>
      <w:r w:rsidR="00EC1123" w:rsidRPr="00335A81">
        <w:rPr>
          <w:b/>
          <w:bCs/>
        </w:rPr>
        <w:t xml:space="preserve"> </w:t>
      </w:r>
      <w:r w:rsidR="00EC1123" w:rsidRPr="00940359">
        <w:rPr>
          <w:b/>
          <w:bCs/>
          <w:u w:val="single"/>
        </w:rPr>
        <w:t>conjunta</w:t>
      </w:r>
      <w:r w:rsidR="00EC1123" w:rsidRPr="00335A81">
        <w:rPr>
          <w:b/>
          <w:bCs/>
        </w:rPr>
        <w:t xml:space="preserve"> do art. 38 e do art. 529 do CPP</w:t>
      </w:r>
      <w:r w:rsidR="00EC1123">
        <w:t xml:space="preserve">, </w:t>
      </w:r>
      <w:r w:rsidR="002E6D0A">
        <w:t>o que derrui o argumento de que seria necessária a homologação judicial de laudo pericial</w:t>
      </w:r>
      <w:r w:rsidR="002E6D0A" w:rsidRPr="00610AFD">
        <w:t xml:space="preserve"> </w:t>
      </w:r>
      <w:r w:rsidR="002E6D0A">
        <w:t xml:space="preserve">para início do prazo decadencial. </w:t>
      </w:r>
    </w:p>
    <w:p w14:paraId="214A60BF" w14:textId="2B11362C" w:rsidR="002E6D0A" w:rsidRDefault="002E6D0A" w:rsidP="002E6D0A">
      <w:pPr>
        <w:pStyle w:val="SemEspaamento"/>
      </w:pPr>
      <w:r>
        <w:t xml:space="preserve">Vale frisar, Excelência, o art. 525 do CPP é categórico em </w:t>
      </w:r>
      <w:r w:rsidRPr="00B833A5">
        <w:rPr>
          <w:b/>
          <w:bCs/>
        </w:rPr>
        <w:t>não</w:t>
      </w:r>
      <w:r w:rsidRPr="00B833A5">
        <w:t xml:space="preserve"> </w:t>
      </w:r>
      <w:r w:rsidRPr="00B833A5">
        <w:rPr>
          <w:b/>
          <w:bCs/>
        </w:rPr>
        <w:t>exigir</w:t>
      </w:r>
      <w:r w:rsidRPr="00B833A5">
        <w:t xml:space="preserve"> </w:t>
      </w:r>
      <w:r w:rsidRPr="00E55C9B">
        <w:rPr>
          <w:b/>
          <w:bCs/>
        </w:rPr>
        <w:t>a</w:t>
      </w:r>
      <w:r w:rsidRPr="00B833A5">
        <w:t xml:space="preserve"> </w:t>
      </w:r>
      <w:r w:rsidRPr="00B833A5">
        <w:rPr>
          <w:b/>
          <w:bCs/>
        </w:rPr>
        <w:t>propositura</w:t>
      </w:r>
      <w:r w:rsidRPr="00B833A5">
        <w:t xml:space="preserve"> </w:t>
      </w:r>
      <w:r w:rsidRPr="00B833A5">
        <w:rPr>
          <w:b/>
          <w:bCs/>
        </w:rPr>
        <w:t>de</w:t>
      </w:r>
      <w:r w:rsidRPr="00B833A5">
        <w:t xml:space="preserve"> </w:t>
      </w:r>
      <w:r w:rsidRPr="00B833A5">
        <w:rPr>
          <w:b/>
          <w:bCs/>
        </w:rPr>
        <w:t>cautelar</w:t>
      </w:r>
      <w:r w:rsidRPr="00B833A5">
        <w:t xml:space="preserve"> </w:t>
      </w:r>
      <w:r w:rsidRPr="00B833A5">
        <w:rPr>
          <w:b/>
          <w:bCs/>
        </w:rPr>
        <w:t>preparatória</w:t>
      </w:r>
      <w:r w:rsidR="00E333F6" w:rsidRPr="00B833A5">
        <w:t xml:space="preserve"> </w:t>
      </w:r>
      <w:r w:rsidR="00E333F6">
        <w:t>perante o Poder Judiciário</w:t>
      </w:r>
      <w:r>
        <w:t xml:space="preserve">, </w:t>
      </w:r>
      <w:r w:rsidRPr="00B833A5">
        <w:rPr>
          <w:b/>
          <w:bCs/>
        </w:rPr>
        <w:t>nem</w:t>
      </w:r>
      <w:r>
        <w:t xml:space="preserve"> </w:t>
      </w:r>
      <w:r w:rsidRPr="00B833A5">
        <w:rPr>
          <w:b/>
          <w:bCs/>
        </w:rPr>
        <w:t>homologação</w:t>
      </w:r>
      <w:r>
        <w:t xml:space="preserve"> </w:t>
      </w:r>
      <w:r w:rsidRPr="00B833A5">
        <w:rPr>
          <w:b/>
          <w:bCs/>
        </w:rPr>
        <w:t>judicial</w:t>
      </w:r>
      <w:r>
        <w:t xml:space="preserve"> </w:t>
      </w:r>
      <w:r w:rsidRPr="00E55C9B">
        <w:rPr>
          <w:b/>
          <w:bCs/>
        </w:rPr>
        <w:t>de perícia</w:t>
      </w:r>
      <w:r>
        <w:t xml:space="preserve">, </w:t>
      </w:r>
      <w:r w:rsidRPr="00940359">
        <w:rPr>
          <w:b/>
          <w:bCs/>
        </w:rPr>
        <w:t>para</w:t>
      </w:r>
      <w:r>
        <w:t xml:space="preserve"> </w:t>
      </w:r>
      <w:r w:rsidRPr="00081FF3">
        <w:rPr>
          <w:b/>
          <w:bCs/>
        </w:rPr>
        <w:t>o</w:t>
      </w:r>
      <w:r>
        <w:t xml:space="preserve"> </w:t>
      </w:r>
      <w:r w:rsidRPr="00940359">
        <w:rPr>
          <w:b/>
          <w:bCs/>
        </w:rPr>
        <w:t>recebimento</w:t>
      </w:r>
      <w:r>
        <w:t xml:space="preserve"> </w:t>
      </w:r>
      <w:r w:rsidRPr="00940359">
        <w:rPr>
          <w:b/>
          <w:bCs/>
        </w:rPr>
        <w:t>da</w:t>
      </w:r>
      <w:r>
        <w:t xml:space="preserve"> </w:t>
      </w:r>
      <w:r w:rsidRPr="00940359">
        <w:rPr>
          <w:b/>
          <w:bCs/>
        </w:rPr>
        <w:t>queixa</w:t>
      </w:r>
      <w:r>
        <w:t>-</w:t>
      </w:r>
      <w:r w:rsidRPr="00940359">
        <w:rPr>
          <w:b/>
          <w:bCs/>
        </w:rPr>
        <w:t>crime</w:t>
      </w:r>
      <w:r>
        <w:t xml:space="preserve">, o que foi feito por conta e risco exclusiva da recorrida MATTEL. </w:t>
      </w:r>
    </w:p>
    <w:p w14:paraId="277B6013" w14:textId="19DA1FE8" w:rsidR="00E333F6" w:rsidRPr="00956EDF" w:rsidRDefault="00E333F6" w:rsidP="00E333F6">
      <w:pPr>
        <w:pStyle w:val="SemEspaamento"/>
      </w:pPr>
      <w:r>
        <w:t xml:space="preserve">Portanto, ao contrário do que sustenta </w:t>
      </w:r>
      <w:r w:rsidR="005232B1">
        <w:t>a</w:t>
      </w:r>
      <w:r>
        <w:t xml:space="preserve"> embargante, o aresto recorrido não padece dos vícios apontados, tratando-se de mera rediscussão de matéria já decidida, de modo que não há como aplicar o art. 529 do CPP isoladamente, devendo o ajuizamento da queixa-crime respeitar o prazo decadencial de 6 meses </w:t>
      </w:r>
      <w:r w:rsidRPr="003A0CA5">
        <w:rPr>
          <w:sz w:val="20"/>
          <w:szCs w:val="18"/>
        </w:rPr>
        <w:t>(art. 38 do CPP)</w:t>
      </w:r>
      <w:r>
        <w:t xml:space="preserve"> e, caso sobrevenha a homologação do laudo dentro desse período, esse prazo é reduzido para 30 dias </w:t>
      </w:r>
      <w:r w:rsidRPr="003A0CA5">
        <w:rPr>
          <w:sz w:val="20"/>
          <w:szCs w:val="18"/>
        </w:rPr>
        <w:t>(art. 529 do CPP)</w:t>
      </w:r>
      <w:r>
        <w:t>, exatamente como decidido pelo voto vencedor em observância à jurisprudência atual da Colenda Corte Superior.</w:t>
      </w:r>
    </w:p>
    <w:p w14:paraId="3A400E82" w14:textId="56CCC6F2" w:rsidR="002E6D0A" w:rsidRDefault="00BF5E90" w:rsidP="002E6D0A">
      <w:pPr>
        <w:pStyle w:val="SemEspaamento"/>
      </w:pPr>
      <w:r>
        <w:t>Sendo assim</w:t>
      </w:r>
      <w:r w:rsidR="002E6D0A">
        <w:t>,</w:t>
      </w:r>
      <w:r>
        <w:t xml:space="preserve"> Excelência,</w:t>
      </w:r>
      <w:r w:rsidR="002E6D0A">
        <w:t xml:space="preserve"> o fato é que, se for feita interpretação diversa, </w:t>
      </w:r>
      <w:r w:rsidR="002E4DCF">
        <w:t xml:space="preserve">como insiste </w:t>
      </w:r>
      <w:r w:rsidR="005232B1">
        <w:t>a</w:t>
      </w:r>
      <w:r w:rsidR="002E4DCF">
        <w:t xml:space="preserve"> embargante, </w:t>
      </w:r>
      <w:r w:rsidR="002E6D0A">
        <w:t xml:space="preserve">estar-se-ia autorizando a </w:t>
      </w:r>
      <w:r w:rsidR="002E6D0A" w:rsidRPr="009D7839">
        <w:rPr>
          <w:u w:val="single"/>
        </w:rPr>
        <w:t>inércia</w:t>
      </w:r>
      <w:r w:rsidR="002E6D0A">
        <w:t xml:space="preserve"> </w:t>
      </w:r>
      <w:r w:rsidR="002E6D0A" w:rsidRPr="009D7839">
        <w:rPr>
          <w:u w:val="single"/>
        </w:rPr>
        <w:t>do</w:t>
      </w:r>
      <w:r w:rsidR="002E6D0A">
        <w:t xml:space="preserve"> </w:t>
      </w:r>
      <w:r w:rsidR="002E6D0A" w:rsidRPr="009D7839">
        <w:rPr>
          <w:u w:val="single"/>
        </w:rPr>
        <w:t>querelante</w:t>
      </w:r>
      <w:r w:rsidR="002E6D0A">
        <w:t xml:space="preserve"> e, mais, chegaria ao contrassenso de </w:t>
      </w:r>
      <w:r w:rsidR="002E6D0A" w:rsidRPr="008C1F0E">
        <w:rPr>
          <w:u w:val="single"/>
        </w:rPr>
        <w:t>lhe</w:t>
      </w:r>
      <w:r w:rsidR="002E6D0A">
        <w:t xml:space="preserve"> </w:t>
      </w:r>
      <w:r w:rsidR="002E6D0A" w:rsidRPr="008C1F0E">
        <w:rPr>
          <w:u w:val="single"/>
        </w:rPr>
        <w:t>conferir</w:t>
      </w:r>
      <w:r w:rsidR="002E6D0A">
        <w:t xml:space="preserve"> a </w:t>
      </w:r>
      <w:r w:rsidR="002E6D0A" w:rsidRPr="008C1F0E">
        <w:rPr>
          <w:u w:val="single"/>
        </w:rPr>
        <w:t>escolha</w:t>
      </w:r>
      <w:r w:rsidR="002E6D0A">
        <w:t xml:space="preserve"> </w:t>
      </w:r>
      <w:r w:rsidR="002E6D0A" w:rsidRPr="008C1F0E">
        <w:rPr>
          <w:u w:val="single"/>
        </w:rPr>
        <w:t>do</w:t>
      </w:r>
      <w:r w:rsidR="002E6D0A">
        <w:t xml:space="preserve"> </w:t>
      </w:r>
      <w:r w:rsidR="002E6D0A" w:rsidRPr="008C1F0E">
        <w:rPr>
          <w:u w:val="single"/>
        </w:rPr>
        <w:t>início</w:t>
      </w:r>
      <w:r w:rsidR="002E6D0A">
        <w:t xml:space="preserve"> </w:t>
      </w:r>
      <w:r w:rsidR="002E6D0A" w:rsidRPr="008C1F0E">
        <w:rPr>
          <w:u w:val="single"/>
        </w:rPr>
        <w:t>do</w:t>
      </w:r>
      <w:r w:rsidR="002E6D0A">
        <w:t xml:space="preserve"> </w:t>
      </w:r>
      <w:r w:rsidR="002E6D0A" w:rsidRPr="008C1F0E">
        <w:rPr>
          <w:u w:val="single"/>
        </w:rPr>
        <w:t>prazo</w:t>
      </w:r>
      <w:r w:rsidR="002E6D0A">
        <w:t xml:space="preserve"> </w:t>
      </w:r>
      <w:r w:rsidR="002E6D0A" w:rsidRPr="008C1F0E">
        <w:rPr>
          <w:u w:val="single"/>
        </w:rPr>
        <w:t>decadencial</w:t>
      </w:r>
      <w:r w:rsidR="002E6D0A">
        <w:t xml:space="preserve"> </w:t>
      </w:r>
      <w:r w:rsidR="002E6D0A" w:rsidRPr="00CF7DE4">
        <w:rPr>
          <w:u w:val="single"/>
        </w:rPr>
        <w:t>para</w:t>
      </w:r>
      <w:r w:rsidR="002E6D0A">
        <w:t xml:space="preserve"> a </w:t>
      </w:r>
      <w:r w:rsidR="002E6D0A" w:rsidRPr="00CF7DE4">
        <w:rPr>
          <w:u w:val="single"/>
        </w:rPr>
        <w:t>propositura</w:t>
      </w:r>
      <w:r w:rsidR="002E6D0A">
        <w:t xml:space="preserve"> da </w:t>
      </w:r>
      <w:r w:rsidR="002E6D0A" w:rsidRPr="00CF7DE4">
        <w:rPr>
          <w:u w:val="single"/>
        </w:rPr>
        <w:t>queixa</w:t>
      </w:r>
      <w:r w:rsidR="002E6D0A">
        <w:t>-</w:t>
      </w:r>
      <w:r w:rsidR="002E6D0A" w:rsidRPr="00CF7DE4">
        <w:rPr>
          <w:u w:val="single"/>
        </w:rPr>
        <w:t>crime</w:t>
      </w:r>
      <w:r w:rsidR="002E6D0A">
        <w:t>, o que não pode ser admitido, sob pena de se deturpar o instituto jurídico da decadência, incidente no caso.</w:t>
      </w:r>
    </w:p>
    <w:p w14:paraId="7B8F3FA2" w14:textId="0C757A99" w:rsidR="002E4DCF" w:rsidRDefault="002E6D0A" w:rsidP="00A90AB0">
      <w:pPr>
        <w:pStyle w:val="SemEspaamento"/>
      </w:pPr>
      <w:r>
        <w:t xml:space="preserve">Portanto, </w:t>
      </w:r>
      <w:r w:rsidR="002E4DCF">
        <w:t>como o aresto recorrido não padece dos vícios apontados e, mais, conciliou corretamente os prazos previstos no art. 38 e 529 do CPP, exatamente de acordo com o entendimento jurisprudencial consolidado</w:t>
      </w:r>
      <w:r w:rsidR="00781217">
        <w:t xml:space="preserve"> e vigente</w:t>
      </w:r>
      <w:r w:rsidR="002E4DCF">
        <w:t xml:space="preserve"> da Corte </w:t>
      </w:r>
      <w:r w:rsidR="00B66A77">
        <w:t>da Cidadania</w:t>
      </w:r>
      <w:r w:rsidR="002E4DCF">
        <w:t>, a rejeição dos aclaratórios é medida que se impõe.</w:t>
      </w:r>
    </w:p>
    <w:p w14:paraId="3E4422EC" w14:textId="77777777" w:rsidR="002E4DCF" w:rsidRDefault="002E4DCF" w:rsidP="002E4DCF">
      <w:pPr>
        <w:pStyle w:val="SemEspaamento"/>
        <w:numPr>
          <w:ilvl w:val="0"/>
          <w:numId w:val="0"/>
        </w:numPr>
      </w:pPr>
    </w:p>
    <w:p w14:paraId="08E02122" w14:textId="77777777" w:rsidR="009A18D0" w:rsidRDefault="009A18D0" w:rsidP="002E4DCF">
      <w:pPr>
        <w:pStyle w:val="SemEspaamento"/>
        <w:numPr>
          <w:ilvl w:val="0"/>
          <w:numId w:val="0"/>
        </w:numPr>
      </w:pPr>
    </w:p>
    <w:p w14:paraId="22FFAB7E" w14:textId="77777777" w:rsidR="009A18D0" w:rsidRDefault="009A18D0" w:rsidP="002E4DCF">
      <w:pPr>
        <w:pStyle w:val="SemEspaamento"/>
        <w:numPr>
          <w:ilvl w:val="0"/>
          <w:numId w:val="0"/>
        </w:numPr>
      </w:pPr>
    </w:p>
    <w:p w14:paraId="6BD1998D" w14:textId="77777777" w:rsidR="00F73F72" w:rsidRDefault="00F73F72" w:rsidP="002E4DCF">
      <w:pPr>
        <w:pStyle w:val="SemEspaamento"/>
        <w:numPr>
          <w:ilvl w:val="0"/>
          <w:numId w:val="0"/>
        </w:numPr>
      </w:pPr>
    </w:p>
    <w:p w14:paraId="33B6F713" w14:textId="01840F0D" w:rsidR="002E4DCF" w:rsidRDefault="002E4DCF" w:rsidP="002E4DCF">
      <w:pPr>
        <w:pStyle w:val="Ttulo"/>
      </w:pPr>
      <w:r>
        <w:t xml:space="preserve">III </w:t>
      </w:r>
      <w:r w:rsidR="00CE63F1">
        <w:t>–</w:t>
      </w:r>
      <w:r>
        <w:t xml:space="preserve"> REQUERIMENTOS</w:t>
      </w:r>
    </w:p>
    <w:p w14:paraId="399442FE" w14:textId="77777777" w:rsidR="002E4DCF" w:rsidRDefault="002E4DCF" w:rsidP="002E4DCF">
      <w:pPr>
        <w:pStyle w:val="SemEspaamento"/>
        <w:numPr>
          <w:ilvl w:val="0"/>
          <w:numId w:val="0"/>
        </w:numPr>
      </w:pPr>
    </w:p>
    <w:p w14:paraId="46795F3A" w14:textId="6396F4A4" w:rsidR="002E6D0A" w:rsidRDefault="002E4DCF" w:rsidP="002E4DCF">
      <w:pPr>
        <w:pStyle w:val="SemEspaamento"/>
      </w:pPr>
      <w:r>
        <w:t xml:space="preserve">Ante o exposto, </w:t>
      </w:r>
      <w:r w:rsidR="00295933">
        <w:t xml:space="preserve">diante inexistência dos vícios apontados, </w:t>
      </w:r>
      <w:r>
        <w:t xml:space="preserve">o embargado requer </w:t>
      </w:r>
      <w:r w:rsidR="009A18D0">
        <w:t xml:space="preserve">o não conhecimento ou, na pior das hipóteses, </w:t>
      </w:r>
      <w:r>
        <w:t>a rejeição dos aclaratórios opostos</w:t>
      </w:r>
      <w:r w:rsidR="00B34359">
        <w:t xml:space="preserve"> pela MATTEL INC</w:t>
      </w:r>
      <w:r>
        <w:t xml:space="preserve">, </w:t>
      </w:r>
      <w:r w:rsidR="00B34359">
        <w:t xml:space="preserve">sobretudo por ser evidente que se </w:t>
      </w:r>
      <w:r w:rsidR="00295933">
        <w:t>está diante</w:t>
      </w:r>
      <w:r w:rsidR="00B34359">
        <w:t xml:space="preserve"> </w:t>
      </w:r>
      <w:r>
        <w:t xml:space="preserve">de mero inconformismo </w:t>
      </w:r>
      <w:r w:rsidR="00295933">
        <w:t>d</w:t>
      </w:r>
      <w:r w:rsidR="00994699">
        <w:t>a</w:t>
      </w:r>
      <w:r w:rsidR="00295933">
        <w:t xml:space="preserve"> recorrente </w:t>
      </w:r>
      <w:r w:rsidR="00994699">
        <w:t>quanto</w:t>
      </w:r>
      <w:r w:rsidR="00B66A77">
        <w:t xml:space="preserve"> </w:t>
      </w:r>
      <w:r w:rsidR="006A5F5B">
        <w:t>à</w:t>
      </w:r>
      <w:r>
        <w:t xml:space="preserve"> matéria já devidamente apreciada pela Colenda Turma</w:t>
      </w:r>
      <w:r w:rsidR="003C0F40">
        <w:t>, que</w:t>
      </w:r>
      <w:r w:rsidR="00994699">
        <w:t xml:space="preserve"> </w:t>
      </w:r>
      <w:r w:rsidR="003C0F40">
        <w:t xml:space="preserve">seguiu entendimento consolidado </w:t>
      </w:r>
      <w:r w:rsidR="00994699">
        <w:t>da</w:t>
      </w:r>
      <w:r w:rsidR="003C0F40">
        <w:t xml:space="preserve"> Corte Superior</w:t>
      </w:r>
      <w:r w:rsidR="00B66A77">
        <w:t xml:space="preserve"> de Justiça</w:t>
      </w:r>
      <w:r w:rsidR="002E6D0A">
        <w:t>.</w:t>
      </w:r>
    </w:p>
    <w:p w14:paraId="012FE293" w14:textId="77777777" w:rsidR="002E6D0A" w:rsidRPr="00295933" w:rsidRDefault="002E6D0A" w:rsidP="00295933">
      <w:pPr>
        <w:pStyle w:val="Ttulo2"/>
        <w:rPr>
          <w:rFonts w:eastAsia="Calibri"/>
        </w:rPr>
      </w:pPr>
    </w:p>
    <w:p w14:paraId="0EC7CFF0" w14:textId="30369674" w:rsidR="00295933" w:rsidRDefault="00295933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>Pede deferimento.</w:t>
      </w:r>
    </w:p>
    <w:p w14:paraId="1D27DA8E" w14:textId="7D1439E8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0B7116">
        <w:rPr>
          <w:rFonts w:ascii="Arial" w:eastAsia="Calibri" w:hAnsi="Arial" w:cs="Times New Roman"/>
          <w:noProof/>
          <w:sz w:val="24"/>
          <w:szCs w:val="24"/>
        </w:rPr>
        <w:t>11 de novembro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1CF8366E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94CE051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54672C6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AADC668" w14:textId="77777777" w:rsidR="000169F1" w:rsidRPr="00994699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  <w:lang w:val="en-US"/>
        </w:rPr>
      </w:pPr>
      <w:r w:rsidRPr="00994699">
        <w:rPr>
          <w:rFonts w:ascii="Arial" w:eastAsia="Times New Roman" w:hAnsi="Arial" w:cs="Times New Roman"/>
          <w:b/>
          <w:sz w:val="24"/>
          <w:szCs w:val="24"/>
          <w:lang w:val="en-US"/>
        </w:rPr>
        <w:t>Paulo Ekke Moukarzel Junior</w:t>
      </w:r>
    </w:p>
    <w:p w14:paraId="07A171A1" w14:textId="77777777" w:rsidR="000169F1" w:rsidRPr="00994699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  <w:lang w:val="en-US"/>
        </w:rPr>
      </w:pPr>
      <w:r w:rsidRPr="00994699">
        <w:rPr>
          <w:rFonts w:ascii="Arial" w:eastAsia="Times New Roman" w:hAnsi="Arial" w:cs="Times New Roman"/>
          <w:sz w:val="24"/>
          <w:szCs w:val="24"/>
          <w:lang w:val="en-US"/>
        </w:rPr>
        <w:t>OAB/SC 36.591</w:t>
      </w:r>
    </w:p>
    <w:sectPr w:rsidR="000169F1" w:rsidRPr="00994699" w:rsidSect="005C5CD1">
      <w:headerReference w:type="default" r:id="rId9"/>
      <w:footerReference w:type="default" r:id="rId10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6C172" w14:textId="77777777" w:rsidR="009F61DC" w:rsidRDefault="009F61DC" w:rsidP="00943258">
      <w:pPr>
        <w:spacing w:after="0" w:line="240" w:lineRule="auto"/>
      </w:pPr>
      <w:r>
        <w:separator/>
      </w:r>
    </w:p>
  </w:endnote>
  <w:endnote w:type="continuationSeparator" w:id="0">
    <w:p w14:paraId="2367FADD" w14:textId="77777777" w:rsidR="009F61DC" w:rsidRDefault="009F61DC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5472BB99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57D703E1" wp14:editId="6EBCA4AE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103464759" name="Imagem 110346475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093BC1D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16B0A" w14:textId="77777777" w:rsidR="009F61DC" w:rsidRDefault="009F61DC" w:rsidP="00943258">
      <w:pPr>
        <w:spacing w:after="0" w:line="240" w:lineRule="auto"/>
      </w:pPr>
      <w:r>
        <w:separator/>
      </w:r>
    </w:p>
  </w:footnote>
  <w:footnote w:type="continuationSeparator" w:id="0">
    <w:p w14:paraId="6B6F4540" w14:textId="77777777" w:rsidR="009F61DC" w:rsidRDefault="009F61DC" w:rsidP="00943258">
      <w:pPr>
        <w:spacing w:after="0" w:line="240" w:lineRule="auto"/>
      </w:pPr>
      <w:r>
        <w:continuationSeparator/>
      </w:r>
    </w:p>
  </w:footnote>
  <w:footnote w:id="1">
    <w:p w14:paraId="1EEDB718" w14:textId="1C654CEF" w:rsidR="000B1DCF" w:rsidRPr="00DA6625" w:rsidRDefault="000B1DCF" w:rsidP="00DA6625">
      <w:pPr>
        <w:pStyle w:val="Textodenotaderodap"/>
        <w:jc w:val="both"/>
        <w:rPr>
          <w:rFonts w:ascii="Arial" w:hAnsi="Arial" w:cs="Arial"/>
        </w:rPr>
      </w:pPr>
      <w:r w:rsidRPr="00DA6625">
        <w:rPr>
          <w:rStyle w:val="Refdenotaderodap"/>
          <w:rFonts w:ascii="Arial" w:hAnsi="Arial" w:cs="Arial"/>
        </w:rPr>
        <w:footnoteRef/>
      </w:r>
      <w:r w:rsidRPr="00DA6625">
        <w:rPr>
          <w:rFonts w:ascii="Arial" w:hAnsi="Arial" w:cs="Arial"/>
        </w:rPr>
        <w:t xml:space="preserve"> </w:t>
      </w:r>
      <w:r w:rsidR="004E1096">
        <w:rPr>
          <w:rFonts w:ascii="Arial" w:hAnsi="Arial" w:cs="Arial"/>
        </w:rPr>
        <w:t>“</w:t>
      </w:r>
      <w:r w:rsidR="00DA6625" w:rsidRPr="004E1096">
        <w:rPr>
          <w:rFonts w:ascii="Arial" w:hAnsi="Arial" w:cs="Arial"/>
          <w:i/>
          <w:iCs/>
        </w:rPr>
        <w:t xml:space="preserve">Nos termos do art. 619, do Código de Processo Penal, os Embargos de Declaração destinam-se a suprir omissão, contradição e ambiguidade ou obscuridade existente no julgado, </w:t>
      </w:r>
      <w:r w:rsidR="00DA6625" w:rsidRPr="004E1096">
        <w:rPr>
          <w:rFonts w:ascii="Arial" w:hAnsi="Arial" w:cs="Arial"/>
          <w:b/>
          <w:bCs/>
          <w:i/>
          <w:iCs/>
        </w:rPr>
        <w:t>não se prestando para manifestar mero inconformismo da parte sucumbente com a decisão embargada</w:t>
      </w:r>
      <w:r w:rsidR="004E1096">
        <w:rPr>
          <w:rFonts w:ascii="Arial" w:hAnsi="Arial" w:cs="Arial"/>
        </w:rPr>
        <w:t>”</w:t>
      </w:r>
      <w:r w:rsidR="006C7E8E">
        <w:rPr>
          <w:rFonts w:ascii="Arial" w:hAnsi="Arial" w:cs="Arial"/>
        </w:rPr>
        <w:t xml:space="preserve"> </w:t>
      </w:r>
      <w:r w:rsidR="006C7E8E" w:rsidRPr="006C7E8E">
        <w:rPr>
          <w:rFonts w:ascii="Arial" w:hAnsi="Arial" w:cs="Arial"/>
        </w:rPr>
        <w:t>(STJ, EDs no AREsp n. 1.205.662/PB, rel. Min. Ribeiro Dantas, 5ª Turma, j. em 7.2.2023)</w:t>
      </w:r>
      <w:r w:rsidR="00DA6625" w:rsidRPr="00DA6625">
        <w:rPr>
          <w:rFonts w:ascii="Arial" w:hAnsi="Arial" w:cs="Arial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9BB03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353FFB1F" wp14:editId="7291A0E9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782435247" name="Imagem 1782435247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4AC81172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78521475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FE7C8BB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7123412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0FD"/>
    <w:rsid w:val="00003DFD"/>
    <w:rsid w:val="00003F31"/>
    <w:rsid w:val="000169F1"/>
    <w:rsid w:val="00034911"/>
    <w:rsid w:val="0004298B"/>
    <w:rsid w:val="00046CD4"/>
    <w:rsid w:val="000554DA"/>
    <w:rsid w:val="000802F2"/>
    <w:rsid w:val="00081FF3"/>
    <w:rsid w:val="00097661"/>
    <w:rsid w:val="000B1DCF"/>
    <w:rsid w:val="000B7116"/>
    <w:rsid w:val="000D228C"/>
    <w:rsid w:val="000D590A"/>
    <w:rsid w:val="000E665C"/>
    <w:rsid w:val="000F0AFD"/>
    <w:rsid w:val="000F5880"/>
    <w:rsid w:val="000F7278"/>
    <w:rsid w:val="00131BEB"/>
    <w:rsid w:val="00136293"/>
    <w:rsid w:val="00153F2C"/>
    <w:rsid w:val="001560D7"/>
    <w:rsid w:val="001603FA"/>
    <w:rsid w:val="001667B0"/>
    <w:rsid w:val="001761C0"/>
    <w:rsid w:val="00180D83"/>
    <w:rsid w:val="00183BE2"/>
    <w:rsid w:val="001A2E1A"/>
    <w:rsid w:val="001B1B31"/>
    <w:rsid w:val="001B2B98"/>
    <w:rsid w:val="001B2E75"/>
    <w:rsid w:val="001F10E2"/>
    <w:rsid w:val="00201F45"/>
    <w:rsid w:val="00207BE4"/>
    <w:rsid w:val="00214E09"/>
    <w:rsid w:val="0021528E"/>
    <w:rsid w:val="00224D73"/>
    <w:rsid w:val="00234CAB"/>
    <w:rsid w:val="0027298B"/>
    <w:rsid w:val="00272BFB"/>
    <w:rsid w:val="0027757B"/>
    <w:rsid w:val="00287E14"/>
    <w:rsid w:val="00291F6C"/>
    <w:rsid w:val="00295933"/>
    <w:rsid w:val="002A20FD"/>
    <w:rsid w:val="002B3001"/>
    <w:rsid w:val="002B637C"/>
    <w:rsid w:val="002C3668"/>
    <w:rsid w:val="002E4DCF"/>
    <w:rsid w:val="002E4FFB"/>
    <w:rsid w:val="002E6D0A"/>
    <w:rsid w:val="002F5527"/>
    <w:rsid w:val="003072B2"/>
    <w:rsid w:val="00316D52"/>
    <w:rsid w:val="0033564F"/>
    <w:rsid w:val="00335A81"/>
    <w:rsid w:val="00346E18"/>
    <w:rsid w:val="0035228B"/>
    <w:rsid w:val="0035239D"/>
    <w:rsid w:val="00374F5A"/>
    <w:rsid w:val="00377A2E"/>
    <w:rsid w:val="003801CD"/>
    <w:rsid w:val="003C0F40"/>
    <w:rsid w:val="003C17E5"/>
    <w:rsid w:val="003E3DD0"/>
    <w:rsid w:val="003E46B9"/>
    <w:rsid w:val="003E665A"/>
    <w:rsid w:val="003F66B2"/>
    <w:rsid w:val="00422913"/>
    <w:rsid w:val="00441AED"/>
    <w:rsid w:val="00446CC5"/>
    <w:rsid w:val="00475280"/>
    <w:rsid w:val="0049094D"/>
    <w:rsid w:val="00493C24"/>
    <w:rsid w:val="004949AD"/>
    <w:rsid w:val="004C08BA"/>
    <w:rsid w:val="004E1096"/>
    <w:rsid w:val="004F2B78"/>
    <w:rsid w:val="004F384D"/>
    <w:rsid w:val="00501A18"/>
    <w:rsid w:val="005232B1"/>
    <w:rsid w:val="00526422"/>
    <w:rsid w:val="005321DA"/>
    <w:rsid w:val="005429C9"/>
    <w:rsid w:val="005435D1"/>
    <w:rsid w:val="00551471"/>
    <w:rsid w:val="005562B8"/>
    <w:rsid w:val="005A22BE"/>
    <w:rsid w:val="005B67EA"/>
    <w:rsid w:val="005C5CD1"/>
    <w:rsid w:val="005D7D30"/>
    <w:rsid w:val="005E58E2"/>
    <w:rsid w:val="005F5ACF"/>
    <w:rsid w:val="005F77CB"/>
    <w:rsid w:val="006062D7"/>
    <w:rsid w:val="00673228"/>
    <w:rsid w:val="006733D0"/>
    <w:rsid w:val="00690302"/>
    <w:rsid w:val="0069259E"/>
    <w:rsid w:val="00693F8B"/>
    <w:rsid w:val="00696295"/>
    <w:rsid w:val="006A5F5B"/>
    <w:rsid w:val="006C0DFC"/>
    <w:rsid w:val="006C7E8E"/>
    <w:rsid w:val="006E1D1A"/>
    <w:rsid w:val="00700D46"/>
    <w:rsid w:val="00707337"/>
    <w:rsid w:val="00722DF5"/>
    <w:rsid w:val="007631FE"/>
    <w:rsid w:val="0077302E"/>
    <w:rsid w:val="00781217"/>
    <w:rsid w:val="00795616"/>
    <w:rsid w:val="00797900"/>
    <w:rsid w:val="007B7C9A"/>
    <w:rsid w:val="007C36DB"/>
    <w:rsid w:val="007C4260"/>
    <w:rsid w:val="007D18DA"/>
    <w:rsid w:val="007D30FD"/>
    <w:rsid w:val="007D4B89"/>
    <w:rsid w:val="00810D34"/>
    <w:rsid w:val="00825217"/>
    <w:rsid w:val="008258EC"/>
    <w:rsid w:val="00827844"/>
    <w:rsid w:val="008340E6"/>
    <w:rsid w:val="00864EAF"/>
    <w:rsid w:val="008A0012"/>
    <w:rsid w:val="008A1563"/>
    <w:rsid w:val="008A7A7D"/>
    <w:rsid w:val="008C4C26"/>
    <w:rsid w:val="008E31FF"/>
    <w:rsid w:val="008E377D"/>
    <w:rsid w:val="008F2218"/>
    <w:rsid w:val="008F53CE"/>
    <w:rsid w:val="008F7B29"/>
    <w:rsid w:val="0090226D"/>
    <w:rsid w:val="00924163"/>
    <w:rsid w:val="00925EC2"/>
    <w:rsid w:val="00940359"/>
    <w:rsid w:val="00943258"/>
    <w:rsid w:val="00960658"/>
    <w:rsid w:val="00961632"/>
    <w:rsid w:val="00994699"/>
    <w:rsid w:val="009A18D0"/>
    <w:rsid w:val="009A5988"/>
    <w:rsid w:val="009B507B"/>
    <w:rsid w:val="009C14D3"/>
    <w:rsid w:val="009C2D69"/>
    <w:rsid w:val="009D6B51"/>
    <w:rsid w:val="009D7575"/>
    <w:rsid w:val="009D7839"/>
    <w:rsid w:val="009F61DC"/>
    <w:rsid w:val="009F6978"/>
    <w:rsid w:val="00A049FC"/>
    <w:rsid w:val="00A15B21"/>
    <w:rsid w:val="00A3388C"/>
    <w:rsid w:val="00A4184F"/>
    <w:rsid w:val="00A65A14"/>
    <w:rsid w:val="00AA2F37"/>
    <w:rsid w:val="00AE54A6"/>
    <w:rsid w:val="00B01E5F"/>
    <w:rsid w:val="00B07047"/>
    <w:rsid w:val="00B14A81"/>
    <w:rsid w:val="00B34359"/>
    <w:rsid w:val="00B444FD"/>
    <w:rsid w:val="00B6363E"/>
    <w:rsid w:val="00B650A0"/>
    <w:rsid w:val="00B66A77"/>
    <w:rsid w:val="00B833A5"/>
    <w:rsid w:val="00B841FA"/>
    <w:rsid w:val="00B84B89"/>
    <w:rsid w:val="00BA2544"/>
    <w:rsid w:val="00BA6658"/>
    <w:rsid w:val="00BB0E77"/>
    <w:rsid w:val="00BC2C67"/>
    <w:rsid w:val="00BF5E90"/>
    <w:rsid w:val="00C03B4C"/>
    <w:rsid w:val="00C0456B"/>
    <w:rsid w:val="00C23375"/>
    <w:rsid w:val="00C414B5"/>
    <w:rsid w:val="00C45BD2"/>
    <w:rsid w:val="00C60814"/>
    <w:rsid w:val="00CB5D98"/>
    <w:rsid w:val="00CB5FC5"/>
    <w:rsid w:val="00CC0544"/>
    <w:rsid w:val="00CE63F1"/>
    <w:rsid w:val="00CF7DE4"/>
    <w:rsid w:val="00D07459"/>
    <w:rsid w:val="00D23842"/>
    <w:rsid w:val="00D24A8B"/>
    <w:rsid w:val="00D32740"/>
    <w:rsid w:val="00D465A0"/>
    <w:rsid w:val="00D50AFA"/>
    <w:rsid w:val="00D75D03"/>
    <w:rsid w:val="00D95691"/>
    <w:rsid w:val="00DA6625"/>
    <w:rsid w:val="00DB0B83"/>
    <w:rsid w:val="00DB7EF4"/>
    <w:rsid w:val="00DC7E4C"/>
    <w:rsid w:val="00DD0681"/>
    <w:rsid w:val="00DD0825"/>
    <w:rsid w:val="00DD0EC7"/>
    <w:rsid w:val="00DE0162"/>
    <w:rsid w:val="00DE0552"/>
    <w:rsid w:val="00DE138D"/>
    <w:rsid w:val="00DE6D60"/>
    <w:rsid w:val="00DF5478"/>
    <w:rsid w:val="00DF5584"/>
    <w:rsid w:val="00E05790"/>
    <w:rsid w:val="00E333F6"/>
    <w:rsid w:val="00E55C9B"/>
    <w:rsid w:val="00E619AA"/>
    <w:rsid w:val="00E90F3C"/>
    <w:rsid w:val="00E968BB"/>
    <w:rsid w:val="00EB1A42"/>
    <w:rsid w:val="00EB4346"/>
    <w:rsid w:val="00EC1123"/>
    <w:rsid w:val="00EC29FE"/>
    <w:rsid w:val="00EE0E02"/>
    <w:rsid w:val="00EE3903"/>
    <w:rsid w:val="00F028B7"/>
    <w:rsid w:val="00F11B2C"/>
    <w:rsid w:val="00F16111"/>
    <w:rsid w:val="00F22B73"/>
    <w:rsid w:val="00F53FF5"/>
    <w:rsid w:val="00F73F72"/>
    <w:rsid w:val="00FA081D"/>
    <w:rsid w:val="00FA31C3"/>
    <w:rsid w:val="00FB3A3F"/>
    <w:rsid w:val="00FC4DCC"/>
    <w:rsid w:val="00FC63CA"/>
    <w:rsid w:val="00FE2064"/>
    <w:rsid w:val="00FF7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119BB1"/>
  <w15:chartTrackingRefBased/>
  <w15:docId w15:val="{F7D3D1C7-1890-4BE3-B2BF-0E8A81F17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link w:val="QualificaoChar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customStyle="1" w:styleId="QualificaoChar">
    <w:name w:val="Qualificação Char"/>
    <w:basedOn w:val="Fontepargpadro"/>
    <w:link w:val="Qualificao"/>
    <w:rsid w:val="002E6D0A"/>
    <w:rPr>
      <w:rFonts w:ascii="Arial" w:eastAsia="Times New Roman" w:hAnsi="Arial" w:cs="Times New Roman"/>
      <w:bCs/>
      <w:sz w:val="26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B1DCF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0B1DCF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0B1DC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06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58</TotalTime>
  <Pages>7</Pages>
  <Words>1961</Words>
  <Characters>10140</Characters>
  <Application>Microsoft Office Word</Application>
  <DocSecurity>0</DocSecurity>
  <Lines>198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8</cp:revision>
  <cp:lastPrinted>2022-07-18T22:35:00Z</cp:lastPrinted>
  <dcterms:created xsi:type="dcterms:W3CDTF">2025-08-06T19:36:00Z</dcterms:created>
  <dcterms:modified xsi:type="dcterms:W3CDTF">2025-11-11T13:36:00Z</dcterms:modified>
</cp:coreProperties>
</file>