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CBE41" w14:textId="103BE1AE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 w:rsidRPr="00506D87">
        <w:rPr>
          <w:rFonts w:eastAsia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C53530" wp14:editId="4E39F672">
                <wp:simplePos x="0" y="0"/>
                <wp:positionH relativeFrom="column">
                  <wp:posOffset>-62231</wp:posOffset>
                </wp:positionH>
                <wp:positionV relativeFrom="paragraph">
                  <wp:posOffset>-27305</wp:posOffset>
                </wp:positionV>
                <wp:extent cx="4486275" cy="904875"/>
                <wp:effectExtent l="0" t="0" r="28575" b="28575"/>
                <wp:wrapNone/>
                <wp:docPr id="1322490275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6275" cy="904875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539CB" id="Retângulo: Cantos Diagonais Arredondados 1" o:spid="_x0000_s1026" style="position:absolute;margin-left:-4.9pt;margin-top:-2.15pt;width:353.25pt;height:7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486275,904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" path="m150816,l4486275,r,l4486275,754059v,83293,-67523,150816,-150816,150816l,904875r,l,150816c,67523,67523,,150816,xe" filled="f" strokecolor="#5b9bd5 [3208]" strokeweight="1pt">
                <v:stroke joinstyle="miter"/>
                <v:path arrowok="t" o:connecttype="custom" o:connectlocs="150816,0;4486275,0;4486275,0;4486275,754059;4335459,904875;0,904875;0,904875;0,150816;150816,0" o:connectangles="0,0,0,0,0,0,0,0,0"/>
              </v:shape>
            </w:pict>
          </mc:Fallback>
        </mc:AlternateContent>
      </w:r>
      <w:r w:rsidR="002D6CB1">
        <w:rPr>
          <w:rFonts w:ascii="Arial" w:eastAsia="Calibri" w:hAnsi="Arial" w:cs="Times New Roman"/>
        </w:rPr>
        <w:t xml:space="preserve">Recurso em sentido estrito </w:t>
      </w:r>
      <w:r w:rsidRPr="00506D87">
        <w:rPr>
          <w:rFonts w:ascii="Arial" w:eastAsia="Calibri" w:hAnsi="Arial" w:cs="Times New Roman"/>
        </w:rPr>
        <w:t>n.</w:t>
      </w:r>
      <w:r>
        <w:rPr>
          <w:rFonts w:ascii="Arial" w:eastAsia="Calibri" w:hAnsi="Arial" w:cs="Times New Roman"/>
        </w:rPr>
        <w:t xml:space="preserve"> </w:t>
      </w:r>
      <w:r w:rsidR="002D6CB1" w:rsidRPr="002D6CB1">
        <w:rPr>
          <w:rFonts w:ascii="Arial" w:eastAsia="Calibri" w:hAnsi="Arial" w:cs="Times New Roman"/>
        </w:rPr>
        <w:t>5002238-85.2025.4.04.7208</w:t>
      </w:r>
    </w:p>
    <w:p w14:paraId="2E9B9822" w14:textId="03C8E92F" w:rsidR="00304E64" w:rsidRDefault="002D6CB1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>Recorrente</w:t>
      </w:r>
      <w:r w:rsidR="00304E64">
        <w:rPr>
          <w:rFonts w:ascii="Arial" w:eastAsia="Calibri" w:hAnsi="Arial" w:cs="Times New Roman"/>
        </w:rPr>
        <w:t xml:space="preserve">: </w:t>
      </w:r>
      <w:r>
        <w:rPr>
          <w:rFonts w:ascii="Arial" w:eastAsia="Calibri" w:hAnsi="Arial" w:cs="Times New Roman"/>
        </w:rPr>
        <w:t>Wellington Rodrigues Ferreira</w:t>
      </w:r>
    </w:p>
    <w:p w14:paraId="222825FF" w14:textId="74EA730D" w:rsidR="00304E64" w:rsidRDefault="002D6CB1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>Recorridos</w:t>
      </w:r>
      <w:r w:rsidR="00304E64">
        <w:rPr>
          <w:rFonts w:ascii="Arial" w:eastAsia="Calibri" w:hAnsi="Arial" w:cs="Times New Roman"/>
        </w:rPr>
        <w:t xml:space="preserve">: </w:t>
      </w:r>
      <w:r>
        <w:rPr>
          <w:rFonts w:ascii="Arial" w:eastAsia="Calibri" w:hAnsi="Arial" w:cs="Times New Roman"/>
        </w:rPr>
        <w:t>Mattel INC e Ministério Público Federal</w:t>
      </w:r>
    </w:p>
    <w:p w14:paraId="794672B6" w14:textId="78C1F34F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 w:rsidRPr="00E860A5">
        <w:rPr>
          <w:rFonts w:ascii="Arial" w:eastAsia="Calibri" w:hAnsi="Arial" w:cs="Times New Roman"/>
          <w:b/>
          <w:bCs/>
        </w:rPr>
        <w:t>Relator: Desembargador</w:t>
      </w:r>
      <w:r>
        <w:rPr>
          <w:rFonts w:ascii="Arial" w:eastAsia="Calibri" w:hAnsi="Arial" w:cs="Times New Roman"/>
          <w:b/>
          <w:bCs/>
        </w:rPr>
        <w:t xml:space="preserve"> </w:t>
      </w:r>
      <w:r w:rsidR="002D6CB1" w:rsidRPr="002D6CB1">
        <w:rPr>
          <w:rFonts w:ascii="Arial" w:eastAsia="Calibri" w:hAnsi="Arial" w:cs="Times New Roman"/>
          <w:b/>
          <w:bCs/>
        </w:rPr>
        <w:t>Carlos Eduardo Thompson Flores Lenz</w:t>
      </w:r>
    </w:p>
    <w:p w14:paraId="1EABB079" w14:textId="64ADB54D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 xml:space="preserve">Data do julgamento: </w:t>
      </w:r>
      <w:r w:rsidR="002D6CB1">
        <w:rPr>
          <w:rFonts w:ascii="Arial" w:eastAsia="Calibri" w:hAnsi="Arial" w:cs="Times New Roman"/>
        </w:rPr>
        <w:t>18.6.2025</w:t>
      </w:r>
      <w:r>
        <w:rPr>
          <w:rFonts w:ascii="Arial" w:eastAsia="Calibri" w:hAnsi="Arial" w:cs="Times New Roman"/>
        </w:rPr>
        <w:tab/>
      </w:r>
      <w:r>
        <w:rPr>
          <w:rFonts w:ascii="Arial" w:eastAsia="Calibri" w:hAnsi="Arial" w:cs="Times New Roman"/>
        </w:rPr>
        <w:tab/>
        <w:t xml:space="preserve">Nº de pauta: </w:t>
      </w:r>
      <w:r w:rsidR="002D6CB1">
        <w:rPr>
          <w:rFonts w:ascii="Arial" w:eastAsia="Calibri" w:hAnsi="Arial" w:cs="Times New Roman"/>
        </w:rPr>
        <w:t>22</w:t>
      </w:r>
    </w:p>
    <w:p w14:paraId="3B9DCB47" w14:textId="77777777" w:rsidR="00304E64" w:rsidRPr="00506D87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</w:p>
    <w:p w14:paraId="2F8C3AE9" w14:textId="77777777" w:rsidR="00304E64" w:rsidRPr="004111D0" w:rsidRDefault="00304E64" w:rsidP="00304E64">
      <w:pPr>
        <w:pStyle w:val="Ttulo2"/>
        <w:rPr>
          <w:rFonts w:eastAsia="Calibri"/>
          <w:sz w:val="8"/>
          <w:szCs w:val="8"/>
        </w:rPr>
      </w:pPr>
    </w:p>
    <w:p w14:paraId="31BCC780" w14:textId="2764EA9D" w:rsidR="00304E64" w:rsidRPr="002D6CB1" w:rsidRDefault="00304E64" w:rsidP="00C81941">
      <w:pPr>
        <w:pStyle w:val="Qualificao"/>
        <w:ind w:left="0"/>
        <w:jc w:val="center"/>
        <w:rPr>
          <w:b/>
          <w:sz w:val="22"/>
        </w:rPr>
      </w:pPr>
      <w:r w:rsidRPr="002D6CB1">
        <w:rPr>
          <w:b/>
          <w:sz w:val="22"/>
        </w:rPr>
        <w:t>MEMORIAIS PEL</w:t>
      </w:r>
      <w:r w:rsidR="00E62D00" w:rsidRPr="002D6CB1">
        <w:rPr>
          <w:b/>
          <w:sz w:val="22"/>
        </w:rPr>
        <w:t>O</w:t>
      </w:r>
      <w:r w:rsidRPr="002D6CB1">
        <w:rPr>
          <w:b/>
          <w:sz w:val="22"/>
        </w:rPr>
        <w:t xml:space="preserve"> </w:t>
      </w:r>
      <w:r w:rsidR="002D6CB1" w:rsidRPr="002D6CB1">
        <w:rPr>
          <w:b/>
          <w:sz w:val="22"/>
        </w:rPr>
        <w:t>RECORRENTE</w:t>
      </w:r>
      <w:r w:rsidRPr="002D6CB1">
        <w:rPr>
          <w:b/>
          <w:sz w:val="22"/>
        </w:rPr>
        <w:t xml:space="preserve"> </w:t>
      </w:r>
    </w:p>
    <w:p w14:paraId="323E3E96" w14:textId="77777777" w:rsidR="00304E64" w:rsidRPr="002D6CB1" w:rsidRDefault="00304E64" w:rsidP="0092044E">
      <w:pPr>
        <w:pStyle w:val="Qualificaodaspartes"/>
        <w:jc w:val="center"/>
      </w:pPr>
    </w:p>
    <w:p w14:paraId="18F3C61A" w14:textId="5E3613DC" w:rsidR="00304E64" w:rsidRPr="002D6CB1" w:rsidRDefault="00304E64" w:rsidP="00304E64">
      <w:pPr>
        <w:ind w:right="284"/>
        <w:jc w:val="center"/>
        <w:rPr>
          <w:rFonts w:ascii="Arial" w:hAnsi="Arial" w:cs="Arial"/>
        </w:rPr>
      </w:pPr>
      <w:r w:rsidRPr="002D6CB1">
        <w:rPr>
          <w:rFonts w:ascii="Arial" w:eastAsia="Calibri" w:hAnsi="Arial" w:cs="Arial"/>
          <w:b/>
        </w:rPr>
        <w:t xml:space="preserve">EMINENTE DESEMBARGADOR </w:t>
      </w:r>
      <w:r w:rsidR="00E176F5">
        <w:rPr>
          <w:rFonts w:ascii="Arial" w:eastAsia="Calibri" w:hAnsi="Arial" w:cs="Arial"/>
          <w:b/>
        </w:rPr>
        <w:t>LORACI</w:t>
      </w:r>
      <w:r w:rsidR="0092044E">
        <w:rPr>
          <w:rFonts w:ascii="Arial" w:eastAsia="Calibri" w:hAnsi="Arial" w:cs="Arial"/>
          <w:b/>
        </w:rPr>
        <w:t xml:space="preserve"> </w:t>
      </w:r>
      <w:r w:rsidR="0092044E" w:rsidRPr="0092044E">
        <w:rPr>
          <w:rFonts w:ascii="Arial" w:eastAsia="Calibri" w:hAnsi="Arial" w:cs="Arial"/>
          <w:b/>
        </w:rPr>
        <w:t>FLORES DE LIMA</w:t>
      </w:r>
    </w:p>
    <w:p w14:paraId="5B03A378" w14:textId="77777777" w:rsidR="00304E64" w:rsidRPr="004111D0" w:rsidRDefault="00304E64" w:rsidP="00304E64">
      <w:pPr>
        <w:pStyle w:val="Qualificao"/>
        <w:spacing w:before="0"/>
        <w:ind w:left="0" w:right="284"/>
        <w:rPr>
          <w:rFonts w:eastAsia="Calibri"/>
          <w:b/>
          <w:sz w:val="24"/>
          <w:szCs w:val="24"/>
        </w:rPr>
      </w:pPr>
    </w:p>
    <w:p w14:paraId="35A30C22" w14:textId="136B80A2" w:rsidR="00304E64" w:rsidRPr="00385759" w:rsidRDefault="00304E64" w:rsidP="00304E64">
      <w:pPr>
        <w:pStyle w:val="Qualificao"/>
        <w:spacing w:before="0"/>
        <w:ind w:left="0" w:right="284"/>
        <w:jc w:val="center"/>
        <w:rPr>
          <w:b/>
          <w:sz w:val="22"/>
        </w:rPr>
      </w:pPr>
      <w:r w:rsidRPr="002D6CB1">
        <w:rPr>
          <w:b/>
          <w:sz w:val="22"/>
        </w:rPr>
        <w:t xml:space="preserve">COLENDA </w:t>
      </w:r>
      <w:r w:rsidR="004111D0">
        <w:rPr>
          <w:b/>
          <w:sz w:val="22"/>
        </w:rPr>
        <w:t>8ª</w:t>
      </w:r>
      <w:r w:rsidRPr="002D6CB1">
        <w:rPr>
          <w:b/>
          <w:sz w:val="22"/>
        </w:rPr>
        <w:t xml:space="preserve"> </w:t>
      </w:r>
      <w:r w:rsidR="002D6CB1" w:rsidRPr="002D6CB1">
        <w:rPr>
          <w:b/>
          <w:sz w:val="22"/>
        </w:rPr>
        <w:t xml:space="preserve">TURMA DO TRIBUNAL REGIONAL FEDERAL DA 4ª REGIÃO </w:t>
      </w:r>
    </w:p>
    <w:p w14:paraId="4B155083" w14:textId="77777777" w:rsidR="000169F1" w:rsidRPr="004111D0" w:rsidRDefault="000169F1" w:rsidP="000169F1">
      <w:pPr>
        <w:pStyle w:val="SemEspaamento"/>
        <w:numPr>
          <w:ilvl w:val="0"/>
          <w:numId w:val="0"/>
        </w:numPr>
        <w:rPr>
          <w:sz w:val="12"/>
          <w:szCs w:val="10"/>
        </w:rPr>
      </w:pPr>
    </w:p>
    <w:p w14:paraId="0BBE9B78" w14:textId="77777777" w:rsidR="000169F1" w:rsidRPr="004111D0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16"/>
          <w:szCs w:val="16"/>
        </w:rPr>
      </w:pPr>
    </w:p>
    <w:p w14:paraId="30E20001" w14:textId="0869C56A" w:rsidR="002D6CB1" w:rsidRPr="00EE34DC" w:rsidRDefault="002D6CB1" w:rsidP="002D6CB1">
      <w:pPr>
        <w:pStyle w:val="SemEspaamento"/>
      </w:pPr>
      <w:r>
        <w:t xml:space="preserve">O recorrente foi alvo de ação penal privada movida pela recorrida MATTEL INC, ao argumento, em síntese, de que </w:t>
      </w:r>
      <w:r w:rsidR="001D347F">
        <w:t>teria praticado</w:t>
      </w:r>
      <w:r>
        <w:t xml:space="preserve"> supostos crimes </w:t>
      </w:r>
      <w:r w:rsidR="00622F05">
        <w:t xml:space="preserve">de violação de direito autoral e </w:t>
      </w:r>
      <w:r>
        <w:t>marcários</w:t>
      </w:r>
      <w:r w:rsidR="001D347F">
        <w:t>,</w:t>
      </w:r>
      <w:r>
        <w:t xml:space="preserve"> previstos</w:t>
      </w:r>
      <w:r w:rsidRPr="002D6CB1">
        <w:t xml:space="preserve"> </w:t>
      </w:r>
      <w:r>
        <w:t xml:space="preserve">no art. 184, </w:t>
      </w:r>
      <w:r w:rsidRPr="00EE34DC">
        <w:rPr>
          <w:i/>
          <w:iCs/>
        </w:rPr>
        <w:t>caput</w:t>
      </w:r>
      <w:r>
        <w:t>, do CP e nos arts. 190, I, e 195, II, da Lei n. 9.279/96.</w:t>
      </w:r>
    </w:p>
    <w:p w14:paraId="0842A3F8" w14:textId="6583376C" w:rsidR="005774B7" w:rsidRDefault="001D347F" w:rsidP="005774B7">
      <w:pPr>
        <w:pStyle w:val="SemEspaamento"/>
      </w:pPr>
      <w:r>
        <w:t xml:space="preserve">Ocorre que </w:t>
      </w:r>
      <w:r w:rsidR="005774B7">
        <w:t xml:space="preserve">a ação penal </w:t>
      </w:r>
      <w:r w:rsidR="006818F4">
        <w:t>se encontra</w:t>
      </w:r>
      <w:r w:rsidR="005774B7">
        <w:t xml:space="preserve"> fulminada pela decadência</w:t>
      </w:r>
      <w:r w:rsidR="00884CAC">
        <w:t xml:space="preserve">, conforme, inclusive, entendimento sedimentado pelo </w:t>
      </w:r>
      <w:r w:rsidR="006818F4">
        <w:t xml:space="preserve">Colendo </w:t>
      </w:r>
      <w:r w:rsidR="00884CAC">
        <w:t>Superior Tribunal de Justiça.</w:t>
      </w:r>
    </w:p>
    <w:p w14:paraId="45E1540E" w14:textId="75F20B1D" w:rsidR="005774B7" w:rsidRPr="004F71C2" w:rsidRDefault="00884CAC" w:rsidP="005774B7">
      <w:pPr>
        <w:pStyle w:val="SemEspaamento"/>
      </w:pPr>
      <w:r w:rsidRPr="004F71C2">
        <w:t>E isso porque é fato incontroverso que</w:t>
      </w:r>
      <w:r w:rsidR="005774B7" w:rsidRPr="004F71C2">
        <w:t xml:space="preserve"> </w:t>
      </w:r>
      <w:r w:rsidRPr="004F71C2">
        <w:t xml:space="preserve">a </w:t>
      </w:r>
      <w:r w:rsidR="006818F4" w:rsidRPr="004F71C2">
        <w:t>r</w:t>
      </w:r>
      <w:r w:rsidR="005774B7" w:rsidRPr="004F71C2">
        <w:t>ecorrida MATTEL</w:t>
      </w:r>
      <w:r w:rsidRPr="004F71C2">
        <w:t xml:space="preserve"> </w:t>
      </w:r>
      <w:r w:rsidR="005774B7" w:rsidRPr="004F71C2">
        <w:t xml:space="preserve">teve </w:t>
      </w:r>
      <w:r w:rsidR="005774B7" w:rsidRPr="004F71C2">
        <w:rPr>
          <w:b/>
          <w:bCs/>
        </w:rPr>
        <w:t>ciência inequívoca</w:t>
      </w:r>
      <w:r w:rsidR="005774B7" w:rsidRPr="004F71C2">
        <w:t xml:space="preserve"> da </w:t>
      </w:r>
      <w:r w:rsidR="005774B7" w:rsidRPr="004F71C2">
        <w:rPr>
          <w:b/>
          <w:bCs/>
        </w:rPr>
        <w:t xml:space="preserve">suposta autoria do fato </w:t>
      </w:r>
      <w:r w:rsidR="005774B7" w:rsidRPr="004F71C2">
        <w:t xml:space="preserve">objeto da queixa-crime </w:t>
      </w:r>
      <w:r w:rsidR="005774B7" w:rsidRPr="004F71C2">
        <w:rPr>
          <w:b/>
          <w:bCs/>
        </w:rPr>
        <w:t>no dia 13.12.2022</w:t>
      </w:r>
      <w:r w:rsidR="005774B7" w:rsidRPr="004F71C2">
        <w:t xml:space="preserve">, data da sua primeira intimação após a juntada da procuração em nome da empresa do recorrente, assinada pelo próprio WELLINGTON RODRIGUES FERREIRA, e </w:t>
      </w:r>
      <w:r w:rsidR="005774B7" w:rsidRPr="004F71C2">
        <w:rPr>
          <w:b/>
          <w:bCs/>
        </w:rPr>
        <w:t>que também a intimou da</w:t>
      </w:r>
      <w:r w:rsidR="005774B7" w:rsidRPr="004F71C2">
        <w:t xml:space="preserve"> </w:t>
      </w:r>
      <w:r w:rsidR="005774B7" w:rsidRPr="004F71C2">
        <w:rPr>
          <w:b/>
          <w:bCs/>
        </w:rPr>
        <w:t>decisão judicial que confirmou que a WELLMIX era a proprietária dos produtos</w:t>
      </w:r>
      <w:r w:rsidR="005774B7" w:rsidRPr="004F71C2">
        <w:t xml:space="preserve"> retidos nos autos do procedimento cautelar n. 5012701-91.2022.4.04.7208 </w:t>
      </w:r>
      <w:r w:rsidR="005774B7" w:rsidRPr="004F71C2">
        <w:rPr>
          <w:sz w:val="20"/>
          <w:szCs w:val="18"/>
        </w:rPr>
        <w:t xml:space="preserve">(eventos 22 a 26 dos autos correlatos – </w:t>
      </w:r>
      <w:r w:rsidR="005774B7" w:rsidRPr="004F71C2">
        <w:rPr>
          <w:i/>
          <w:iCs/>
          <w:sz w:val="20"/>
          <w:szCs w:val="18"/>
        </w:rPr>
        <w:t xml:space="preserve">vide </w:t>
      </w:r>
      <w:r w:rsidR="005774B7" w:rsidRPr="004F71C2">
        <w:rPr>
          <w:sz w:val="20"/>
          <w:szCs w:val="18"/>
        </w:rPr>
        <w:t>evento 42, ANEXO2 – juntado também com a resposta à acusação)</w:t>
      </w:r>
      <w:r w:rsidR="005774B7" w:rsidRPr="004F71C2">
        <w:t>.</w:t>
      </w:r>
    </w:p>
    <w:p w14:paraId="70627CEB" w14:textId="2C983A3F" w:rsidR="005774B7" w:rsidRDefault="00E03F81" w:rsidP="005774B7">
      <w:pPr>
        <w:pStyle w:val="SemEspaamento"/>
      </w:pPr>
      <w:r w:rsidRPr="004F71C2">
        <w:t>Assim,</w:t>
      </w:r>
      <w:r w:rsidR="005774B7" w:rsidRPr="004F71C2">
        <w:t xml:space="preserve"> a partir do </w:t>
      </w:r>
      <w:r w:rsidR="005774B7" w:rsidRPr="004F71C2">
        <w:rPr>
          <w:b/>
          <w:bCs/>
        </w:rPr>
        <w:t>dia 13.12.2022</w:t>
      </w:r>
      <w:r w:rsidR="005774B7" w:rsidRPr="004F71C2">
        <w:t xml:space="preserve"> </w:t>
      </w:r>
      <w:r w:rsidR="005774B7" w:rsidRPr="004F71C2">
        <w:rPr>
          <w:b/>
          <w:bCs/>
        </w:rPr>
        <w:t>iniciou o prazo decadencial</w:t>
      </w:r>
      <w:r w:rsidR="005774B7" w:rsidRPr="004F71C2">
        <w:t xml:space="preserve"> </w:t>
      </w:r>
      <w:r w:rsidR="005774B7" w:rsidRPr="004F71C2">
        <w:rPr>
          <w:b/>
          <w:bCs/>
        </w:rPr>
        <w:t xml:space="preserve">de 6 </w:t>
      </w:r>
      <w:r w:rsidR="005774B7" w:rsidRPr="004F71C2">
        <w:rPr>
          <w:b/>
          <w:bCs/>
          <w:sz w:val="20"/>
          <w:szCs w:val="18"/>
        </w:rPr>
        <w:t>(seis)</w:t>
      </w:r>
      <w:r w:rsidR="005774B7" w:rsidRPr="004F71C2">
        <w:rPr>
          <w:b/>
          <w:bCs/>
        </w:rPr>
        <w:t xml:space="preserve"> meses</w:t>
      </w:r>
      <w:r w:rsidR="005774B7" w:rsidRPr="004F71C2">
        <w:t xml:space="preserve"> para a propositura da queixa-crime </w:t>
      </w:r>
      <w:r w:rsidR="005774B7" w:rsidRPr="004F71C2">
        <w:rPr>
          <w:sz w:val="20"/>
          <w:szCs w:val="18"/>
        </w:rPr>
        <w:t>(art. 38 do CPP)</w:t>
      </w:r>
      <w:r w:rsidR="005774B7" w:rsidRPr="004F71C2">
        <w:t>, de modo que,</w:t>
      </w:r>
      <w:r w:rsidR="005774B7" w:rsidRPr="004F71C2">
        <w:rPr>
          <w:b/>
          <w:bCs/>
        </w:rPr>
        <w:t xml:space="preserve"> como esta ação penal foi ajuizada somente em 2.1.2024, mais de 1 ano após a ciência sobre a autoria, resta consumada a decadência </w:t>
      </w:r>
      <w:r w:rsidR="005774B7" w:rsidRPr="004F71C2">
        <w:t>no caso vertente.</w:t>
      </w:r>
    </w:p>
    <w:p w14:paraId="1083C9A2" w14:textId="3562C1FD" w:rsidR="000A126F" w:rsidRPr="000A126F" w:rsidRDefault="000A126F" w:rsidP="000A126F">
      <w:pPr>
        <w:pStyle w:val="SemEspaamento"/>
      </w:pPr>
      <w:r w:rsidRPr="000A126F">
        <w:t xml:space="preserve">Apenas para afastar qualquer dúvida, na remota hipótese de não se considerar esse marco inicial </w:t>
      </w:r>
      <w:r w:rsidRPr="000A126F">
        <w:rPr>
          <w:sz w:val="22"/>
          <w:szCs w:val="20"/>
        </w:rPr>
        <w:t>– o que não se espera que aconteça –</w:t>
      </w:r>
      <w:r w:rsidRPr="000A126F">
        <w:t xml:space="preserve">, em 8.5.2023 foi apresentado o laudo pericial nos autos do procedimento cautelar correlato e em 23.5.2023 a empresa recorrida foi intimada para se manifestar sobre esse documento </w:t>
      </w:r>
      <w:r w:rsidRPr="000A126F">
        <w:rPr>
          <w:sz w:val="20"/>
          <w:szCs w:val="18"/>
        </w:rPr>
        <w:t>(eventos 108 a 110 dos autos n. 5012701-91.2022.4.04.7208 – evento 42, AUTO3)</w:t>
      </w:r>
      <w:r w:rsidRPr="000A126F">
        <w:t>.</w:t>
      </w:r>
    </w:p>
    <w:p w14:paraId="5B2E86D2" w14:textId="7E516BCA" w:rsidR="00A765AB" w:rsidRDefault="00E03F81" w:rsidP="00A765AB">
      <w:pPr>
        <w:pStyle w:val="SemEspaamento"/>
      </w:pPr>
      <w:r>
        <w:lastRenderedPageBreak/>
        <w:t>Excelência, a Corte Superior sedimentou o entendimento de que</w:t>
      </w:r>
      <w:r w:rsidR="00A765AB">
        <w:t>,</w:t>
      </w:r>
      <w:r>
        <w:t xml:space="preserve"> </w:t>
      </w:r>
      <w:r w:rsidR="00A765AB">
        <w:t>“</w:t>
      </w:r>
      <w:r w:rsidR="00A765AB" w:rsidRPr="00172045">
        <w:rPr>
          <w:i/>
          <w:iCs/>
        </w:rPr>
        <w:t xml:space="preserve">em se tratando de crimes contra a propriedade imaterial que deixem vestígio, </w:t>
      </w:r>
      <w:r w:rsidR="00A765AB" w:rsidRPr="00172A2F">
        <w:rPr>
          <w:b/>
          <w:bCs/>
          <w:i/>
          <w:iCs/>
        </w:rPr>
        <w:t xml:space="preserve">a </w:t>
      </w:r>
      <w:r w:rsidR="00A765AB" w:rsidRPr="00172A2F">
        <w:rPr>
          <w:b/>
          <w:bCs/>
          <w:i/>
          <w:iCs/>
          <w:u w:val="single"/>
        </w:rPr>
        <w:t>ciência</w:t>
      </w:r>
      <w:r w:rsidR="00A765AB" w:rsidRPr="00172A2F">
        <w:rPr>
          <w:b/>
          <w:bCs/>
          <w:i/>
          <w:iCs/>
        </w:rPr>
        <w:t xml:space="preserve"> </w:t>
      </w:r>
      <w:r w:rsidR="00A765AB" w:rsidRPr="00172A2F">
        <w:rPr>
          <w:b/>
          <w:bCs/>
          <w:i/>
          <w:iCs/>
          <w:u w:val="single"/>
        </w:rPr>
        <w:t>da</w:t>
      </w:r>
      <w:r w:rsidR="00A765AB" w:rsidRPr="00172A2F">
        <w:rPr>
          <w:b/>
          <w:bCs/>
          <w:i/>
          <w:iCs/>
        </w:rPr>
        <w:t xml:space="preserve"> </w:t>
      </w:r>
      <w:r w:rsidR="00A765AB" w:rsidRPr="00172A2F">
        <w:rPr>
          <w:b/>
          <w:bCs/>
          <w:i/>
          <w:iCs/>
          <w:u w:val="single"/>
        </w:rPr>
        <w:t>autoria</w:t>
      </w:r>
      <w:r w:rsidR="00A765AB" w:rsidRPr="00172A2F">
        <w:rPr>
          <w:b/>
          <w:bCs/>
          <w:i/>
          <w:iCs/>
        </w:rPr>
        <w:t xml:space="preserve"> do fato delituoso dá ensejo ao início do prazo decadencial de 6 meses</w:t>
      </w:r>
      <w:r w:rsidR="00A765AB" w:rsidRPr="00172045">
        <w:rPr>
          <w:i/>
          <w:iCs/>
        </w:rPr>
        <w:t>,</w:t>
      </w:r>
      <w:r w:rsidR="00A765AB" w:rsidRPr="001E2C8F">
        <w:rPr>
          <w:b/>
          <w:bCs/>
          <w:i/>
          <w:iCs/>
        </w:rPr>
        <w:t xml:space="preserve"> sendo tal prazo </w:t>
      </w:r>
      <w:r w:rsidR="00A765AB" w:rsidRPr="00956EDF">
        <w:rPr>
          <w:b/>
          <w:bCs/>
          <w:i/>
          <w:iCs/>
          <w:u w:val="single"/>
        </w:rPr>
        <w:t>reduzido</w:t>
      </w:r>
      <w:r w:rsidR="00A765AB" w:rsidRPr="001E2C8F">
        <w:rPr>
          <w:b/>
          <w:bCs/>
          <w:i/>
          <w:iCs/>
        </w:rPr>
        <w:t xml:space="preserve"> </w:t>
      </w:r>
      <w:r w:rsidR="00A765AB" w:rsidRPr="00956EDF">
        <w:rPr>
          <w:b/>
          <w:bCs/>
          <w:i/>
          <w:iCs/>
          <w:u w:val="single"/>
        </w:rPr>
        <w:t>para</w:t>
      </w:r>
      <w:r w:rsidR="00A765AB" w:rsidRPr="001E2C8F">
        <w:rPr>
          <w:b/>
          <w:bCs/>
          <w:i/>
          <w:iCs/>
        </w:rPr>
        <w:t xml:space="preserve"> </w:t>
      </w:r>
      <w:r w:rsidR="00A765AB" w:rsidRPr="00956EDF">
        <w:rPr>
          <w:b/>
          <w:bCs/>
          <w:i/>
          <w:iCs/>
          <w:u w:val="single"/>
        </w:rPr>
        <w:t>30</w:t>
      </w:r>
      <w:r w:rsidR="00A765AB" w:rsidRPr="001E2C8F">
        <w:rPr>
          <w:b/>
          <w:bCs/>
          <w:i/>
          <w:iCs/>
        </w:rPr>
        <w:t xml:space="preserve"> </w:t>
      </w:r>
      <w:r w:rsidR="00A765AB" w:rsidRPr="00956EDF">
        <w:rPr>
          <w:b/>
          <w:bCs/>
          <w:i/>
          <w:iCs/>
          <w:u w:val="single"/>
        </w:rPr>
        <w:t>dias</w:t>
      </w:r>
      <w:r w:rsidR="00A765AB" w:rsidRPr="001E2C8F">
        <w:rPr>
          <w:b/>
          <w:bCs/>
          <w:i/>
          <w:iCs/>
        </w:rPr>
        <w:t xml:space="preserve"> </w:t>
      </w:r>
      <w:r w:rsidR="00A765AB" w:rsidRPr="001E2C8F">
        <w:rPr>
          <w:b/>
          <w:bCs/>
          <w:i/>
          <w:iCs/>
          <w:u w:val="single"/>
        </w:rPr>
        <w:t>se</w:t>
      </w:r>
      <w:r w:rsidR="00A765AB" w:rsidRPr="001E2C8F">
        <w:rPr>
          <w:b/>
          <w:bCs/>
          <w:i/>
          <w:iCs/>
        </w:rPr>
        <w:t xml:space="preserve"> </w:t>
      </w:r>
      <w:r w:rsidR="00A765AB" w:rsidRPr="001E2C8F">
        <w:rPr>
          <w:b/>
          <w:bCs/>
          <w:i/>
          <w:iCs/>
          <w:u w:val="single"/>
        </w:rPr>
        <w:t>homologado</w:t>
      </w:r>
      <w:r w:rsidR="00A765AB" w:rsidRPr="001E2C8F">
        <w:rPr>
          <w:b/>
          <w:bCs/>
          <w:i/>
          <w:iCs/>
        </w:rPr>
        <w:t xml:space="preserve"> </w:t>
      </w:r>
      <w:r w:rsidR="00A765AB" w:rsidRPr="001E2C8F">
        <w:rPr>
          <w:b/>
          <w:bCs/>
          <w:i/>
          <w:iCs/>
          <w:u w:val="single"/>
        </w:rPr>
        <w:t>laudo</w:t>
      </w:r>
      <w:r w:rsidR="00A765AB" w:rsidRPr="001E2C8F">
        <w:rPr>
          <w:b/>
          <w:bCs/>
          <w:i/>
          <w:iCs/>
        </w:rPr>
        <w:t xml:space="preserve"> </w:t>
      </w:r>
      <w:r w:rsidR="00A765AB" w:rsidRPr="001E2C8F">
        <w:rPr>
          <w:b/>
          <w:bCs/>
          <w:i/>
          <w:iCs/>
          <w:u w:val="single"/>
        </w:rPr>
        <w:t>pericial</w:t>
      </w:r>
      <w:r w:rsidR="00A765AB" w:rsidRPr="001E2C8F">
        <w:rPr>
          <w:b/>
          <w:bCs/>
          <w:i/>
          <w:iCs/>
        </w:rPr>
        <w:t xml:space="preserve"> </w:t>
      </w:r>
      <w:r w:rsidR="00A765AB" w:rsidRPr="001E2C8F">
        <w:rPr>
          <w:b/>
          <w:bCs/>
          <w:i/>
          <w:iCs/>
          <w:u w:val="single"/>
        </w:rPr>
        <w:t>nesse</w:t>
      </w:r>
      <w:r w:rsidR="00A765AB" w:rsidRPr="001E2C8F">
        <w:rPr>
          <w:b/>
          <w:bCs/>
          <w:i/>
          <w:iCs/>
        </w:rPr>
        <w:t xml:space="preserve"> </w:t>
      </w:r>
      <w:r w:rsidR="00A765AB" w:rsidRPr="001E2C8F">
        <w:rPr>
          <w:b/>
          <w:bCs/>
          <w:i/>
          <w:iCs/>
          <w:u w:val="single"/>
        </w:rPr>
        <w:t>ínterim</w:t>
      </w:r>
      <w:r w:rsidR="00A765AB">
        <w:t xml:space="preserve">” </w:t>
      </w:r>
      <w:r w:rsidR="00A765AB" w:rsidRPr="0065713C">
        <w:rPr>
          <w:sz w:val="20"/>
          <w:szCs w:val="18"/>
        </w:rPr>
        <w:t>(STJ, REsp n. 1.762.142/MG, rel. Min. Sebastião Reis Júnior, 6ª Turma, j. em 13.4.2021)</w:t>
      </w:r>
      <w:r w:rsidR="00366734">
        <w:t xml:space="preserve">. Portanto, </w:t>
      </w:r>
      <w:r w:rsidR="00366734" w:rsidRPr="00366734">
        <w:rPr>
          <w:i/>
          <w:iCs/>
        </w:rPr>
        <w:t xml:space="preserve">in </w:t>
      </w:r>
      <w:proofErr w:type="spellStart"/>
      <w:r w:rsidR="00366734" w:rsidRPr="00366734">
        <w:rPr>
          <w:i/>
          <w:iCs/>
        </w:rPr>
        <w:t>casu</w:t>
      </w:r>
      <w:proofErr w:type="spellEnd"/>
      <w:r w:rsidR="00366734">
        <w:t>, e</w:t>
      </w:r>
      <w:r w:rsidR="00A765AB">
        <w:t xml:space="preserve">stá configurada a </w:t>
      </w:r>
      <w:r w:rsidR="006818F4">
        <w:t xml:space="preserve">decadência, ou seja, a </w:t>
      </w:r>
      <w:r w:rsidR="00A765AB">
        <w:t>“</w:t>
      </w:r>
      <w:r w:rsidR="00A765AB" w:rsidRPr="00172045">
        <w:rPr>
          <w:i/>
          <w:iCs/>
        </w:rPr>
        <w:t>perda do direito de agir, pelo decurso de determinado lapso temporal, estabelecido em lei, provocando a extinção da punibilidade do agente</w:t>
      </w:r>
      <w:r w:rsidR="00A765AB">
        <w:t xml:space="preserve">” </w:t>
      </w:r>
      <w:r w:rsidR="00A765AB" w:rsidRPr="00172045">
        <w:rPr>
          <w:sz w:val="20"/>
          <w:szCs w:val="18"/>
        </w:rPr>
        <w:t>(NUCCI, Guilherme de Souza. Código de Processo Penal comentado, 15ª edição, 2016, p. 148)</w:t>
      </w:r>
      <w:r w:rsidR="00A765AB">
        <w:t xml:space="preserve">. </w:t>
      </w:r>
    </w:p>
    <w:p w14:paraId="372A6B80" w14:textId="14A13320" w:rsidR="00A0710F" w:rsidRPr="00956EDF" w:rsidRDefault="009D6066" w:rsidP="00A0710F">
      <w:pPr>
        <w:pStyle w:val="SemEspaamento"/>
      </w:pPr>
      <w:r w:rsidRPr="00956EDF">
        <w:t>Logo</w:t>
      </w:r>
      <w:r w:rsidR="00A0710F" w:rsidRPr="00956EDF">
        <w:t xml:space="preserve">, a decisão recorrida deve ser reformada para que seja reconhecida a decadência no caso. </w:t>
      </w:r>
      <w:r w:rsidR="00897022" w:rsidRPr="00956EDF">
        <w:t>E</w:t>
      </w:r>
      <w:r w:rsidR="00A0710F" w:rsidRPr="00956EDF">
        <w:t xml:space="preserve"> o Superior Tribunal de Justiça, no REsp n. 1.762.142/MG, </w:t>
      </w:r>
      <w:r w:rsidR="00680AA7" w:rsidRPr="00956EDF">
        <w:t xml:space="preserve">também </w:t>
      </w:r>
      <w:r w:rsidR="00A0710F" w:rsidRPr="00956EDF">
        <w:t>assentou que “</w:t>
      </w:r>
      <w:r w:rsidR="00A0710F" w:rsidRPr="00956EDF">
        <w:rPr>
          <w:b/>
          <w:bCs/>
          <w:i/>
          <w:iCs/>
        </w:rPr>
        <w:t>A adoção de interpretação distinta</w:t>
      </w:r>
      <w:r w:rsidR="00A0710F" w:rsidRPr="00956EDF">
        <w:rPr>
          <w:i/>
          <w:iCs/>
        </w:rPr>
        <w:t xml:space="preserve">, de modo a afastar o prazo previsto no art. 38 do CPP em prol daquele preconizado no art. 529 do CPP, afigura-se desarrazoada, </w:t>
      </w:r>
      <w:r w:rsidR="00A0710F" w:rsidRPr="00956EDF">
        <w:rPr>
          <w:b/>
          <w:bCs/>
          <w:i/>
          <w:iCs/>
        </w:rPr>
        <w:t>pois implicaria sujeitar à vontade de querelante o início do prazo decadencial, vulnerando a própria natureza jurídica do instituto</w:t>
      </w:r>
      <w:r w:rsidR="00A0710F" w:rsidRPr="00956EDF">
        <w:rPr>
          <w:i/>
          <w:iCs/>
        </w:rPr>
        <w:t>, cujo escopo é punir a inércia do querelante</w:t>
      </w:r>
      <w:r w:rsidR="00A0710F" w:rsidRPr="00956EDF">
        <w:t xml:space="preserve">” </w:t>
      </w:r>
      <w:r w:rsidR="00A0710F" w:rsidRPr="00956EDF">
        <w:rPr>
          <w:sz w:val="20"/>
          <w:szCs w:val="18"/>
        </w:rPr>
        <w:t>(STJ, REsp n. 1.762.142/MG, rel. Min. Sebastião Reis Júnior, 6ª Turma, j. em 13.4.2021)</w:t>
      </w:r>
      <w:r w:rsidR="00A0710F" w:rsidRPr="00956EDF">
        <w:t>.</w:t>
      </w:r>
    </w:p>
    <w:p w14:paraId="2A5EF0F5" w14:textId="07330727" w:rsidR="00304E64" w:rsidRDefault="00897022" w:rsidP="00304E64">
      <w:pPr>
        <w:pStyle w:val="SemEspaamento"/>
      </w:pPr>
      <w:r>
        <w:t>Aliás,</w:t>
      </w:r>
      <w:r w:rsidR="00B6515E">
        <w:t xml:space="preserve"> outro não poderia ser o entendimento, sobretudo porque</w:t>
      </w:r>
      <w:r w:rsidR="004C7831">
        <w:t xml:space="preserve"> </w:t>
      </w:r>
      <w:r w:rsidR="00E05E61">
        <w:t xml:space="preserve">o próprio art. 525 do CPP, utilizado como fundamento pela decisão recorrida para afastar a decadência, </w:t>
      </w:r>
      <w:r w:rsidR="00AB320F" w:rsidRPr="00B27CD9">
        <w:rPr>
          <w:b/>
          <w:bCs/>
        </w:rPr>
        <w:t>não exige perícia</w:t>
      </w:r>
      <w:r w:rsidR="00AB320F">
        <w:rPr>
          <w:b/>
          <w:bCs/>
        </w:rPr>
        <w:t xml:space="preserve"> </w:t>
      </w:r>
      <w:r w:rsidR="00B27CD9">
        <w:rPr>
          <w:b/>
          <w:bCs/>
        </w:rPr>
        <w:t xml:space="preserve">homologada </w:t>
      </w:r>
      <w:r w:rsidR="00635539">
        <w:rPr>
          <w:b/>
          <w:bCs/>
        </w:rPr>
        <w:t>judicialme</w:t>
      </w:r>
      <w:r w:rsidR="00635539" w:rsidRPr="00897022">
        <w:rPr>
          <w:b/>
          <w:bCs/>
        </w:rPr>
        <w:t xml:space="preserve">nte </w:t>
      </w:r>
      <w:r w:rsidR="00E05E61" w:rsidRPr="00897022">
        <w:rPr>
          <w:b/>
          <w:bCs/>
        </w:rPr>
        <w:t>para o recebimento da queixa-crime</w:t>
      </w:r>
      <w:r w:rsidR="00AB320F">
        <w:t xml:space="preserve">, diversamente do que quer fazer crer o </w:t>
      </w:r>
      <w:r w:rsidR="00AB320F">
        <w:rPr>
          <w:i/>
          <w:iCs/>
        </w:rPr>
        <w:t xml:space="preserve">decisum </w:t>
      </w:r>
      <w:r w:rsidR="00AB320F">
        <w:t>combatido.</w:t>
      </w:r>
    </w:p>
    <w:p w14:paraId="7D787B29" w14:textId="6FA1D8F6" w:rsidR="00AB320F" w:rsidRDefault="00AB320F" w:rsidP="00304E64">
      <w:pPr>
        <w:pStyle w:val="SemEspaamento"/>
      </w:pPr>
      <w:r>
        <w:t xml:space="preserve">Ora, esse dispositivo legal </w:t>
      </w:r>
      <w:r w:rsidR="00666677">
        <w:t>estabelece que, “</w:t>
      </w:r>
      <w:r w:rsidR="00666677" w:rsidRPr="00666677">
        <w:rPr>
          <w:i/>
          <w:iCs/>
        </w:rPr>
        <w:t xml:space="preserve">No caso de haver o crime deixado vestígio, a queixa ou a denúncia não será recebida </w:t>
      </w:r>
      <w:r w:rsidR="00666677" w:rsidRPr="009D6066">
        <w:rPr>
          <w:b/>
          <w:bCs/>
          <w:i/>
          <w:iCs/>
        </w:rPr>
        <w:t xml:space="preserve">se não for instruída com o </w:t>
      </w:r>
      <w:r w:rsidR="00666677" w:rsidRPr="009D6066">
        <w:rPr>
          <w:b/>
          <w:bCs/>
          <w:i/>
          <w:iCs/>
          <w:u w:val="single"/>
        </w:rPr>
        <w:t>exame</w:t>
      </w:r>
      <w:r w:rsidR="00666677" w:rsidRPr="009D6066">
        <w:rPr>
          <w:b/>
          <w:bCs/>
          <w:i/>
          <w:iCs/>
        </w:rPr>
        <w:t xml:space="preserve"> </w:t>
      </w:r>
      <w:r w:rsidR="00666677" w:rsidRPr="009D6066">
        <w:rPr>
          <w:b/>
          <w:bCs/>
          <w:i/>
          <w:iCs/>
          <w:u w:val="single"/>
        </w:rPr>
        <w:t>pericial</w:t>
      </w:r>
      <w:r w:rsidR="00666677" w:rsidRPr="00666677">
        <w:rPr>
          <w:i/>
          <w:iCs/>
        </w:rPr>
        <w:t xml:space="preserve"> dos objetos que constituam o corpo de delito</w:t>
      </w:r>
      <w:r w:rsidR="00666677" w:rsidRPr="00666677">
        <w:t>”</w:t>
      </w:r>
      <w:r w:rsidR="00666677" w:rsidRPr="00666677">
        <w:rPr>
          <w:i/>
          <w:iCs/>
        </w:rPr>
        <w:t>.</w:t>
      </w:r>
      <w:r>
        <w:t xml:space="preserve"> </w:t>
      </w:r>
    </w:p>
    <w:p w14:paraId="2D311871" w14:textId="30D7AF6C" w:rsidR="00666677" w:rsidRDefault="00366734" w:rsidP="00304E64">
      <w:pPr>
        <w:pStyle w:val="SemEspaamento"/>
      </w:pPr>
      <w:r>
        <w:t>Além de tudo isso</w:t>
      </w:r>
      <w:r w:rsidR="00666677">
        <w:t xml:space="preserve">, </w:t>
      </w:r>
      <w:r w:rsidR="00666677" w:rsidRPr="00610AFD">
        <w:rPr>
          <w:b/>
          <w:bCs/>
        </w:rPr>
        <w:t>a própria recorrida MATTEL poderia ter realizado exame pericial</w:t>
      </w:r>
      <w:r w:rsidR="00610AFD">
        <w:t xml:space="preserve"> </w:t>
      </w:r>
      <w:r w:rsidR="00610AFD" w:rsidRPr="00AC3969">
        <w:rPr>
          <w:b/>
          <w:bCs/>
        </w:rPr>
        <w:t>dentro do prazo decadencial</w:t>
      </w:r>
      <w:r w:rsidR="00635539">
        <w:t xml:space="preserve"> para fundamentar a ação penal privada</w:t>
      </w:r>
      <w:r w:rsidR="00666677">
        <w:t xml:space="preserve">, </w:t>
      </w:r>
      <w:r w:rsidR="00610AFD">
        <w:t xml:space="preserve">seja </w:t>
      </w:r>
      <w:r w:rsidR="00666677">
        <w:t xml:space="preserve">por seus técnicos ou </w:t>
      </w:r>
      <w:r w:rsidR="00610AFD">
        <w:t>por meio d</w:t>
      </w:r>
      <w:r w:rsidR="009650C8">
        <w:t>a contratação de</w:t>
      </w:r>
      <w:r w:rsidR="00610AFD">
        <w:t xml:space="preserve"> </w:t>
      </w:r>
      <w:r w:rsidR="00666677">
        <w:t xml:space="preserve">empresa especializada para </w:t>
      </w:r>
      <w:r w:rsidR="009650C8">
        <w:t xml:space="preserve">analisar o material apreendido e </w:t>
      </w:r>
      <w:r w:rsidR="00666677">
        <w:t>elaborar esse exame</w:t>
      </w:r>
      <w:r w:rsidR="009650C8">
        <w:t xml:space="preserve"> dentro do prazo mencionado</w:t>
      </w:r>
      <w:r w:rsidR="00666677">
        <w:t xml:space="preserve">, o que derrui o argumento da decisão recorrida de que </w:t>
      </w:r>
      <w:r w:rsidR="00603C3C">
        <w:t>seria neces</w:t>
      </w:r>
      <w:r w:rsidR="00625D88">
        <w:t>sária a homologação judicial de laudo pericial</w:t>
      </w:r>
      <w:r w:rsidR="00610AFD" w:rsidRPr="00610AFD">
        <w:t xml:space="preserve"> </w:t>
      </w:r>
      <w:r w:rsidR="00610AFD">
        <w:t>para início do prazo decadencial.</w:t>
      </w:r>
      <w:r w:rsidR="00625D88">
        <w:t xml:space="preserve"> </w:t>
      </w:r>
    </w:p>
    <w:p w14:paraId="46F009DE" w14:textId="61E2B474" w:rsidR="00635539" w:rsidRDefault="00610AFD" w:rsidP="00304E64">
      <w:pPr>
        <w:pStyle w:val="SemEspaamento"/>
      </w:pPr>
      <w:r>
        <w:t xml:space="preserve">Vale frisar, Excelência, o art. 525 do CPP </w:t>
      </w:r>
      <w:r w:rsidR="00187A16">
        <w:t xml:space="preserve">é </w:t>
      </w:r>
      <w:r w:rsidR="00635539">
        <w:t xml:space="preserve">categórico em </w:t>
      </w:r>
      <w:r>
        <w:t>não exig</w:t>
      </w:r>
      <w:r w:rsidR="00635539">
        <w:t>ir</w:t>
      </w:r>
      <w:r>
        <w:t xml:space="preserve"> a propositura de cautelar </w:t>
      </w:r>
      <w:r w:rsidR="00187A16">
        <w:t>preparatória</w:t>
      </w:r>
      <w:r w:rsidR="00897022">
        <w:t>,</w:t>
      </w:r>
      <w:r w:rsidR="00187A16">
        <w:t xml:space="preserve"> </w:t>
      </w:r>
      <w:r w:rsidR="00B27CD9">
        <w:t>nem homologação judicial</w:t>
      </w:r>
      <w:r w:rsidR="00897022">
        <w:t xml:space="preserve"> de perícia,</w:t>
      </w:r>
      <w:r w:rsidR="00B27CD9">
        <w:t xml:space="preserve"> </w:t>
      </w:r>
      <w:r>
        <w:t xml:space="preserve">para </w:t>
      </w:r>
      <w:r w:rsidR="00B27CD9">
        <w:t xml:space="preserve">o recebimento da queixa-crime, </w:t>
      </w:r>
      <w:r w:rsidR="00635539">
        <w:t xml:space="preserve">o que foi feito por conta e risco exclusiva da recorrida MATTEL. </w:t>
      </w:r>
    </w:p>
    <w:p w14:paraId="11B4095A" w14:textId="454E90F1" w:rsidR="003F6D7E" w:rsidRDefault="003F6D7E" w:rsidP="003F6D7E">
      <w:pPr>
        <w:pStyle w:val="SemEspaamento"/>
      </w:pPr>
      <w:r>
        <w:t xml:space="preserve">Assim sendo, diversamente do que sustenta a decisão recorrida </w:t>
      </w:r>
      <w:r w:rsidRPr="0049379B">
        <w:rPr>
          <w:sz w:val="20"/>
          <w:szCs w:val="18"/>
        </w:rPr>
        <w:t>(evento 64)</w:t>
      </w:r>
      <w:r>
        <w:t xml:space="preserve">, os prazos previstos no art. 38 e 529 do CPP devem ser aplicados </w:t>
      </w:r>
      <w:r w:rsidRPr="001C352E">
        <w:rPr>
          <w:u w:val="single"/>
        </w:rPr>
        <w:t>em</w:t>
      </w:r>
      <w:r>
        <w:t xml:space="preserve"> </w:t>
      </w:r>
      <w:r w:rsidRPr="001C352E">
        <w:rPr>
          <w:u w:val="single"/>
        </w:rPr>
        <w:t>conjunto</w:t>
      </w:r>
      <w:r>
        <w:t xml:space="preserve">, ou seja, deve-se observar o prazo de 6 </w:t>
      </w:r>
      <w:r w:rsidRPr="00293E3E">
        <w:rPr>
          <w:sz w:val="20"/>
          <w:szCs w:val="18"/>
        </w:rPr>
        <w:t>(seis)</w:t>
      </w:r>
      <w:r>
        <w:t xml:space="preserve"> meses para a propositura da ação penal privada, contados da ciência da autoria, e, caso sobrevenha a homologação do laudo pericial antes desse período, quando o recorrido opt</w:t>
      </w:r>
      <w:r w:rsidR="00DA4232">
        <w:t>e</w:t>
      </w:r>
      <w:r>
        <w:t xml:space="preserve">, por sua conta e risco, pelo ajuizamento de cautelar preparatória, o prazo é reduzido para 30 </w:t>
      </w:r>
      <w:r w:rsidRPr="00293E3E">
        <w:rPr>
          <w:sz w:val="20"/>
          <w:szCs w:val="18"/>
        </w:rPr>
        <w:t>(trinta)</w:t>
      </w:r>
      <w:r>
        <w:t xml:space="preserve"> dias, sempre respeitando o limite máximo de 6 </w:t>
      </w:r>
      <w:r w:rsidRPr="00EA6F85">
        <w:rPr>
          <w:sz w:val="20"/>
          <w:szCs w:val="18"/>
        </w:rPr>
        <w:t>(seis)</w:t>
      </w:r>
      <w:r>
        <w:t xml:space="preserve"> meses, repita-se, contados da ciência da autoria para o ajuizamento da demanda.</w:t>
      </w:r>
    </w:p>
    <w:p w14:paraId="01114896" w14:textId="2E0485FB" w:rsidR="00610AFD" w:rsidRDefault="00134748" w:rsidP="00897022">
      <w:pPr>
        <w:pStyle w:val="SemEspaamento"/>
      </w:pPr>
      <w:r>
        <w:t>E</w:t>
      </w:r>
      <w:r w:rsidR="00AF7C16">
        <w:t xml:space="preserve"> essa </w:t>
      </w:r>
      <w:r w:rsidR="001118D0">
        <w:t>Egrégia</w:t>
      </w:r>
      <w:r w:rsidR="00AF7C16">
        <w:t xml:space="preserve"> Corte</w:t>
      </w:r>
      <w:r w:rsidR="007C5312">
        <w:t>,</w:t>
      </w:r>
      <w:r w:rsidR="00AF7C16">
        <w:t xml:space="preserve"> </w:t>
      </w:r>
      <w:r>
        <w:t>segu</w:t>
      </w:r>
      <w:r w:rsidR="007C5312">
        <w:t>indo</w:t>
      </w:r>
      <w:r>
        <w:t xml:space="preserve"> </w:t>
      </w:r>
      <w:r w:rsidR="000C0ADA">
        <w:t>o entendimento</w:t>
      </w:r>
      <w:r w:rsidR="00DC1989">
        <w:t xml:space="preserve"> jurisprudencial </w:t>
      </w:r>
      <w:r w:rsidR="000C0ADA">
        <w:t xml:space="preserve">exposto acima, </w:t>
      </w:r>
      <w:r w:rsidR="00AF1938">
        <w:t xml:space="preserve">também já </w:t>
      </w:r>
      <w:r w:rsidR="007C5312">
        <w:t>assentou que</w:t>
      </w:r>
      <w:r w:rsidR="00897022">
        <w:t>,</w:t>
      </w:r>
      <w:r w:rsidR="007C5312">
        <w:t xml:space="preserve"> “</w:t>
      </w:r>
      <w:r w:rsidR="007C5312" w:rsidRPr="00897022">
        <w:rPr>
          <w:i/>
          <w:iCs/>
        </w:rPr>
        <w:t>Conforme o entendimento do colendo STJ, faz-se necessário conformar os prazos previstos nos arts. 38 e 529, ambos do CPP, de modo que, em se tratando de crimes contra a propriedade imaterial que deixem vestígio, a ciência da autoria do fato delituoso dá ensejo ao início do prazo decadencial de 6 meses, sendo tal prazo reduzido para 30 dias se homologado laudo pericial nesse ínterim</w:t>
      </w:r>
      <w:r w:rsidR="007C5312">
        <w:t xml:space="preserve">” </w:t>
      </w:r>
      <w:r w:rsidR="007C5312" w:rsidRPr="00897022">
        <w:rPr>
          <w:sz w:val="20"/>
          <w:szCs w:val="18"/>
        </w:rPr>
        <w:t>(TRF4,</w:t>
      </w:r>
      <w:r w:rsidR="00897022" w:rsidRPr="00897022">
        <w:rPr>
          <w:sz w:val="20"/>
          <w:szCs w:val="18"/>
        </w:rPr>
        <w:t xml:space="preserve"> RESE n. 5001159-29.2024.4.04.7201/SC, rel. Des. Ângelo Roberto Ilha da Silva, </w:t>
      </w:r>
      <w:r w:rsidR="009A065A">
        <w:rPr>
          <w:sz w:val="20"/>
          <w:szCs w:val="18"/>
        </w:rPr>
        <w:t xml:space="preserve">7ª Turma, </w:t>
      </w:r>
      <w:r w:rsidR="00897022" w:rsidRPr="00897022">
        <w:rPr>
          <w:sz w:val="20"/>
          <w:szCs w:val="18"/>
        </w:rPr>
        <w:t>j. em 5.11.2024)</w:t>
      </w:r>
      <w:r w:rsidR="007C5312" w:rsidRPr="007C5312">
        <w:t>.</w:t>
      </w:r>
    </w:p>
    <w:p w14:paraId="765E84F9" w14:textId="482957C5" w:rsidR="00314D6E" w:rsidRDefault="00314D6E" w:rsidP="00314D6E">
      <w:pPr>
        <w:pStyle w:val="SemEspaamento"/>
      </w:pPr>
      <w:r w:rsidRPr="00573B00">
        <w:t>Na mesma linha do que decidido por esse Egrégio Tribunal Regional Federal da 4ª Região</w:t>
      </w:r>
      <w:r w:rsidR="003B0032">
        <w:t xml:space="preserve"> e pela Corte Superior</w:t>
      </w:r>
      <w:r w:rsidRPr="00573B00">
        <w:t>, o ilustre professor Renato Brasileiro de Lima leciona que, “</w:t>
      </w:r>
      <w:r w:rsidRPr="00573B00">
        <w:rPr>
          <w:i/>
          <w:iCs/>
        </w:rPr>
        <w:t xml:space="preserve">Em se tratando de crimes contra a propriedade imaterial que deixem vestígios, o art. 529, caput, do CPP, dispõe que, nos crimes de ação privativa do ofendido, não será admitida queixa com fundamento em apreensão e em perícia, se decorrido o prazo de 30 (trinta) dias, após a homologação do laudo. </w:t>
      </w:r>
      <w:r w:rsidRPr="00573B00">
        <w:rPr>
          <w:b/>
          <w:bCs/>
          <w:i/>
          <w:iCs/>
        </w:rPr>
        <w:t xml:space="preserve">Não obstante o teor do referido dispositivo, pensamos que, a fim de compatibilizá-lo com o do art. 38 do CPP, </w:t>
      </w:r>
      <w:r w:rsidRPr="00F53C5B">
        <w:rPr>
          <w:b/>
          <w:bCs/>
          <w:i/>
          <w:iCs/>
        </w:rPr>
        <w:t xml:space="preserve">continua válido o raciocínio de que o oferecimento dessa queixa </w:t>
      </w:r>
      <w:r w:rsidRPr="00573B00">
        <w:rPr>
          <w:b/>
          <w:bCs/>
          <w:i/>
          <w:iCs/>
          <w:u w:val="single"/>
        </w:rPr>
        <w:t>não</w:t>
      </w:r>
      <w:r w:rsidRPr="00F53C5B">
        <w:rPr>
          <w:b/>
          <w:bCs/>
          <w:i/>
          <w:iCs/>
        </w:rPr>
        <w:t xml:space="preserve"> </w:t>
      </w:r>
      <w:r w:rsidRPr="00573B00">
        <w:rPr>
          <w:b/>
          <w:bCs/>
          <w:i/>
          <w:iCs/>
          <w:u w:val="single"/>
        </w:rPr>
        <w:t>poderá</w:t>
      </w:r>
      <w:r w:rsidRPr="00F53C5B">
        <w:rPr>
          <w:b/>
          <w:bCs/>
          <w:i/>
          <w:iCs/>
        </w:rPr>
        <w:t xml:space="preserve"> </w:t>
      </w:r>
      <w:r w:rsidRPr="00573B00">
        <w:rPr>
          <w:b/>
          <w:bCs/>
          <w:i/>
          <w:iCs/>
          <w:u w:val="single"/>
        </w:rPr>
        <w:t>ultrapassar</w:t>
      </w:r>
      <w:r w:rsidRPr="00F53C5B">
        <w:rPr>
          <w:b/>
          <w:bCs/>
          <w:i/>
          <w:iCs/>
        </w:rPr>
        <w:t xml:space="preserve"> o prazo decadencial de 6 (seis) meses, contado do conhecimento da autoria</w:t>
      </w:r>
      <w:r>
        <w:rPr>
          <w:i/>
          <w:iCs/>
        </w:rPr>
        <w:t>”</w:t>
      </w:r>
      <w:r>
        <w:rPr>
          <w:b/>
          <w:bCs/>
          <w:i/>
          <w:iCs/>
        </w:rPr>
        <w:t xml:space="preserve"> </w:t>
      </w:r>
      <w:r w:rsidRPr="00F53C5B">
        <w:rPr>
          <w:sz w:val="20"/>
          <w:szCs w:val="18"/>
        </w:rPr>
        <w:t>(LIMA, Renato Brasileiro de. Manual de processo penal: volume único. 8ª ed</w:t>
      </w:r>
      <w:r>
        <w:rPr>
          <w:sz w:val="20"/>
          <w:szCs w:val="18"/>
        </w:rPr>
        <w:t>.,</w:t>
      </w:r>
      <w:r w:rsidRPr="00F53C5B">
        <w:rPr>
          <w:sz w:val="20"/>
          <w:szCs w:val="18"/>
        </w:rPr>
        <w:t xml:space="preserve"> Salvador: Ed. </w:t>
      </w:r>
      <w:proofErr w:type="spellStart"/>
      <w:r w:rsidRPr="00344C4E">
        <w:rPr>
          <w:i/>
          <w:iCs/>
          <w:sz w:val="20"/>
          <w:szCs w:val="18"/>
        </w:rPr>
        <w:t>JusPodivm</w:t>
      </w:r>
      <w:proofErr w:type="spellEnd"/>
      <w:r w:rsidRPr="00F53C5B">
        <w:rPr>
          <w:sz w:val="20"/>
          <w:szCs w:val="18"/>
        </w:rPr>
        <w:t>, 2020, pág. 352)</w:t>
      </w:r>
      <w:r w:rsidRPr="00F53C5B">
        <w:rPr>
          <w:i/>
          <w:iCs/>
        </w:rPr>
        <w:t>.</w:t>
      </w:r>
    </w:p>
    <w:p w14:paraId="232038BF" w14:textId="6E96D71A" w:rsidR="00314D6E" w:rsidRDefault="00FC140C" w:rsidP="00314D6E">
      <w:pPr>
        <w:pStyle w:val="SemEspaamento"/>
      </w:pPr>
      <w:r>
        <w:t>Assim, o</w:t>
      </w:r>
      <w:r w:rsidR="008C1F0E">
        <w:t xml:space="preserve"> fato é que</w:t>
      </w:r>
      <w:r w:rsidR="00290C1B">
        <w:t>,</w:t>
      </w:r>
      <w:r w:rsidR="00314D6E">
        <w:t xml:space="preserve"> </w:t>
      </w:r>
      <w:r w:rsidR="008C1F0E">
        <w:t xml:space="preserve">se </w:t>
      </w:r>
      <w:r w:rsidR="00290C1B">
        <w:t xml:space="preserve">for </w:t>
      </w:r>
      <w:r w:rsidR="008C1F0E">
        <w:t xml:space="preserve">feita </w:t>
      </w:r>
      <w:r w:rsidR="00314D6E">
        <w:t>interpretação diversa</w:t>
      </w:r>
      <w:r w:rsidR="00290C1B">
        <w:t>,</w:t>
      </w:r>
      <w:r w:rsidR="00314D6E">
        <w:t xml:space="preserve"> </w:t>
      </w:r>
      <w:r w:rsidR="008C1F0E">
        <w:t xml:space="preserve">estar-se-ia autorizando </w:t>
      </w:r>
      <w:r w:rsidR="00314D6E">
        <w:t xml:space="preserve">a inércia do querelante e, mais, chegaria ao contrassenso de </w:t>
      </w:r>
      <w:r w:rsidR="00314D6E" w:rsidRPr="008C1F0E">
        <w:rPr>
          <w:u w:val="single"/>
        </w:rPr>
        <w:t>lhe</w:t>
      </w:r>
      <w:r w:rsidR="00314D6E">
        <w:t xml:space="preserve"> </w:t>
      </w:r>
      <w:r w:rsidR="00314D6E" w:rsidRPr="008C1F0E">
        <w:rPr>
          <w:u w:val="single"/>
        </w:rPr>
        <w:t>conferir</w:t>
      </w:r>
      <w:r w:rsidR="00314D6E">
        <w:t xml:space="preserve"> a </w:t>
      </w:r>
      <w:r w:rsidR="00314D6E" w:rsidRPr="008C1F0E">
        <w:rPr>
          <w:u w:val="single"/>
        </w:rPr>
        <w:t>escolha</w:t>
      </w:r>
      <w:r w:rsidR="00314D6E">
        <w:t xml:space="preserve"> </w:t>
      </w:r>
      <w:r w:rsidR="00314D6E" w:rsidRPr="008C1F0E">
        <w:rPr>
          <w:u w:val="single"/>
        </w:rPr>
        <w:t>do</w:t>
      </w:r>
      <w:r w:rsidR="00314D6E">
        <w:t xml:space="preserve"> </w:t>
      </w:r>
      <w:r w:rsidR="00314D6E" w:rsidRPr="008C1F0E">
        <w:rPr>
          <w:u w:val="single"/>
        </w:rPr>
        <w:t>início</w:t>
      </w:r>
      <w:r w:rsidR="00314D6E">
        <w:t xml:space="preserve"> </w:t>
      </w:r>
      <w:r w:rsidR="00314D6E" w:rsidRPr="008C1F0E">
        <w:rPr>
          <w:u w:val="single"/>
        </w:rPr>
        <w:t>do</w:t>
      </w:r>
      <w:r w:rsidR="00314D6E">
        <w:t xml:space="preserve"> </w:t>
      </w:r>
      <w:r w:rsidR="00314D6E" w:rsidRPr="008C1F0E">
        <w:rPr>
          <w:u w:val="single"/>
        </w:rPr>
        <w:t>prazo</w:t>
      </w:r>
      <w:r w:rsidR="00314D6E">
        <w:t xml:space="preserve"> </w:t>
      </w:r>
      <w:r w:rsidR="00314D6E" w:rsidRPr="008C1F0E">
        <w:rPr>
          <w:u w:val="single"/>
        </w:rPr>
        <w:t>decadencial</w:t>
      </w:r>
      <w:r w:rsidR="00314D6E">
        <w:t xml:space="preserve"> para a propositura da queixa</w:t>
      </w:r>
      <w:r w:rsidR="008C1F0E">
        <w:t>-crime</w:t>
      </w:r>
      <w:r w:rsidR="00314D6E">
        <w:t>, o que não pode ser admitido, sob pena de se deturpar o instituto jurídico da decadência, incidente no caso.</w:t>
      </w:r>
    </w:p>
    <w:p w14:paraId="174EC0D9" w14:textId="54384970" w:rsidR="00304E64" w:rsidRDefault="00E26728" w:rsidP="00304E64">
      <w:pPr>
        <w:pStyle w:val="SemEspaamento"/>
      </w:pPr>
      <w:r>
        <w:t>Portanto</w:t>
      </w:r>
      <w:r w:rsidR="00304E64">
        <w:t xml:space="preserve">, Excelência, </w:t>
      </w:r>
      <w:r w:rsidR="00CA6C34">
        <w:t>o recorrente confia no provimento do presente recurso em sentido estrito</w:t>
      </w:r>
      <w:r w:rsidR="004F120B">
        <w:t xml:space="preserve"> para reconhecer a decadência no caso</w:t>
      </w:r>
      <w:r w:rsidR="00CA6C34">
        <w:t xml:space="preserve">, sobretudo porque está </w:t>
      </w:r>
      <w:r>
        <w:t>comprovado que a recorrida MATTEL ajuizou queixa-crime</w:t>
      </w:r>
      <w:r w:rsidR="008C1F0E">
        <w:t xml:space="preserve"> fora do prazo </w:t>
      </w:r>
      <w:r w:rsidR="00CA6C34">
        <w:t xml:space="preserve">decadencial de 6 </w:t>
      </w:r>
      <w:r w:rsidR="00CA6C34" w:rsidRPr="004F120B">
        <w:rPr>
          <w:sz w:val="20"/>
          <w:szCs w:val="18"/>
        </w:rPr>
        <w:t>(seis)</w:t>
      </w:r>
      <w:r w:rsidR="00CA6C34">
        <w:t xml:space="preserve"> meses </w:t>
      </w:r>
      <w:r w:rsidR="00DA4232">
        <w:t>subsequente à</w:t>
      </w:r>
      <w:r w:rsidR="00CC5780">
        <w:t xml:space="preserve"> </w:t>
      </w:r>
      <w:r w:rsidR="00CA6C34">
        <w:t xml:space="preserve">ciência </w:t>
      </w:r>
      <w:r w:rsidR="00CC5780">
        <w:t xml:space="preserve">sobre </w:t>
      </w:r>
      <w:r w:rsidR="004F120B">
        <w:t>a autoria</w:t>
      </w:r>
      <w:r w:rsidR="00CC5780">
        <w:t xml:space="preserve"> de suposto crime contra a propriedade imaterial</w:t>
      </w:r>
      <w:r w:rsidR="00304E64">
        <w:t>.</w:t>
      </w:r>
    </w:p>
    <w:p w14:paraId="6367BFD1" w14:textId="77777777" w:rsidR="00304E64" w:rsidRDefault="00304E64" w:rsidP="003A1530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1B31CF9" w14:textId="5A65E736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>Florianópolis</w:t>
      </w:r>
      <w:r w:rsidR="00DA4232">
        <w:rPr>
          <w:rFonts w:ascii="Arial" w:eastAsia="Calibri" w:hAnsi="Arial" w:cs="Times New Roman"/>
          <w:sz w:val="24"/>
          <w:szCs w:val="24"/>
        </w:rPr>
        <w:t>/SC</w:t>
      </w:r>
      <w:r w:rsidRPr="00136102">
        <w:rPr>
          <w:rFonts w:ascii="Arial" w:eastAsia="Calibri" w:hAnsi="Arial" w:cs="Times New Roman"/>
          <w:sz w:val="24"/>
          <w:szCs w:val="24"/>
        </w:rPr>
        <w:t xml:space="preserve">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E176F5">
        <w:rPr>
          <w:rFonts w:ascii="Arial" w:eastAsia="Calibri" w:hAnsi="Arial" w:cs="Times New Roman"/>
          <w:noProof/>
          <w:sz w:val="24"/>
          <w:szCs w:val="24"/>
        </w:rPr>
        <w:t>16 de junho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3F6B5D57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4E8A721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C604C45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55ABE25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153D6B6F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704F3A91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2A86C430" w14:textId="77777777" w:rsidR="000169F1" w:rsidRDefault="000169F1" w:rsidP="000169F1"/>
    <w:p w14:paraId="23E0024E" w14:textId="0232EABC" w:rsidR="00131BEB" w:rsidRPr="000169F1" w:rsidRDefault="00131BEB" w:rsidP="003E0736"/>
    <w:sectPr w:rsidR="00131BEB" w:rsidRPr="000169F1" w:rsidSect="008C1F0E">
      <w:headerReference w:type="default" r:id="rId8"/>
      <w:footerReference w:type="default" r:id="rId9"/>
      <w:pgSz w:w="11906" w:h="16838"/>
      <w:pgMar w:top="1843" w:right="1416" w:bottom="1135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EBB1C" w14:textId="77777777" w:rsidR="003220E7" w:rsidRDefault="003220E7" w:rsidP="00943258">
      <w:pPr>
        <w:spacing w:after="0" w:line="240" w:lineRule="auto"/>
      </w:pPr>
      <w:r>
        <w:separator/>
      </w:r>
    </w:p>
  </w:endnote>
  <w:endnote w:type="continuationSeparator" w:id="0">
    <w:p w14:paraId="1D34A35B" w14:textId="77777777" w:rsidR="003220E7" w:rsidRDefault="003220E7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6AAD0FE3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43DBBB2E" wp14:editId="5FA89FE9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941142232" name="Imagem 194114223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0C4773C6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7A4CA" w14:textId="77777777" w:rsidR="003220E7" w:rsidRDefault="003220E7" w:rsidP="00943258">
      <w:pPr>
        <w:spacing w:after="0" w:line="240" w:lineRule="auto"/>
      </w:pPr>
      <w:r>
        <w:separator/>
      </w:r>
    </w:p>
  </w:footnote>
  <w:footnote w:type="continuationSeparator" w:id="0">
    <w:p w14:paraId="2D1276FC" w14:textId="77777777" w:rsidR="003220E7" w:rsidRDefault="003220E7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B142B" w14:textId="1A5550F9" w:rsidR="00131BEB" w:rsidRDefault="00FB3A3F" w:rsidP="00FB3A3F">
    <w:pPr>
      <w:pStyle w:val="Cabealho"/>
      <w:tabs>
        <w:tab w:val="clear" w:pos="4252"/>
        <w:tab w:val="clear" w:pos="8504"/>
        <w:tab w:val="left" w:pos="6932"/>
      </w:tabs>
    </w:pPr>
    <w:r>
      <w:tab/>
    </w:r>
  </w:p>
  <w:p w14:paraId="20A1A7F7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74B58040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2060910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CB1"/>
    <w:rsid w:val="00003F31"/>
    <w:rsid w:val="000169F1"/>
    <w:rsid w:val="0004298B"/>
    <w:rsid w:val="00061613"/>
    <w:rsid w:val="00097661"/>
    <w:rsid w:val="000A126F"/>
    <w:rsid w:val="000C0ADA"/>
    <w:rsid w:val="000D228C"/>
    <w:rsid w:val="0010099C"/>
    <w:rsid w:val="001118D0"/>
    <w:rsid w:val="00131BEB"/>
    <w:rsid w:val="00134748"/>
    <w:rsid w:val="00141CC8"/>
    <w:rsid w:val="001667B0"/>
    <w:rsid w:val="001761C0"/>
    <w:rsid w:val="00183BE2"/>
    <w:rsid w:val="00187A16"/>
    <w:rsid w:val="001B2B98"/>
    <w:rsid w:val="001B2E75"/>
    <w:rsid w:val="001B3AAA"/>
    <w:rsid w:val="001D347F"/>
    <w:rsid w:val="001F61CF"/>
    <w:rsid w:val="00201F45"/>
    <w:rsid w:val="00207BE4"/>
    <w:rsid w:val="00214E09"/>
    <w:rsid w:val="00264107"/>
    <w:rsid w:val="00272BFB"/>
    <w:rsid w:val="00290C1B"/>
    <w:rsid w:val="00291F6C"/>
    <w:rsid w:val="00294630"/>
    <w:rsid w:val="002D6CB1"/>
    <w:rsid w:val="002E48F4"/>
    <w:rsid w:val="002E6AB7"/>
    <w:rsid w:val="00304E64"/>
    <w:rsid w:val="00314D6E"/>
    <w:rsid w:val="003220E7"/>
    <w:rsid w:val="00322628"/>
    <w:rsid w:val="00335A88"/>
    <w:rsid w:val="00366734"/>
    <w:rsid w:val="00377A2E"/>
    <w:rsid w:val="003801CD"/>
    <w:rsid w:val="003A1530"/>
    <w:rsid w:val="003A6A52"/>
    <w:rsid w:val="003B0032"/>
    <w:rsid w:val="003E0736"/>
    <w:rsid w:val="003E46B9"/>
    <w:rsid w:val="003F6D7E"/>
    <w:rsid w:val="004111D0"/>
    <w:rsid w:val="00447A52"/>
    <w:rsid w:val="00484E78"/>
    <w:rsid w:val="004949AD"/>
    <w:rsid w:val="004B65E0"/>
    <w:rsid w:val="004C7831"/>
    <w:rsid w:val="004F120B"/>
    <w:rsid w:val="004F2B78"/>
    <w:rsid w:val="004F384D"/>
    <w:rsid w:val="004F71C2"/>
    <w:rsid w:val="00501A18"/>
    <w:rsid w:val="005321DA"/>
    <w:rsid w:val="0056033E"/>
    <w:rsid w:val="00573B00"/>
    <w:rsid w:val="005774B7"/>
    <w:rsid w:val="005A5532"/>
    <w:rsid w:val="005B67EA"/>
    <w:rsid w:val="005E58E2"/>
    <w:rsid w:val="00603C3C"/>
    <w:rsid w:val="00610AFD"/>
    <w:rsid w:val="00622F05"/>
    <w:rsid w:val="00625D88"/>
    <w:rsid w:val="00635539"/>
    <w:rsid w:val="00641A64"/>
    <w:rsid w:val="00666677"/>
    <w:rsid w:val="00673228"/>
    <w:rsid w:val="00680AA7"/>
    <w:rsid w:val="006818F4"/>
    <w:rsid w:val="00693F8B"/>
    <w:rsid w:val="00696295"/>
    <w:rsid w:val="006C0DFC"/>
    <w:rsid w:val="00722DF5"/>
    <w:rsid w:val="00795616"/>
    <w:rsid w:val="00797900"/>
    <w:rsid w:val="007C36DB"/>
    <w:rsid w:val="007C5312"/>
    <w:rsid w:val="00810D34"/>
    <w:rsid w:val="00884CAC"/>
    <w:rsid w:val="00897022"/>
    <w:rsid w:val="008A0012"/>
    <w:rsid w:val="008B4425"/>
    <w:rsid w:val="008C1F0E"/>
    <w:rsid w:val="008E31FF"/>
    <w:rsid w:val="008E377D"/>
    <w:rsid w:val="008F2218"/>
    <w:rsid w:val="008F53CE"/>
    <w:rsid w:val="008F7B29"/>
    <w:rsid w:val="0090226D"/>
    <w:rsid w:val="0092044E"/>
    <w:rsid w:val="00924163"/>
    <w:rsid w:val="00933C67"/>
    <w:rsid w:val="00943258"/>
    <w:rsid w:val="00956EDF"/>
    <w:rsid w:val="009650C8"/>
    <w:rsid w:val="009A065A"/>
    <w:rsid w:val="009D6066"/>
    <w:rsid w:val="00A049FC"/>
    <w:rsid w:val="00A0710F"/>
    <w:rsid w:val="00A12756"/>
    <w:rsid w:val="00A765AB"/>
    <w:rsid w:val="00AB320F"/>
    <w:rsid w:val="00AC3969"/>
    <w:rsid w:val="00AF1938"/>
    <w:rsid w:val="00AF7C16"/>
    <w:rsid w:val="00B14A81"/>
    <w:rsid w:val="00B27CD9"/>
    <w:rsid w:val="00B6363E"/>
    <w:rsid w:val="00B6515E"/>
    <w:rsid w:val="00BA2544"/>
    <w:rsid w:val="00BC52F1"/>
    <w:rsid w:val="00C03B4C"/>
    <w:rsid w:val="00C0456B"/>
    <w:rsid w:val="00C25705"/>
    <w:rsid w:val="00C762F5"/>
    <w:rsid w:val="00C81941"/>
    <w:rsid w:val="00CA6C34"/>
    <w:rsid w:val="00CB5FC5"/>
    <w:rsid w:val="00CC5780"/>
    <w:rsid w:val="00CD1C24"/>
    <w:rsid w:val="00D32740"/>
    <w:rsid w:val="00D9011F"/>
    <w:rsid w:val="00DA4232"/>
    <w:rsid w:val="00DC1989"/>
    <w:rsid w:val="00DE0162"/>
    <w:rsid w:val="00DE0552"/>
    <w:rsid w:val="00DF5478"/>
    <w:rsid w:val="00E0178F"/>
    <w:rsid w:val="00E03F81"/>
    <w:rsid w:val="00E05790"/>
    <w:rsid w:val="00E05E61"/>
    <w:rsid w:val="00E176F5"/>
    <w:rsid w:val="00E26728"/>
    <w:rsid w:val="00E62D00"/>
    <w:rsid w:val="00E90F3C"/>
    <w:rsid w:val="00E968BB"/>
    <w:rsid w:val="00EB4346"/>
    <w:rsid w:val="00ED0DBF"/>
    <w:rsid w:val="00EE3903"/>
    <w:rsid w:val="00F11B2C"/>
    <w:rsid w:val="00F22B73"/>
    <w:rsid w:val="00F96DE0"/>
    <w:rsid w:val="00FB3A3F"/>
    <w:rsid w:val="00FC140C"/>
    <w:rsid w:val="00FC63CA"/>
    <w:rsid w:val="00FD5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04C273"/>
  <w15:chartTrackingRefBased/>
  <w15:docId w15:val="{2A38F979-4784-46F4-93CA-4A7F519FE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link w:val="QualificaoChar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customStyle="1" w:styleId="QualificaoChar">
    <w:name w:val="Qualificação Char"/>
    <w:basedOn w:val="Fontepargpadro"/>
    <w:link w:val="Qualificao"/>
    <w:rsid w:val="00304E64"/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Memoriais%20para%20entrega%20pessoal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Memoriais para entrega pessoal</Template>
  <TotalTime>12</TotalTime>
  <Pages>4</Pages>
  <Words>1194</Words>
  <Characters>6293</Characters>
  <Application>Microsoft Office Word</Application>
  <DocSecurity>0</DocSecurity>
  <Lines>121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9</cp:revision>
  <cp:lastPrinted>2022-07-18T22:35:00Z</cp:lastPrinted>
  <dcterms:created xsi:type="dcterms:W3CDTF">2025-06-12T19:14:00Z</dcterms:created>
  <dcterms:modified xsi:type="dcterms:W3CDTF">2025-06-16T20:41:00Z</dcterms:modified>
</cp:coreProperties>
</file>