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E742" w14:textId="4D312DA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6E1D1A">
        <w:rPr>
          <w:rFonts w:ascii="Arial" w:eastAsia="Calibri" w:hAnsi="Arial" w:cs="Times New Roman"/>
          <w:sz w:val="24"/>
          <w:szCs w:val="24"/>
        </w:rPr>
        <w:t>A</w:t>
      </w:r>
      <w:r w:rsidR="003F66B2">
        <w:rPr>
          <w:rFonts w:ascii="Arial" w:eastAsia="Calibri" w:hAnsi="Arial" w:cs="Times New Roman"/>
          <w:sz w:val="24"/>
          <w:szCs w:val="24"/>
        </w:rPr>
        <w:t xml:space="preserve"> SENHOR</w:t>
      </w:r>
      <w:r w:rsidR="006E1D1A">
        <w:rPr>
          <w:rFonts w:ascii="Arial" w:eastAsia="Calibri" w:hAnsi="Arial" w:cs="Times New Roman"/>
          <w:sz w:val="24"/>
          <w:szCs w:val="24"/>
        </w:rPr>
        <w:t>A</w:t>
      </w:r>
      <w:r w:rsidR="003F66B2">
        <w:rPr>
          <w:rFonts w:ascii="Arial" w:eastAsia="Calibri" w:hAnsi="Arial" w:cs="Times New Roman"/>
          <w:sz w:val="24"/>
          <w:szCs w:val="24"/>
        </w:rPr>
        <w:t xml:space="preserve"> DESEMBARGADOR</w:t>
      </w:r>
      <w:r w:rsidR="006E1D1A">
        <w:rPr>
          <w:rFonts w:ascii="Arial" w:eastAsia="Calibri" w:hAnsi="Arial" w:cs="Times New Roman"/>
          <w:sz w:val="24"/>
          <w:szCs w:val="24"/>
        </w:rPr>
        <w:t>A</w:t>
      </w:r>
      <w:r w:rsidR="003F66B2">
        <w:rPr>
          <w:rFonts w:ascii="Arial" w:eastAsia="Calibri" w:hAnsi="Arial" w:cs="Times New Roman"/>
          <w:sz w:val="24"/>
          <w:szCs w:val="24"/>
        </w:rPr>
        <w:t xml:space="preserve"> FEDERAL </w:t>
      </w:r>
      <w:r w:rsidR="005738A1" w:rsidRPr="005738A1">
        <w:rPr>
          <w:rFonts w:ascii="Arial" w:eastAsia="Calibri" w:hAnsi="Arial" w:cs="Times New Roman"/>
          <w:sz w:val="24"/>
          <w:szCs w:val="24"/>
        </w:rPr>
        <w:t>VIVIAN JOSETE PANTALEÃO CAMINHA</w:t>
      </w:r>
      <w:r w:rsidR="005738A1">
        <w:rPr>
          <w:rFonts w:ascii="Arial" w:eastAsia="Calibri" w:hAnsi="Arial" w:cs="Times New Roman"/>
          <w:sz w:val="24"/>
          <w:szCs w:val="24"/>
        </w:rPr>
        <w:t xml:space="preserve">, DIGNÍSSIMA VICE-PRESIDENTE DO TRIBUNAL REGIONAL DA 4ª REGIÃO </w:t>
      </w:r>
    </w:p>
    <w:p w14:paraId="6845B5C7" w14:textId="77777777" w:rsidR="000169F1" w:rsidRPr="0004103F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2294F329" w14:textId="77777777" w:rsidR="009A18D0" w:rsidRPr="0004103F" w:rsidRDefault="009A18D0" w:rsidP="00CC0544">
      <w:pPr>
        <w:spacing w:after="0" w:line="360" w:lineRule="auto"/>
        <w:contextualSpacing/>
        <w:jc w:val="both"/>
        <w:rPr>
          <w:rFonts w:ascii="Arial" w:eastAsia="Calibri" w:hAnsi="Arial" w:cs="Times New Roman"/>
          <w:sz w:val="6"/>
          <w:szCs w:val="6"/>
        </w:rPr>
      </w:pPr>
    </w:p>
    <w:p w14:paraId="2979E462" w14:textId="77777777" w:rsidR="009A18D0" w:rsidRPr="00C45BD2" w:rsidRDefault="009A18D0" w:rsidP="00CC0544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30ACF50F" w14:textId="2C06B51D" w:rsidR="000169F1" w:rsidRPr="008C4C26" w:rsidRDefault="008C4C26" w:rsidP="008C4C26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8C4C26">
        <w:rPr>
          <w:rFonts w:ascii="Arial" w:eastAsia="Calibri" w:hAnsi="Arial" w:cs="Times New Roman"/>
        </w:rPr>
        <w:t>Autos n. 5002238-85.2025.4.04.7208</w:t>
      </w:r>
    </w:p>
    <w:p w14:paraId="088E3BA1" w14:textId="77777777" w:rsidR="00960658" w:rsidRDefault="00960658" w:rsidP="00CC0544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3885F096" w14:textId="77777777" w:rsidR="009A18D0" w:rsidRPr="0004103F" w:rsidRDefault="009A18D0" w:rsidP="00CC0544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8"/>
          <w:szCs w:val="8"/>
        </w:rPr>
      </w:pPr>
    </w:p>
    <w:p w14:paraId="61652F60" w14:textId="77777777" w:rsidR="000169F1" w:rsidRPr="0004103F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01D76140" w14:textId="7B87D620" w:rsidR="000169F1" w:rsidRPr="008C4C26" w:rsidRDefault="008C4C26" w:rsidP="000169F1">
      <w:pPr>
        <w:pStyle w:val="Qualificaodaspartes"/>
      </w:pPr>
      <w:r>
        <w:rPr>
          <w:b/>
        </w:rPr>
        <w:t>WELLINGTON RODRIGUES FERREIRA</w:t>
      </w:r>
      <w:r w:rsidR="000169F1" w:rsidRPr="00A814BD">
        <w:t xml:space="preserve">, </w:t>
      </w:r>
      <w:r>
        <w:t xml:space="preserve">já qualificado nos autos </w:t>
      </w:r>
      <w:r w:rsidR="005738A1">
        <w:t xml:space="preserve">do recurso especial </w:t>
      </w:r>
      <w:r>
        <w:t xml:space="preserve">n. </w:t>
      </w:r>
      <w:r w:rsidRPr="002D6CB1">
        <w:rPr>
          <w:rFonts w:eastAsia="Calibri" w:cs="Times New Roman"/>
        </w:rPr>
        <w:t>5002238-85.2025.4.04.7208</w:t>
      </w:r>
      <w:r>
        <w:rPr>
          <w:rFonts w:eastAsia="Calibri" w:cs="Times New Roman"/>
        </w:rPr>
        <w:t xml:space="preserve">, em que </w:t>
      </w:r>
      <w:r w:rsidR="005738A1">
        <w:rPr>
          <w:rFonts w:eastAsia="Calibri" w:cs="Times New Roman"/>
        </w:rPr>
        <w:t xml:space="preserve">é recorrente </w:t>
      </w:r>
      <w:r>
        <w:rPr>
          <w:rFonts w:eastAsia="Calibri" w:cs="Times New Roman"/>
        </w:rPr>
        <w:t>a MATTEL INC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234CAB">
        <w:t xml:space="preserve">apresentar, a tempo e modo, </w:t>
      </w:r>
      <w:r w:rsidR="00234CAB">
        <w:rPr>
          <w:b/>
          <w:i/>
        </w:rPr>
        <w:t xml:space="preserve">CONTRARRAZÕES </w:t>
      </w:r>
      <w:r w:rsidR="00234CAB" w:rsidRPr="0033616F">
        <w:rPr>
          <w:b/>
          <w:bCs w:val="0"/>
          <w:iCs/>
        </w:rPr>
        <w:t>ao</w:t>
      </w:r>
      <w:r w:rsidR="005738A1" w:rsidRPr="0033616F">
        <w:rPr>
          <w:b/>
          <w:bCs w:val="0"/>
          <w:iCs/>
        </w:rPr>
        <w:t xml:space="preserve"> RECLAMO EXTREMO</w:t>
      </w:r>
      <w:r w:rsidR="005738A1">
        <w:rPr>
          <w:iCs/>
        </w:rPr>
        <w:t xml:space="preserve"> interposto no evento 5</w:t>
      </w:r>
      <w:r w:rsidR="0033616F">
        <w:rPr>
          <w:iCs/>
        </w:rPr>
        <w:t>2</w:t>
      </w:r>
      <w:r w:rsidR="00234CAB">
        <w:t>, pelas razões de fato e de direito a seguir expostas</w:t>
      </w:r>
      <w:r>
        <w:t>.</w:t>
      </w:r>
    </w:p>
    <w:p w14:paraId="7CFFFC81" w14:textId="77777777" w:rsidR="009A5988" w:rsidRPr="0004103F" w:rsidRDefault="009A5988" w:rsidP="009A5988">
      <w:pPr>
        <w:pStyle w:val="SemEspaamento"/>
        <w:numPr>
          <w:ilvl w:val="0"/>
          <w:numId w:val="0"/>
        </w:numPr>
      </w:pPr>
    </w:p>
    <w:p w14:paraId="688C19E3" w14:textId="056D28F4" w:rsidR="009A5988" w:rsidRDefault="009A5988" w:rsidP="00242BEE">
      <w:pPr>
        <w:pStyle w:val="Ttulo"/>
      </w:pPr>
      <w:r>
        <w:t>I – SÍNTESE D</w:t>
      </w:r>
      <w:r w:rsidR="005738A1">
        <w:t>A INSURGÊNCIA</w:t>
      </w:r>
    </w:p>
    <w:p w14:paraId="58E2DA09" w14:textId="77777777" w:rsidR="009A5988" w:rsidRPr="0004103F" w:rsidRDefault="009A5988" w:rsidP="009A5988">
      <w:pPr>
        <w:rPr>
          <w:sz w:val="24"/>
          <w:szCs w:val="24"/>
        </w:rPr>
      </w:pPr>
    </w:p>
    <w:p w14:paraId="03D38C1C" w14:textId="7E0781A2" w:rsidR="002E6D0A" w:rsidRDefault="00EC702F" w:rsidP="002E6D0A">
      <w:pPr>
        <w:pStyle w:val="SemEspaamento"/>
      </w:pPr>
      <w:r>
        <w:t>Após</w:t>
      </w:r>
      <w:r w:rsidR="00B444FD">
        <w:t xml:space="preserve"> o provimento do recurso em sentido estrito para reconhecer a consumação da decadência no caso em tela</w:t>
      </w:r>
      <w:r w:rsidR="00B6451F">
        <w:t xml:space="preserve"> </w:t>
      </w:r>
      <w:r w:rsidR="00B6451F" w:rsidRPr="00B6451F">
        <w:rPr>
          <w:sz w:val="20"/>
          <w:szCs w:val="18"/>
        </w:rPr>
        <w:t>(eventos 13 e 19</w:t>
      </w:r>
      <w:r w:rsidR="00B6451F">
        <w:rPr>
          <w:sz w:val="20"/>
          <w:szCs w:val="18"/>
        </w:rPr>
        <w:t xml:space="preserve"> – 2º grau</w:t>
      </w:r>
      <w:r w:rsidR="00B6451F" w:rsidRPr="00B6451F">
        <w:rPr>
          <w:sz w:val="20"/>
          <w:szCs w:val="18"/>
        </w:rPr>
        <w:t>)</w:t>
      </w:r>
      <w:r w:rsidR="00B444FD">
        <w:t xml:space="preserve">, </w:t>
      </w:r>
      <w:r w:rsidR="00013C80">
        <w:t xml:space="preserve">fundamentado em </w:t>
      </w:r>
      <w:r>
        <w:t xml:space="preserve">entendimento jurisprudencial </w:t>
      </w:r>
      <w:r w:rsidR="00013C80" w:rsidRPr="00013C80">
        <w:rPr>
          <w:b/>
          <w:bCs/>
        </w:rPr>
        <w:t xml:space="preserve">atual e </w:t>
      </w:r>
      <w:r w:rsidRPr="00013C80">
        <w:rPr>
          <w:b/>
          <w:bCs/>
        </w:rPr>
        <w:t>vigente</w:t>
      </w:r>
      <w:r>
        <w:t xml:space="preserve"> da </w:t>
      </w:r>
      <w:r w:rsidR="007B0640">
        <w:t xml:space="preserve">Colenda </w:t>
      </w:r>
      <w:r>
        <w:t>Corte Superior</w:t>
      </w:r>
      <w:r w:rsidR="00466CCE">
        <w:t xml:space="preserve"> sobre a matéria</w:t>
      </w:r>
      <w:r>
        <w:t xml:space="preserve">, </w:t>
      </w:r>
      <w:r w:rsidR="005232B1">
        <w:t>a</w:t>
      </w:r>
      <w:r w:rsidR="009A5988">
        <w:t xml:space="preserve"> </w:t>
      </w:r>
      <w:r>
        <w:t xml:space="preserve">recorrente interpôs recurso especial </w:t>
      </w:r>
      <w:r w:rsidR="00466CCE">
        <w:t>e argumentou, em síntese,</w:t>
      </w:r>
      <w:r>
        <w:t xml:space="preserve"> </w:t>
      </w:r>
      <w:r w:rsidR="00466CCE">
        <w:t xml:space="preserve">que </w:t>
      </w:r>
      <w:r w:rsidR="00013C80">
        <w:t xml:space="preserve">o aresto recorrido teria </w:t>
      </w:r>
      <w:r w:rsidR="00812F7A">
        <w:t>dad</w:t>
      </w:r>
      <w:r w:rsidR="007B0640">
        <w:t>o</w:t>
      </w:r>
      <w:r w:rsidR="00812F7A">
        <w:t xml:space="preserve"> intepretação diferente ao art. 529 do CPP e divergido de </w:t>
      </w:r>
      <w:r w:rsidR="00013C80">
        <w:t>“</w:t>
      </w:r>
      <w:r w:rsidR="00D537BA" w:rsidRPr="00D537BA">
        <w:rPr>
          <w:i/>
          <w:iCs/>
        </w:rPr>
        <w:t>diversos julgados de diferentes tribunais, os quais entendem pelo privilégio da aplicação da regra do art. 529 do Código de Processo Penal no processamento dos crimes contra a Propriedade Imaterial</w:t>
      </w:r>
      <w:r w:rsidR="00D537BA">
        <w:t xml:space="preserve">” </w:t>
      </w:r>
      <w:r w:rsidR="00D537BA" w:rsidRPr="00D537BA">
        <w:rPr>
          <w:sz w:val="20"/>
          <w:szCs w:val="18"/>
        </w:rPr>
        <w:t>(evento 52, RECESP1, p. 6)</w:t>
      </w:r>
      <w:r w:rsidR="00D537BA">
        <w:t>.</w:t>
      </w:r>
    </w:p>
    <w:p w14:paraId="3550CB3B" w14:textId="616A568E" w:rsidR="00DA78B7" w:rsidRDefault="00DA78B7" w:rsidP="002E6D0A">
      <w:pPr>
        <w:pStyle w:val="SemEspaamento"/>
      </w:pPr>
      <w:r>
        <w:t xml:space="preserve">Para tanto, a recorrente </w:t>
      </w:r>
      <w:r w:rsidR="009B5867">
        <w:t xml:space="preserve">busca a aplicação isolada do dispositivo mencionado e </w:t>
      </w:r>
      <w:r w:rsidR="00A224A1">
        <w:t xml:space="preserve">interpreta </w:t>
      </w:r>
      <w:r w:rsidR="00A224A1" w:rsidRPr="005866B6">
        <w:rPr>
          <w:sz w:val="22"/>
          <w:szCs w:val="20"/>
        </w:rPr>
        <w:t>– equivocadamente –</w:t>
      </w:r>
      <w:r w:rsidR="00A224A1">
        <w:t xml:space="preserve"> </w:t>
      </w:r>
      <w:r>
        <w:t>que</w:t>
      </w:r>
      <w:r w:rsidR="00A224A1">
        <w:t xml:space="preserve"> o art. 525 do CPP exige</w:t>
      </w:r>
      <w:r w:rsidR="005866B6">
        <w:t xml:space="preserve"> que,</w:t>
      </w:r>
      <w:r>
        <w:t xml:space="preserve"> </w:t>
      </w:r>
      <w:r w:rsidR="00A224A1">
        <w:t xml:space="preserve">nos </w:t>
      </w:r>
      <w:r w:rsidR="00A224A1" w:rsidRPr="00A224A1">
        <w:t xml:space="preserve">crimes contra a </w:t>
      </w:r>
      <w:r w:rsidR="005866B6" w:rsidRPr="00A224A1">
        <w:t>propriedade imaterial</w:t>
      </w:r>
      <w:r w:rsidR="005866B6">
        <w:t>,</w:t>
      </w:r>
      <w:r w:rsidR="005866B6" w:rsidRPr="00A224A1">
        <w:t xml:space="preserve"> </w:t>
      </w:r>
      <w:r w:rsidR="005866B6">
        <w:t>“</w:t>
      </w:r>
      <w:r w:rsidR="00A224A1" w:rsidRPr="005866B6">
        <w:rPr>
          <w:i/>
          <w:iCs/>
        </w:rPr>
        <w:t>manejados mediante ação penal privada o laudo pericial é o principal elemento de prova e deve sempre acompanhar a exordial acusatória, sob pena de rejeição liminar da queixa</w:t>
      </w:r>
      <w:r w:rsidR="00A224A1">
        <w:t>”</w:t>
      </w:r>
      <w:r w:rsidR="005866B6">
        <w:t xml:space="preserve"> </w:t>
      </w:r>
      <w:r w:rsidR="005866B6" w:rsidRPr="004A3547">
        <w:rPr>
          <w:sz w:val="20"/>
          <w:szCs w:val="18"/>
        </w:rPr>
        <w:t>(evento 52, p. 6)</w:t>
      </w:r>
      <w:r w:rsidR="00A224A1">
        <w:t>.</w:t>
      </w:r>
    </w:p>
    <w:p w14:paraId="4FFA7387" w14:textId="265BABDF" w:rsidR="00C278B6" w:rsidRDefault="003E758D" w:rsidP="00BD4C9A">
      <w:pPr>
        <w:pStyle w:val="SemEspaamento"/>
      </w:pPr>
      <w:r>
        <w:t xml:space="preserve">Vale registrar, por oportuno, que o dispositivo legal mencionado exige apenas o </w:t>
      </w:r>
      <w:r w:rsidR="004A72CE">
        <w:t>“</w:t>
      </w:r>
      <w:r w:rsidRPr="00D6248B">
        <w:rPr>
          <w:b/>
          <w:bCs/>
          <w:i/>
          <w:iCs/>
        </w:rPr>
        <w:t>exame pericial</w:t>
      </w:r>
      <w:r w:rsidRPr="00D6248B">
        <w:rPr>
          <w:i/>
          <w:iCs/>
        </w:rPr>
        <w:t xml:space="preserve"> do</w:t>
      </w:r>
      <w:r w:rsidR="004A72CE" w:rsidRPr="00D6248B">
        <w:rPr>
          <w:i/>
          <w:iCs/>
        </w:rPr>
        <w:t>s objetos que constituam o corpo de delito</w:t>
      </w:r>
      <w:r w:rsidR="004A72CE">
        <w:t xml:space="preserve">”, </w:t>
      </w:r>
      <w:r w:rsidR="004A72CE" w:rsidRPr="00D6248B">
        <w:rPr>
          <w:b/>
          <w:bCs/>
        </w:rPr>
        <w:t xml:space="preserve">o que não se confunde com a </w:t>
      </w:r>
      <w:r w:rsidR="00D6248B" w:rsidRPr="00D6248B">
        <w:rPr>
          <w:b/>
          <w:bCs/>
        </w:rPr>
        <w:t xml:space="preserve">necessidade de ajuizamento de cautelar preparatória ou </w:t>
      </w:r>
      <w:r w:rsidR="004A72CE" w:rsidRPr="00D6248B">
        <w:rPr>
          <w:b/>
          <w:bCs/>
        </w:rPr>
        <w:t xml:space="preserve">homologação </w:t>
      </w:r>
      <w:r w:rsidR="00D6248B" w:rsidRPr="00D6248B">
        <w:rPr>
          <w:b/>
          <w:bCs/>
        </w:rPr>
        <w:t>judicial da perícia,</w:t>
      </w:r>
      <w:r w:rsidR="004A72CE" w:rsidRPr="00D6248B">
        <w:rPr>
          <w:b/>
          <w:bCs/>
        </w:rPr>
        <w:t xml:space="preserve"> perante o </w:t>
      </w:r>
      <w:r w:rsidR="007D05CD" w:rsidRPr="00D6248B">
        <w:rPr>
          <w:b/>
          <w:bCs/>
        </w:rPr>
        <w:t>Poder Judiciário</w:t>
      </w:r>
      <w:r w:rsidR="007D05CD">
        <w:t xml:space="preserve">, </w:t>
      </w:r>
      <w:r w:rsidR="00D6248B">
        <w:t xml:space="preserve">para o recebimento da queixa-crime, </w:t>
      </w:r>
      <w:r w:rsidR="007D05CD">
        <w:t>como quer insistentemente induzir a recorrente</w:t>
      </w:r>
      <w:r w:rsidR="004A72CE">
        <w:t>.</w:t>
      </w:r>
      <w:r w:rsidR="00C278B6">
        <w:t xml:space="preserve"> </w:t>
      </w:r>
    </w:p>
    <w:p w14:paraId="6557C049" w14:textId="6F8D5B27" w:rsidR="00D6248B" w:rsidRDefault="00D6248B" w:rsidP="00D6248B">
      <w:pPr>
        <w:pStyle w:val="SemEspaamento"/>
      </w:pPr>
      <w:r>
        <w:lastRenderedPageBreak/>
        <w:t xml:space="preserve">Aliás, </w:t>
      </w:r>
      <w:r w:rsidRPr="00610AFD">
        <w:rPr>
          <w:b/>
          <w:bCs/>
        </w:rPr>
        <w:t xml:space="preserve">a própria </w:t>
      </w:r>
      <w:r w:rsidR="0055313E">
        <w:rPr>
          <w:b/>
          <w:bCs/>
        </w:rPr>
        <w:t>recorrente</w:t>
      </w:r>
      <w:r w:rsidRPr="00610AFD">
        <w:rPr>
          <w:b/>
          <w:bCs/>
        </w:rPr>
        <w:t xml:space="preserve"> MATTEL poderia ter realizado exame pericial</w:t>
      </w:r>
      <w:r>
        <w:t xml:space="preserve"> </w:t>
      </w:r>
      <w:r w:rsidRPr="00136293">
        <w:rPr>
          <w:b/>
          <w:bCs/>
          <w:u w:val="single"/>
        </w:rPr>
        <w:t>dentro</w:t>
      </w:r>
      <w:r w:rsidRPr="00AC3969">
        <w:rPr>
          <w:b/>
          <w:bCs/>
        </w:rPr>
        <w:t xml:space="preserve"> </w:t>
      </w:r>
      <w:r w:rsidRPr="00136293">
        <w:rPr>
          <w:b/>
          <w:bCs/>
          <w:u w:val="single"/>
        </w:rPr>
        <w:t>do</w:t>
      </w:r>
      <w:r w:rsidRPr="00AC3969">
        <w:rPr>
          <w:b/>
          <w:bCs/>
        </w:rPr>
        <w:t xml:space="preserve"> </w:t>
      </w:r>
      <w:r w:rsidRPr="00136293">
        <w:rPr>
          <w:b/>
          <w:bCs/>
          <w:u w:val="single"/>
        </w:rPr>
        <w:t>prazo</w:t>
      </w:r>
      <w:r w:rsidRPr="00AC3969">
        <w:rPr>
          <w:b/>
          <w:bCs/>
        </w:rPr>
        <w:t xml:space="preserve"> </w:t>
      </w:r>
      <w:r w:rsidRPr="00136293">
        <w:rPr>
          <w:b/>
          <w:bCs/>
          <w:u w:val="single"/>
        </w:rPr>
        <w:t>decadencial</w:t>
      </w:r>
      <w:r>
        <w:t xml:space="preserve"> </w:t>
      </w:r>
      <w:r w:rsidRPr="00C414B5">
        <w:rPr>
          <w:b/>
          <w:bCs/>
        </w:rPr>
        <w:t>para fundamentar a ação penal privada, seja por seus técnicos ou por meio da contratação de empresa especializada para analisar o material apreendido</w:t>
      </w:r>
      <w:r w:rsidRPr="00335A81">
        <w:rPr>
          <w:b/>
          <w:bCs/>
        </w:rPr>
        <w:t xml:space="preserve"> e elaborar esse exame dentro do prazo mencionado, observando a </w:t>
      </w:r>
      <w:r w:rsidRPr="00940359">
        <w:rPr>
          <w:b/>
          <w:bCs/>
          <w:u w:val="single"/>
        </w:rPr>
        <w:t>aplicação</w:t>
      </w:r>
      <w:r w:rsidRPr="00335A81">
        <w:rPr>
          <w:b/>
          <w:bCs/>
        </w:rPr>
        <w:t xml:space="preserve"> </w:t>
      </w:r>
      <w:r w:rsidRPr="00940359">
        <w:rPr>
          <w:b/>
          <w:bCs/>
          <w:u w:val="single"/>
        </w:rPr>
        <w:t>conjunta</w:t>
      </w:r>
      <w:r w:rsidRPr="00335A81">
        <w:rPr>
          <w:b/>
          <w:bCs/>
        </w:rPr>
        <w:t xml:space="preserve"> do art. 38 e do art. 529 do CPP</w:t>
      </w:r>
      <w:r>
        <w:t>,</w:t>
      </w:r>
      <w:r w:rsidRPr="00D6248B">
        <w:rPr>
          <w:b/>
          <w:bCs/>
        </w:rPr>
        <w:t xml:space="preserve"> o que derrui o argumento de que seria necessária a homologação judicial de laudo pericial para início do prazo decadencia</w:t>
      </w:r>
      <w:r>
        <w:t xml:space="preserve">l. </w:t>
      </w:r>
    </w:p>
    <w:p w14:paraId="3D0CD7C5" w14:textId="4DCD5779" w:rsidR="00D537BA" w:rsidRDefault="00D6248B" w:rsidP="00E763D7">
      <w:pPr>
        <w:pStyle w:val="SemEspaamento"/>
      </w:pPr>
      <w:r>
        <w:t>Feito esse registro, nas razões recursais a recorrente apresenta, n</w:t>
      </w:r>
      <w:r w:rsidR="00D537BA">
        <w:t xml:space="preserve">a sequência, </w:t>
      </w:r>
      <w:r w:rsidR="00F44200">
        <w:t xml:space="preserve">o dissídio jurisprudencial e </w:t>
      </w:r>
      <w:r w:rsidR="002A6218">
        <w:t xml:space="preserve">alega </w:t>
      </w:r>
      <w:r w:rsidR="002B6AEF">
        <w:t xml:space="preserve">que o art. 529 do CPP teria </w:t>
      </w:r>
      <w:r w:rsidR="00F44200">
        <w:t>aplicabilidade obrigatória e</w:t>
      </w:r>
      <w:r w:rsidR="007D05CD">
        <w:t>, mais uma vez,</w:t>
      </w:r>
      <w:r w:rsidR="00F44200">
        <w:t xml:space="preserve"> </w:t>
      </w:r>
      <w:r w:rsidR="0092091E">
        <w:t xml:space="preserve">alega que seria indispensável a </w:t>
      </w:r>
      <w:r w:rsidR="00F44200">
        <w:t>homologação judicial do laudo pericial para o início da contagem do prazo decadencial</w:t>
      </w:r>
      <w:r w:rsidR="002A6218">
        <w:t xml:space="preserve">, sustentando que </w:t>
      </w:r>
      <w:r w:rsidR="00E763D7">
        <w:t>“</w:t>
      </w:r>
      <w:r w:rsidR="00E763D7" w:rsidRPr="00E763D7">
        <w:rPr>
          <w:i/>
          <w:iCs/>
        </w:rPr>
        <w:t xml:space="preserve">a </w:t>
      </w:r>
      <w:r w:rsidR="00E763D7" w:rsidRPr="00E763D7">
        <w:rPr>
          <w:i/>
          <w:iCs/>
          <w:u w:val="single"/>
        </w:rPr>
        <w:t>homologação do laudo pericial</w:t>
      </w:r>
      <w:r w:rsidR="00E763D7" w:rsidRPr="00E763D7">
        <w:rPr>
          <w:i/>
          <w:iCs/>
        </w:rPr>
        <w:t xml:space="preserve"> pelo Juízo configura </w:t>
      </w:r>
      <w:r w:rsidR="00E763D7" w:rsidRPr="00E763D7">
        <w:rPr>
          <w:i/>
          <w:iCs/>
          <w:u w:val="single"/>
        </w:rPr>
        <w:t>requisito essencial à procedibilidade</w:t>
      </w:r>
      <w:r w:rsidR="00E763D7" w:rsidRPr="00E763D7">
        <w:rPr>
          <w:i/>
          <w:iCs/>
        </w:rPr>
        <w:t xml:space="preserve"> da ação penal privada</w:t>
      </w:r>
      <w:r w:rsidR="00E763D7">
        <w:t xml:space="preserve">” </w:t>
      </w:r>
      <w:r w:rsidR="00E763D7" w:rsidRPr="00E763D7">
        <w:rPr>
          <w:sz w:val="20"/>
          <w:szCs w:val="18"/>
        </w:rPr>
        <w:t xml:space="preserve">(evento 52, p. </w:t>
      </w:r>
      <w:r w:rsidR="0074457B">
        <w:rPr>
          <w:sz w:val="20"/>
          <w:szCs w:val="18"/>
        </w:rPr>
        <w:t>6</w:t>
      </w:r>
      <w:r w:rsidR="00E763D7" w:rsidRPr="00E763D7">
        <w:rPr>
          <w:sz w:val="20"/>
          <w:szCs w:val="18"/>
        </w:rPr>
        <w:t>/19)</w:t>
      </w:r>
      <w:r w:rsidR="00F44200">
        <w:t>.</w:t>
      </w:r>
      <w:r w:rsidR="0092091E">
        <w:t xml:space="preserve"> </w:t>
      </w:r>
    </w:p>
    <w:p w14:paraId="49DBF040" w14:textId="0D60B8B8" w:rsidR="0092091E" w:rsidRDefault="0092091E" w:rsidP="00E763D7">
      <w:pPr>
        <w:pStyle w:val="SemEspaamento"/>
      </w:pPr>
      <w:r>
        <w:t>Por fim, a recorrente</w:t>
      </w:r>
      <w:r w:rsidR="001D28B7">
        <w:t xml:space="preserve"> pede o provimento do recurso especial interposto, pois, no seu entender, o aresto recorrido </w:t>
      </w:r>
      <w:r w:rsidR="00C676C6">
        <w:t>teria divergido frontalmente de entendimento adotado por outros Tribunais que confirmariam que, “</w:t>
      </w:r>
      <w:r w:rsidR="00076495" w:rsidRPr="00076495">
        <w:rPr>
          <w:i/>
          <w:iCs/>
        </w:rPr>
        <w:t>em crimes contra a Propriedade Imaterial que deixa vestígios, é obrigatória a aplicação do prazo decadencial previsto no art. 529 do CPP</w:t>
      </w:r>
      <w:r w:rsidR="00076495">
        <w:t>”</w:t>
      </w:r>
      <w:r w:rsidR="0074457B">
        <w:t xml:space="preserve"> </w:t>
      </w:r>
      <w:r w:rsidR="0074457B" w:rsidRPr="00E763D7">
        <w:rPr>
          <w:sz w:val="20"/>
          <w:szCs w:val="18"/>
        </w:rPr>
        <w:t>(evento 52, p. 19)</w:t>
      </w:r>
      <w:r w:rsidR="00076495" w:rsidRPr="00076495">
        <w:t>.</w:t>
      </w:r>
    </w:p>
    <w:p w14:paraId="698741A2" w14:textId="2E09FBB5" w:rsidR="00D64AAC" w:rsidRDefault="00F44200" w:rsidP="00242BEE">
      <w:pPr>
        <w:pStyle w:val="SemEspaamento"/>
      </w:pPr>
      <w:r>
        <w:t xml:space="preserve">Sem razão, entretanto, a recorrente, </w:t>
      </w:r>
      <w:r w:rsidR="00E763D7">
        <w:t xml:space="preserve">sobretudo porque </w:t>
      </w:r>
      <w:r w:rsidR="00796E19">
        <w:t xml:space="preserve">o entendimento firmado pelo aresto recorrido seguiu a jurisprudência atual e consolidada do Superior Tribunal de Justiça, e </w:t>
      </w:r>
      <w:r w:rsidR="000A60D0">
        <w:t>a</w:t>
      </w:r>
      <w:r w:rsidR="00796E19">
        <w:t xml:space="preserve"> recorrente apenas </w:t>
      </w:r>
      <w:r w:rsidR="0047070D">
        <w:t>busca</w:t>
      </w:r>
      <w:r w:rsidR="00796E19">
        <w:t xml:space="preserve"> rediscutir matéria já discutida e devidamente apreciada, manejando o recurso especial </w:t>
      </w:r>
      <w:r w:rsidR="000A60D0">
        <w:t>como</w:t>
      </w:r>
      <w:r w:rsidR="000327E6">
        <w:t xml:space="preserve"> mero inconformismo com o resultado </w:t>
      </w:r>
      <w:r w:rsidR="00796E19">
        <w:t xml:space="preserve">para se utilizar </w:t>
      </w:r>
      <w:r w:rsidR="0047070D">
        <w:t xml:space="preserve">da Corte Superior como terceira instância revisora, o que não é admitido, </w:t>
      </w:r>
      <w:r w:rsidR="00D64AAC">
        <w:t>como será melhor detalhado a seguir.</w:t>
      </w:r>
    </w:p>
    <w:p w14:paraId="146A7777" w14:textId="77777777" w:rsidR="00D64AAC" w:rsidRPr="00A33100" w:rsidRDefault="00D64AAC" w:rsidP="00D6248B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B6FB2F3" w14:textId="476C6FCB" w:rsidR="00D64AAC" w:rsidRDefault="00D64AAC" w:rsidP="00242BEE">
      <w:pPr>
        <w:pStyle w:val="Ttulo"/>
      </w:pPr>
      <w:r>
        <w:t xml:space="preserve">II – RAZÕES QUE CONDUZEM </w:t>
      </w:r>
      <w:r w:rsidR="00492542">
        <w:t xml:space="preserve">AO NÃO CONHECIMENTO </w:t>
      </w:r>
      <w:r>
        <w:t>DO RECLAMO</w:t>
      </w:r>
      <w:r w:rsidR="00492542">
        <w:t>.</w:t>
      </w:r>
      <w:r w:rsidR="00631F5D">
        <w:t xml:space="preserve"> Acórdão que </w:t>
      </w:r>
      <w:r w:rsidR="00242BEE">
        <w:t xml:space="preserve">seguiu entendimento jurisprudencial </w:t>
      </w:r>
      <w:r w:rsidR="00242BEE" w:rsidRPr="00242BEE">
        <w:rPr>
          <w:u w:val="single"/>
        </w:rPr>
        <w:t>atual</w:t>
      </w:r>
      <w:r w:rsidR="00242BEE">
        <w:t xml:space="preserve"> </w:t>
      </w:r>
      <w:r w:rsidR="00242BEE" w:rsidRPr="00242BEE">
        <w:rPr>
          <w:u w:val="single"/>
        </w:rPr>
        <w:t>e</w:t>
      </w:r>
      <w:r w:rsidR="00242BEE">
        <w:t xml:space="preserve"> </w:t>
      </w:r>
      <w:r w:rsidR="00242BEE" w:rsidRPr="00242BEE">
        <w:rPr>
          <w:u w:val="single"/>
        </w:rPr>
        <w:t>consolidado</w:t>
      </w:r>
      <w:r w:rsidR="00242BEE">
        <w:t xml:space="preserve"> do STJ. </w:t>
      </w:r>
      <w:r w:rsidR="004A61A0">
        <w:t>Aplicação</w:t>
      </w:r>
      <w:r w:rsidR="00631F5D">
        <w:t xml:space="preserve"> da Súmula n. 83/STJ</w:t>
      </w:r>
      <w:r w:rsidR="00492542">
        <w:t xml:space="preserve"> ao caso</w:t>
      </w:r>
    </w:p>
    <w:p w14:paraId="0E6BD0F6" w14:textId="77777777" w:rsidR="00242BEE" w:rsidRPr="00A33100" w:rsidRDefault="00242BEE" w:rsidP="00D6248B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C45626D" w14:textId="50F012E2" w:rsidR="00E00126" w:rsidRDefault="00492542" w:rsidP="00242BEE">
      <w:pPr>
        <w:pStyle w:val="SemEspaamento"/>
      </w:pPr>
      <w:r>
        <w:t xml:space="preserve">Inicialmente, Excelência, </w:t>
      </w:r>
      <w:r w:rsidR="004A61A0">
        <w:t xml:space="preserve">o que a recorrente </w:t>
      </w:r>
      <w:r w:rsidR="00DD6005">
        <w:t>vem pretendendo</w:t>
      </w:r>
      <w:r w:rsidR="00E00126">
        <w:t xml:space="preserve">, </w:t>
      </w:r>
      <w:r w:rsidR="00DD6005">
        <w:t>desde o início</w:t>
      </w:r>
      <w:r w:rsidR="00E00126">
        <w:t>,</w:t>
      </w:r>
      <w:r w:rsidR="004A61A0">
        <w:t xml:space="preserve"> é a aplicação isolada do art. 529 do CPP</w:t>
      </w:r>
      <w:r w:rsidR="00E00126">
        <w:t xml:space="preserve"> ao caso,</w:t>
      </w:r>
      <w:r w:rsidR="00471DA6">
        <w:t xml:space="preserve"> o que </w:t>
      </w:r>
      <w:r w:rsidR="001647C5">
        <w:t xml:space="preserve">inclusive </w:t>
      </w:r>
      <w:r w:rsidR="00471DA6">
        <w:t xml:space="preserve">é constatado no recurso especial quando </w:t>
      </w:r>
      <w:r w:rsidR="00AD6063">
        <w:t>a própria recorrente argumenta que deveria “</w:t>
      </w:r>
      <w:r w:rsidR="00AD6063" w:rsidRPr="00AD6063">
        <w:rPr>
          <w:i/>
          <w:iCs/>
        </w:rPr>
        <w:t>prevalecer, portanto, a aplicação do prazo decadencial estabelecido no art. 529 do Código de Processo Penal</w:t>
      </w:r>
      <w:r w:rsidR="00ED4FB5">
        <w:rPr>
          <w:i/>
          <w:iCs/>
        </w:rPr>
        <w:t xml:space="preserve"> [...], afastando a incidência pura e simples da regra geral do art. 38 do CPP</w:t>
      </w:r>
      <w:r w:rsidR="00AD6063">
        <w:t xml:space="preserve">” </w:t>
      </w:r>
      <w:r w:rsidR="00AD6063" w:rsidRPr="00AD6063">
        <w:rPr>
          <w:sz w:val="20"/>
          <w:szCs w:val="18"/>
        </w:rPr>
        <w:t>(evento 52, p. 7)</w:t>
      </w:r>
      <w:r w:rsidR="00640B1C">
        <w:t>,</w:t>
      </w:r>
      <w:r w:rsidR="00AD6063">
        <w:t xml:space="preserve"> </w:t>
      </w:r>
      <w:r w:rsidR="00BB25A1">
        <w:t>contraria</w:t>
      </w:r>
      <w:r w:rsidR="00640B1C">
        <w:t>ndo</w:t>
      </w:r>
      <w:r w:rsidR="00BB25A1">
        <w:t xml:space="preserve"> </w:t>
      </w:r>
      <w:r w:rsidR="00E00126">
        <w:t>frontalmente o posicionamento há muito consolidado pela Corte da Cidadania</w:t>
      </w:r>
      <w:r w:rsidR="00640B1C">
        <w:t xml:space="preserve"> sobre esses dispositivos legais</w:t>
      </w:r>
      <w:r w:rsidR="00E00126">
        <w:t xml:space="preserve">. </w:t>
      </w:r>
    </w:p>
    <w:p w14:paraId="57A66FA1" w14:textId="5B140D5F" w:rsidR="00242BEE" w:rsidRDefault="00BB25A1" w:rsidP="00242BEE">
      <w:pPr>
        <w:pStyle w:val="SemEspaamento"/>
      </w:pPr>
      <w:r>
        <w:t>Portanto</w:t>
      </w:r>
      <w:r w:rsidR="004A61A0">
        <w:t xml:space="preserve">, </w:t>
      </w:r>
      <w:r w:rsidR="009F0FE4">
        <w:t xml:space="preserve">como se verá a seguir, </w:t>
      </w:r>
      <w:r w:rsidR="00C826A3">
        <w:t>o recurso especial não deve ser conhecido pela divergência jurisprudencial apontada, sobretudo porque</w:t>
      </w:r>
      <w:r w:rsidR="00DF5F14">
        <w:t xml:space="preserve"> </w:t>
      </w:r>
      <w:r w:rsidR="00DF5F14" w:rsidRPr="000B44FE">
        <w:rPr>
          <w:b/>
          <w:bCs/>
        </w:rPr>
        <w:t>os arestos recorridos firmaram entendimento no mesmo</w:t>
      </w:r>
      <w:r w:rsidR="00DF5F14" w:rsidRPr="004A61A0">
        <w:rPr>
          <w:b/>
          <w:bCs/>
        </w:rPr>
        <w:t xml:space="preserve"> sentido da posição que está pacificada no Superior Tribunal de Justiça</w:t>
      </w:r>
      <w:r w:rsidR="00DF5F14">
        <w:t>, o que atrai o óbice da Súmula n. 83/STJ.</w:t>
      </w:r>
    </w:p>
    <w:p w14:paraId="0E2C26B3" w14:textId="56EF9048" w:rsidR="00FA7F0B" w:rsidRDefault="00DF5F14" w:rsidP="00FA7F0B">
      <w:pPr>
        <w:pStyle w:val="SemEspaamento"/>
      </w:pPr>
      <w:r>
        <w:t xml:space="preserve">Ora, </w:t>
      </w:r>
      <w:r w:rsidR="00FA7F0B">
        <w:t>o voto do ilustre Relator</w:t>
      </w:r>
      <w:r w:rsidR="00E00126">
        <w:t xml:space="preserve"> </w:t>
      </w:r>
      <w:r w:rsidR="00E00126" w:rsidRPr="00E00126">
        <w:rPr>
          <w:sz w:val="20"/>
          <w:szCs w:val="18"/>
        </w:rPr>
        <w:t>(evento 14)</w:t>
      </w:r>
      <w:r w:rsidR="00FA7F0B">
        <w:t xml:space="preserve"> segue o </w:t>
      </w:r>
      <w:r w:rsidR="004A61A0">
        <w:t>que foi</w:t>
      </w:r>
      <w:r w:rsidR="00FA7F0B">
        <w:t xml:space="preserve"> sedimentado pela Colenda Corte da Cidadania </w:t>
      </w:r>
      <w:r w:rsidR="00FA7F0B" w:rsidRPr="007C4260">
        <w:rPr>
          <w:sz w:val="20"/>
          <w:szCs w:val="18"/>
        </w:rPr>
        <w:t>(REsp n. 1.762.142/MG, rel. Min. Sebastião Reis Júnior, 6ª Turma, j. em 13.4.2021)</w:t>
      </w:r>
      <w:r w:rsidR="00FA7F0B" w:rsidRPr="00FA7F0B">
        <w:t>,</w:t>
      </w:r>
      <w:r w:rsidR="00FA7F0B">
        <w:t xml:space="preserve"> que </w:t>
      </w:r>
      <w:r w:rsidR="0090422B">
        <w:t xml:space="preserve">firmou </w:t>
      </w:r>
      <w:r w:rsidR="009B5867">
        <w:t>que “</w:t>
      </w:r>
      <w:r w:rsidR="009B5867" w:rsidRPr="009B5867">
        <w:rPr>
          <w:i/>
          <w:iCs/>
        </w:rPr>
        <w:t>É possível e adequado conformar os prazos previstos nos arts. 38 e 529, ambos do CPP, de modo que, em se tratando de crimes contra a propriedade imaterial que deixem vestígio, a ciência da autoria do fato delituoso dá ensejo ao início do prazo decadencial de 6 meses, sendo tal prazo reduzido para 30 dias se homologado laudo pericial nesse ínterim</w:t>
      </w:r>
      <w:r w:rsidR="009B5867">
        <w:t>”</w:t>
      </w:r>
      <w:r w:rsidR="00122AE8">
        <w:t xml:space="preserve">. </w:t>
      </w:r>
    </w:p>
    <w:p w14:paraId="44DE27A1" w14:textId="62E1B592" w:rsidR="004A61A0" w:rsidRDefault="004A61A0" w:rsidP="004A61A0">
      <w:pPr>
        <w:pStyle w:val="SemEspaamento"/>
      </w:pPr>
      <w:r>
        <w:t xml:space="preserve">Esse entendimento, vale </w:t>
      </w:r>
      <w:r w:rsidR="00547EAE">
        <w:t>frisar</w:t>
      </w:r>
      <w:r>
        <w:t xml:space="preserve">, coaduna-se com o posicionamento consolidado da Corte da Cidadania, o que é reforçado pelo fato de que, </w:t>
      </w:r>
      <w:r w:rsidRPr="00E00126">
        <w:rPr>
          <w:b/>
          <w:bCs/>
        </w:rPr>
        <w:t>em 20</w:t>
      </w:r>
      <w:r w:rsidRPr="004A61A0">
        <w:rPr>
          <w:b/>
          <w:bCs/>
        </w:rPr>
        <w:t>.4.2023</w:t>
      </w:r>
      <w:r>
        <w:t xml:space="preserve">, o eminente Ministro Jesuíno </w:t>
      </w:r>
      <w:proofErr w:type="spellStart"/>
      <w:r>
        <w:t>Rissato</w:t>
      </w:r>
      <w:proofErr w:type="spellEnd"/>
      <w:r>
        <w:t xml:space="preserve"> </w:t>
      </w:r>
      <w:r w:rsidRPr="009858B6">
        <w:rPr>
          <w:sz w:val="20"/>
          <w:szCs w:val="18"/>
        </w:rPr>
        <w:t>(Desembargador convocado do TJDFT)</w:t>
      </w:r>
      <w:r>
        <w:t>,</w:t>
      </w:r>
      <w:r w:rsidRPr="00036048">
        <w:t xml:space="preserve"> </w:t>
      </w:r>
      <w:r w:rsidRPr="00D4549A">
        <w:rPr>
          <w:b/>
          <w:bCs/>
        </w:rPr>
        <w:t xml:space="preserve">concedeu a ordem em </w:t>
      </w:r>
      <w:r w:rsidRPr="00D4549A">
        <w:rPr>
          <w:b/>
          <w:bCs/>
          <w:i/>
          <w:iCs/>
        </w:rPr>
        <w:t>habeas corpus</w:t>
      </w:r>
      <w:r w:rsidRPr="00D4549A">
        <w:rPr>
          <w:b/>
          <w:bCs/>
        </w:rPr>
        <w:t>, de</w:t>
      </w:r>
      <w:r w:rsidRPr="00E00126">
        <w:rPr>
          <w:b/>
          <w:bCs/>
        </w:rPr>
        <w:t xml:space="preserve"> forma monocrática</w:t>
      </w:r>
      <w:r>
        <w:t xml:space="preserve">, para reconhecer a decadência e trancar ação penal com situação jurídica similar à destes autos </w:t>
      </w:r>
      <w:r w:rsidRPr="00036048">
        <w:rPr>
          <w:sz w:val="20"/>
          <w:szCs w:val="18"/>
        </w:rPr>
        <w:t>(STJ, AgRg no HC n. 801.068/SC, j. em 20.4.2023)</w:t>
      </w:r>
      <w:r>
        <w:t xml:space="preserve">. </w:t>
      </w:r>
    </w:p>
    <w:p w14:paraId="19A3319E" w14:textId="77777777" w:rsidR="004A61A0" w:rsidRDefault="004A61A0" w:rsidP="004A61A0">
      <w:pPr>
        <w:pStyle w:val="SemEspaamento"/>
      </w:pPr>
      <w:r>
        <w:t>Nessa decisão, restou assentado que, de fato, “</w:t>
      </w:r>
      <w:r w:rsidRPr="00E4009A">
        <w:rPr>
          <w:i/>
          <w:iCs/>
        </w:rPr>
        <w:t xml:space="preserve">há que se conformar os prazos previstos nos arts. 38 e 529 do CPP. Vale dizer, a ciência da autoria do fato delituoso dá início ao prazo decadencial de 6 meses, </w:t>
      </w:r>
      <w:r w:rsidRPr="00662B07">
        <w:rPr>
          <w:b/>
          <w:bCs/>
          <w:i/>
          <w:iCs/>
        </w:rPr>
        <w:t xml:space="preserve">sendo tal prazo </w:t>
      </w:r>
      <w:r w:rsidRPr="00662B07">
        <w:rPr>
          <w:b/>
          <w:bCs/>
          <w:i/>
          <w:iCs/>
          <w:u w:val="single"/>
        </w:rPr>
        <w:t>REDUZIDO</w:t>
      </w:r>
      <w:r w:rsidRPr="00662B07">
        <w:rPr>
          <w:b/>
          <w:bCs/>
          <w:i/>
          <w:iCs/>
        </w:rPr>
        <w:t xml:space="preserve"> </w:t>
      </w:r>
      <w:r w:rsidRPr="00662B07">
        <w:rPr>
          <w:b/>
          <w:bCs/>
          <w:i/>
          <w:iCs/>
          <w:u w:val="single"/>
        </w:rPr>
        <w:t>para</w:t>
      </w:r>
      <w:r w:rsidRPr="00662B07">
        <w:rPr>
          <w:b/>
          <w:bCs/>
          <w:i/>
          <w:iCs/>
        </w:rPr>
        <w:t xml:space="preserve"> </w:t>
      </w:r>
      <w:r w:rsidRPr="00662B07">
        <w:rPr>
          <w:b/>
          <w:bCs/>
          <w:i/>
          <w:iCs/>
          <w:u w:val="single"/>
        </w:rPr>
        <w:t>30</w:t>
      </w:r>
      <w:r w:rsidRPr="00662B07">
        <w:rPr>
          <w:b/>
          <w:bCs/>
          <w:i/>
          <w:iCs/>
        </w:rPr>
        <w:t xml:space="preserve"> </w:t>
      </w:r>
      <w:r w:rsidRPr="00662B07">
        <w:rPr>
          <w:b/>
          <w:bCs/>
          <w:i/>
          <w:iCs/>
          <w:u w:val="single"/>
        </w:rPr>
        <w:t>dias</w:t>
      </w:r>
      <w:r w:rsidRPr="00662B07">
        <w:rPr>
          <w:b/>
          <w:bCs/>
          <w:i/>
          <w:iCs/>
        </w:rPr>
        <w:t xml:space="preserve"> </w:t>
      </w:r>
      <w:r w:rsidRPr="00662B07">
        <w:rPr>
          <w:b/>
          <w:bCs/>
          <w:i/>
          <w:iCs/>
          <w:u w:val="single"/>
        </w:rPr>
        <w:t>se</w:t>
      </w:r>
      <w:r w:rsidRPr="00662B07">
        <w:rPr>
          <w:b/>
          <w:bCs/>
          <w:i/>
          <w:iCs/>
        </w:rPr>
        <w:t xml:space="preserve"> </w:t>
      </w:r>
      <w:r w:rsidRPr="00662B07">
        <w:rPr>
          <w:b/>
          <w:bCs/>
          <w:i/>
          <w:iCs/>
          <w:u w:val="single"/>
        </w:rPr>
        <w:t>homologado</w:t>
      </w:r>
      <w:r w:rsidRPr="00662B07">
        <w:rPr>
          <w:b/>
          <w:bCs/>
          <w:i/>
          <w:iCs/>
        </w:rPr>
        <w:t xml:space="preserve"> </w:t>
      </w:r>
      <w:r w:rsidRPr="00662B07">
        <w:rPr>
          <w:b/>
          <w:bCs/>
          <w:i/>
          <w:iCs/>
          <w:u w:val="single"/>
        </w:rPr>
        <w:t>laudo</w:t>
      </w:r>
      <w:r w:rsidRPr="00662B07">
        <w:rPr>
          <w:b/>
          <w:bCs/>
          <w:i/>
          <w:iCs/>
        </w:rPr>
        <w:t xml:space="preserve"> pericial nesse ínterim</w:t>
      </w:r>
      <w:r>
        <w:t>”</w:t>
      </w:r>
      <w:r w:rsidRPr="00E4009A">
        <w:t>.</w:t>
      </w:r>
      <w:r>
        <w:t xml:space="preserve"> Vejamos </w:t>
      </w:r>
      <w:r w:rsidRPr="00EB73C2">
        <w:rPr>
          <w:sz w:val="20"/>
          <w:szCs w:val="18"/>
        </w:rPr>
        <w:t>(</w:t>
      </w:r>
      <w:r>
        <w:rPr>
          <w:sz w:val="20"/>
          <w:szCs w:val="18"/>
        </w:rPr>
        <w:t xml:space="preserve">STJ, </w:t>
      </w:r>
      <w:r w:rsidRPr="00EB73C2">
        <w:rPr>
          <w:sz w:val="20"/>
          <w:szCs w:val="18"/>
        </w:rPr>
        <w:t>AgRg no HC n. 801.068/SC)</w:t>
      </w:r>
      <w:r>
        <w:t>:</w:t>
      </w:r>
    </w:p>
    <w:p w14:paraId="24B343FB" w14:textId="015CFBFE" w:rsidR="004A61A0" w:rsidRPr="00A7234E" w:rsidRDefault="0091604D" w:rsidP="004A61A0">
      <w:pPr>
        <w:pStyle w:val="SemEspaamento"/>
        <w:numPr>
          <w:ilvl w:val="0"/>
          <w:numId w:val="0"/>
        </w:numPr>
        <w:ind w:left="1701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3BF705" wp14:editId="1DB1D933">
                <wp:simplePos x="0" y="0"/>
                <wp:positionH relativeFrom="column">
                  <wp:posOffset>2576077</wp:posOffset>
                </wp:positionH>
                <wp:positionV relativeFrom="paragraph">
                  <wp:posOffset>585470</wp:posOffset>
                </wp:positionV>
                <wp:extent cx="457200" cy="903767"/>
                <wp:effectExtent l="19050" t="0" r="19050" b="29845"/>
                <wp:wrapNone/>
                <wp:docPr id="1830154920" name="Seta: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903767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588C9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2" o:spid="_x0000_s1026" type="#_x0000_t67" style="position:absolute;margin-left:202.85pt;margin-top:46.1pt;width:36pt;height:71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" adj="16136" fillcolor="#deeaf6 [664]" strokecolor="black [3213]" strokeweight="1pt"/>
            </w:pict>
          </mc:Fallback>
        </mc:AlternateContent>
      </w:r>
    </w:p>
    <w:p w14:paraId="0C43B5E6" w14:textId="77777777" w:rsidR="004A61A0" w:rsidRDefault="004A61A0" w:rsidP="004A61A0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0506C7" wp14:editId="00E1F0C4">
                <wp:simplePos x="0" y="0"/>
                <wp:positionH relativeFrom="column">
                  <wp:posOffset>-516048</wp:posOffset>
                </wp:positionH>
                <wp:positionV relativeFrom="paragraph">
                  <wp:posOffset>121285</wp:posOffset>
                </wp:positionV>
                <wp:extent cx="818707" cy="404038"/>
                <wp:effectExtent l="0" t="19050" r="38735" b="34290"/>
                <wp:wrapNone/>
                <wp:docPr id="820004931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404038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D4930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margin-left:-40.65pt;margin-top:9.55pt;width:64.45pt;height:3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" adj="16270" fillcolor="#e00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6DE34F7" wp14:editId="45A2D68D">
            <wp:extent cx="5154725" cy="3561907"/>
            <wp:effectExtent l="0" t="0" r="8255" b="635"/>
            <wp:docPr id="1457339113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22393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179" cy="359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5F77F" w14:textId="77777777" w:rsidR="004A61A0" w:rsidRPr="00E00126" w:rsidRDefault="004A61A0" w:rsidP="004A61A0">
      <w:pPr>
        <w:pStyle w:val="Ttulo2"/>
        <w:rPr>
          <w:sz w:val="18"/>
          <w:szCs w:val="18"/>
        </w:rPr>
      </w:pPr>
    </w:p>
    <w:p w14:paraId="26148CCB" w14:textId="62C274C0" w:rsidR="004A61A0" w:rsidRDefault="004A61A0" w:rsidP="004A61A0">
      <w:pPr>
        <w:pStyle w:val="SemEspaamento"/>
      </w:pPr>
      <w:r>
        <w:t xml:space="preserve">E, </w:t>
      </w:r>
      <w:r w:rsidR="00E00126">
        <w:t xml:space="preserve">como bem registrou o </w:t>
      </w:r>
      <w:r w:rsidR="00396201">
        <w:t xml:space="preserve">Egrégio Tribunal Regional da 4ª Região </w:t>
      </w:r>
      <w:r w:rsidR="00E00126" w:rsidRPr="00A538C5">
        <w:rPr>
          <w:sz w:val="20"/>
          <w:szCs w:val="18"/>
        </w:rPr>
        <w:t>(evento</w:t>
      </w:r>
      <w:r w:rsidR="00396201">
        <w:rPr>
          <w:sz w:val="20"/>
          <w:szCs w:val="18"/>
        </w:rPr>
        <w:t>s</w:t>
      </w:r>
      <w:r w:rsidR="00E00126" w:rsidRPr="00A538C5">
        <w:rPr>
          <w:sz w:val="20"/>
          <w:szCs w:val="18"/>
        </w:rPr>
        <w:t xml:space="preserve"> </w:t>
      </w:r>
      <w:r w:rsidR="00396201">
        <w:rPr>
          <w:sz w:val="20"/>
          <w:szCs w:val="18"/>
        </w:rPr>
        <w:t xml:space="preserve">13 e </w:t>
      </w:r>
      <w:r w:rsidR="00A538C5" w:rsidRPr="00A538C5">
        <w:rPr>
          <w:sz w:val="20"/>
          <w:szCs w:val="18"/>
        </w:rPr>
        <w:t>19)</w:t>
      </w:r>
      <w:r w:rsidR="00A538C5">
        <w:t xml:space="preserve">, </w:t>
      </w:r>
      <w:r>
        <w:t>recentemente</w:t>
      </w:r>
      <w:r w:rsidR="00A538C5">
        <w:t xml:space="preserve"> neste ano</w:t>
      </w:r>
      <w:r>
        <w:t xml:space="preserve">, </w:t>
      </w:r>
      <w:r w:rsidR="00A538C5">
        <w:t xml:space="preserve">mais especificamente </w:t>
      </w:r>
      <w:r w:rsidRPr="00E00126">
        <w:rPr>
          <w:b/>
          <w:bCs/>
        </w:rPr>
        <w:t>em 26.3.2025</w:t>
      </w:r>
      <w:r>
        <w:t xml:space="preserve">, </w:t>
      </w:r>
      <w:r w:rsidR="00A538C5">
        <w:t xml:space="preserve">no julgamento do </w:t>
      </w:r>
      <w:r w:rsidR="00A538C5" w:rsidRPr="00B650A0">
        <w:t>AgRg no AREsp 2</w:t>
      </w:r>
      <w:r w:rsidR="00A538C5">
        <w:t>.</w:t>
      </w:r>
      <w:r w:rsidR="00A538C5" w:rsidRPr="00B650A0">
        <w:t>358</w:t>
      </w:r>
      <w:r w:rsidR="00A538C5">
        <w:t>.</w:t>
      </w:r>
      <w:r w:rsidR="00A538C5" w:rsidRPr="00B650A0">
        <w:t>898/MG</w:t>
      </w:r>
      <w:r w:rsidR="00A538C5">
        <w:t xml:space="preserve"> </w:t>
      </w:r>
      <w:r w:rsidR="00A538C5" w:rsidRPr="00EB1A42">
        <w:rPr>
          <w:sz w:val="20"/>
          <w:szCs w:val="18"/>
        </w:rPr>
        <w:t>(rel. Min. Joel Ilan Paciornik)</w:t>
      </w:r>
      <w:r w:rsidR="00A538C5">
        <w:t xml:space="preserve">, a própria </w:t>
      </w:r>
      <w:r>
        <w:t xml:space="preserve">Corte Superior </w:t>
      </w:r>
      <w:r w:rsidR="00A538C5">
        <w:t>ratificou</w:t>
      </w:r>
      <w:r>
        <w:t xml:space="preserve">, uma vez mais, </w:t>
      </w:r>
      <w:r w:rsidR="00A538C5">
        <w:t>o</w:t>
      </w:r>
      <w:r w:rsidR="00D56A9F">
        <w:t xml:space="preserve"> posicionamento sedimentado e exposto acima, quando reafirmou que </w:t>
      </w:r>
      <w:r w:rsidRPr="00B650A0">
        <w:t>"</w:t>
      </w:r>
      <w:r w:rsidRPr="00B650A0">
        <w:rPr>
          <w:i/>
          <w:iCs/>
        </w:rPr>
        <w:t xml:space="preserve">A ciência da autoria do fato delituoso dá ensejo ao início do prazo decadencial de 6 meses, sendo tal </w:t>
      </w:r>
      <w:r w:rsidRPr="007D18DA">
        <w:rPr>
          <w:b/>
          <w:bCs/>
          <w:i/>
          <w:iCs/>
        </w:rPr>
        <w:t>prazo</w:t>
      </w:r>
      <w:r w:rsidRPr="00B650A0">
        <w:rPr>
          <w:i/>
          <w:iCs/>
        </w:rPr>
        <w:t xml:space="preserve"> </w:t>
      </w:r>
      <w:r w:rsidRPr="0035239D">
        <w:rPr>
          <w:b/>
          <w:bCs/>
          <w:i/>
          <w:iCs/>
        </w:rPr>
        <w:t xml:space="preserve">reduzido para 30 dias </w:t>
      </w:r>
      <w:r w:rsidRPr="007D18DA">
        <w:rPr>
          <w:b/>
          <w:bCs/>
          <w:i/>
          <w:iCs/>
          <w:u w:val="single"/>
        </w:rPr>
        <w:t>se</w:t>
      </w:r>
      <w:r w:rsidRPr="0035239D">
        <w:rPr>
          <w:b/>
          <w:bCs/>
          <w:i/>
          <w:iCs/>
        </w:rPr>
        <w:t xml:space="preserve"> </w:t>
      </w:r>
      <w:r w:rsidRPr="007D18DA">
        <w:rPr>
          <w:b/>
          <w:bCs/>
          <w:i/>
          <w:iCs/>
          <w:u w:val="single"/>
        </w:rPr>
        <w:t>homologado</w:t>
      </w:r>
      <w:r w:rsidRPr="0035239D">
        <w:rPr>
          <w:b/>
          <w:bCs/>
          <w:i/>
          <w:iCs/>
        </w:rPr>
        <w:t xml:space="preserve"> </w:t>
      </w:r>
      <w:r w:rsidRPr="003C0F40">
        <w:rPr>
          <w:b/>
          <w:bCs/>
          <w:i/>
          <w:iCs/>
          <w:u w:val="single"/>
        </w:rPr>
        <w:t>laudo</w:t>
      </w:r>
      <w:r w:rsidRPr="0035239D">
        <w:rPr>
          <w:b/>
          <w:bCs/>
          <w:i/>
          <w:iCs/>
        </w:rPr>
        <w:t xml:space="preserve"> pericial</w:t>
      </w:r>
      <w:r w:rsidRPr="00B650A0">
        <w:rPr>
          <w:i/>
          <w:iCs/>
        </w:rPr>
        <w:t xml:space="preserve"> nesse ínterim. </w:t>
      </w:r>
      <w:r w:rsidRPr="0035239D">
        <w:rPr>
          <w:b/>
          <w:bCs/>
          <w:i/>
          <w:iCs/>
        </w:rPr>
        <w:t>Interpretação dos arts. 38 e 529, ambos do CPP</w:t>
      </w:r>
      <w:r w:rsidRPr="00B650A0">
        <w:t>".</w:t>
      </w:r>
    </w:p>
    <w:p w14:paraId="4A544469" w14:textId="5AA3868F" w:rsidR="00460E88" w:rsidRDefault="00460E88" w:rsidP="004A61A0">
      <w:pPr>
        <w:pStyle w:val="SemEspaamento"/>
      </w:pPr>
      <w:r>
        <w:t>Além disso, o aresto que julgou os aclaratórios opostos pela recorrente foi categórico em firmar o entendimento de que “</w:t>
      </w:r>
      <w:r w:rsidR="003430A7" w:rsidRPr="003430A7">
        <w:rPr>
          <w:i/>
          <w:iCs/>
        </w:rPr>
        <w:t xml:space="preserve">O voto condutor ressaltou que o art. 525 do CPP, </w:t>
      </w:r>
      <w:r w:rsidR="003430A7" w:rsidRPr="00D232EF">
        <w:rPr>
          <w:b/>
          <w:bCs/>
          <w:i/>
          <w:iCs/>
        </w:rPr>
        <w:t xml:space="preserve">ao exigir exame pericial nos crimes que deixam vestígios, </w:t>
      </w:r>
      <w:r w:rsidR="00547EAE" w:rsidRPr="00D232EF">
        <w:rPr>
          <w:b/>
          <w:bCs/>
          <w:i/>
          <w:iCs/>
        </w:rPr>
        <w:t>NÃO</w:t>
      </w:r>
      <w:r w:rsidR="00547EAE" w:rsidRPr="003430A7">
        <w:rPr>
          <w:b/>
          <w:bCs/>
          <w:i/>
          <w:iCs/>
        </w:rPr>
        <w:t xml:space="preserve"> CONDICIONA </w:t>
      </w:r>
      <w:r w:rsidR="003430A7" w:rsidRPr="003430A7">
        <w:rPr>
          <w:b/>
          <w:bCs/>
          <w:i/>
          <w:iCs/>
        </w:rPr>
        <w:t>a queixa-crime à prévia homologação judicial do laudo</w:t>
      </w:r>
      <w:r w:rsidR="003430A7" w:rsidRPr="003430A7">
        <w:rPr>
          <w:i/>
          <w:iCs/>
        </w:rPr>
        <w:t xml:space="preserve">. </w:t>
      </w:r>
      <w:r w:rsidR="003430A7" w:rsidRPr="00D3561A">
        <w:rPr>
          <w:b/>
          <w:bCs/>
          <w:i/>
          <w:iCs/>
        </w:rPr>
        <w:t>Nada obsta que o querelante apresente laudo técnico particular dentro do prazo decadencial</w:t>
      </w:r>
      <w:r w:rsidR="003430A7" w:rsidRPr="003430A7">
        <w:rPr>
          <w:i/>
          <w:iCs/>
        </w:rPr>
        <w:t xml:space="preserve">. </w:t>
      </w:r>
      <w:r w:rsidR="003430A7" w:rsidRPr="00D3561A">
        <w:rPr>
          <w:b/>
          <w:bCs/>
          <w:i/>
          <w:iCs/>
        </w:rPr>
        <w:t>A opção de aguardar procedimento judicial cautelar não pode suspender ou reabrir a contagem do prazo</w:t>
      </w:r>
      <w:r w:rsidR="003430A7" w:rsidRPr="003430A7">
        <w:rPr>
          <w:i/>
          <w:iCs/>
        </w:rPr>
        <w:t>, sob pena de premiar a inércia da parte</w:t>
      </w:r>
      <w:r w:rsidR="003430A7">
        <w:t>”</w:t>
      </w:r>
      <w:r w:rsidR="00D3561A">
        <w:t xml:space="preserve"> </w:t>
      </w:r>
      <w:r w:rsidR="00D3561A" w:rsidRPr="00D3561A">
        <w:rPr>
          <w:sz w:val="20"/>
          <w:szCs w:val="18"/>
        </w:rPr>
        <w:t>(evento 44, RELVOTO1</w:t>
      </w:r>
      <w:r w:rsidR="00DE32A9">
        <w:rPr>
          <w:sz w:val="20"/>
          <w:szCs w:val="18"/>
        </w:rPr>
        <w:t xml:space="preserve"> – 2º grau</w:t>
      </w:r>
      <w:r w:rsidR="00D3561A" w:rsidRPr="00D3561A">
        <w:rPr>
          <w:sz w:val="20"/>
          <w:szCs w:val="18"/>
        </w:rPr>
        <w:t>)</w:t>
      </w:r>
      <w:r w:rsidR="003430A7">
        <w:t>.</w:t>
      </w:r>
    </w:p>
    <w:p w14:paraId="619A5E34" w14:textId="77777777" w:rsidR="009052F1" w:rsidRDefault="009052F1" w:rsidP="009052F1">
      <w:pPr>
        <w:pStyle w:val="SemEspaamento"/>
      </w:pPr>
      <w:r>
        <w:t>E, como se sabe, a Súmula n. 83/STJ estabelece que “</w:t>
      </w:r>
      <w:r w:rsidRPr="00FE593A">
        <w:rPr>
          <w:i/>
          <w:iCs/>
        </w:rPr>
        <w:t>Não se conhece do recurso especial pela divergência, quando a orientação do Tribunal se firmou no mesmo sentido da decisão recorrida</w:t>
      </w:r>
      <w:r>
        <w:t>”, o que impede o conhecimento e provimento do reclamo</w:t>
      </w:r>
      <w:r w:rsidRPr="00FE593A">
        <w:t>.</w:t>
      </w:r>
    </w:p>
    <w:p w14:paraId="6FE24E3B" w14:textId="5C99B2F4" w:rsidR="0048575C" w:rsidRDefault="003F15D7" w:rsidP="004A61A0">
      <w:pPr>
        <w:pStyle w:val="SemEspaamento"/>
      </w:pPr>
      <w:r>
        <w:t>É inviável acolher</w:t>
      </w:r>
      <w:r w:rsidR="004A61A0" w:rsidRPr="00335A81">
        <w:t xml:space="preserve">, portanto, a </w:t>
      </w:r>
      <w:r>
        <w:t>argumentação</w:t>
      </w:r>
      <w:r w:rsidR="004A61A0" w:rsidRPr="00335A81">
        <w:t xml:space="preserve"> d</w:t>
      </w:r>
      <w:r w:rsidR="004A61A0">
        <w:t>a</w:t>
      </w:r>
      <w:r w:rsidR="004A61A0" w:rsidRPr="00335A81">
        <w:t xml:space="preserve"> </w:t>
      </w:r>
      <w:r w:rsidR="00D56A9F">
        <w:t xml:space="preserve">recorrente, </w:t>
      </w:r>
      <w:r w:rsidR="004A61A0" w:rsidRPr="00335A81">
        <w:t xml:space="preserve">de que </w:t>
      </w:r>
      <w:r w:rsidR="00D56A9F">
        <w:t xml:space="preserve">os arestos recorridos teriam conferido interpretação divergente </w:t>
      </w:r>
      <w:r w:rsidR="00383E5E">
        <w:t xml:space="preserve">à </w:t>
      </w:r>
      <w:r>
        <w:t>aplicável</w:t>
      </w:r>
      <w:r w:rsidR="00383E5E">
        <w:t xml:space="preserve"> ao caso, na medida em que a conclusão final do Tribunal Local é exatamente a mesma que </w:t>
      </w:r>
      <w:r w:rsidR="00AD2523">
        <w:t xml:space="preserve">foi </w:t>
      </w:r>
      <w:r w:rsidR="0048575C">
        <w:t>assentada pelo Superior Tribunal de Justiça.</w:t>
      </w:r>
    </w:p>
    <w:p w14:paraId="5EDA6869" w14:textId="77777777" w:rsidR="00C603AC" w:rsidRPr="001F5BAA" w:rsidRDefault="00C603AC" w:rsidP="00D6248B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1383373E" w14:textId="7F977AD0" w:rsidR="00BF3F84" w:rsidRDefault="00BF3F84" w:rsidP="00BF3F84">
      <w:pPr>
        <w:pStyle w:val="Ttulo"/>
      </w:pPr>
      <w:r>
        <w:t>III –</w:t>
      </w:r>
      <w:r w:rsidR="00A33100">
        <w:t xml:space="preserve"> DESPROVIMENTO DO RECLAMO, ANTE </w:t>
      </w:r>
      <w:r>
        <w:t>A IMPOSSIBILIDADE DE UTILIZAÇÃO DO SUPERIOR TRIBUNAL DE JUSTIÇA COMO TERCEIRA INSTÂNCIA REVISORA</w:t>
      </w:r>
    </w:p>
    <w:p w14:paraId="0C3A21B6" w14:textId="2715667F" w:rsidR="00D64AAC" w:rsidRPr="006109AA" w:rsidRDefault="00D64AAC" w:rsidP="003C3D54">
      <w:pPr>
        <w:pStyle w:val="SemEspaamento"/>
        <w:numPr>
          <w:ilvl w:val="0"/>
          <w:numId w:val="0"/>
        </w:numPr>
        <w:rPr>
          <w:sz w:val="16"/>
          <w:szCs w:val="14"/>
        </w:rPr>
      </w:pPr>
    </w:p>
    <w:p w14:paraId="568A2916" w14:textId="0BE3F362" w:rsidR="003C3D54" w:rsidRDefault="003C3D54" w:rsidP="003C3D54">
      <w:pPr>
        <w:pStyle w:val="SemEspaamento"/>
      </w:pPr>
      <w:r>
        <w:t xml:space="preserve">Excelência, como se extrai das razões recursais e dos próprios arestos recorridos, em especial </w:t>
      </w:r>
      <w:r w:rsidR="000F213B">
        <w:t xml:space="preserve">pelo conteúdo do voto-vista </w:t>
      </w:r>
      <w:r w:rsidR="000F213B" w:rsidRPr="000F213B">
        <w:rPr>
          <w:sz w:val="20"/>
          <w:szCs w:val="18"/>
        </w:rPr>
        <w:t>(evento 19)</w:t>
      </w:r>
      <w:r w:rsidR="000F213B">
        <w:t>, a insurgência da recorrente</w:t>
      </w:r>
      <w:r w:rsidR="00334B78" w:rsidRPr="00334B78">
        <w:t xml:space="preserve"> </w:t>
      </w:r>
      <w:r w:rsidR="00334B78">
        <w:t>caracteriza indisfarçável tentativa de rediscussão da matéria já decidida e devidamente apreciada pelo Tribunal Local, sobretudo porque tenta, a todo custo, que seja aplicado isoladamente o art. 529 do CPP no caso vertente</w:t>
      </w:r>
      <w:r w:rsidR="00C13B50">
        <w:t>.</w:t>
      </w:r>
    </w:p>
    <w:p w14:paraId="0E575E15" w14:textId="104B3522" w:rsidR="003F15D7" w:rsidRDefault="003F15D7" w:rsidP="003F15D7">
      <w:pPr>
        <w:pStyle w:val="SemEspaamento"/>
      </w:pPr>
      <w:r>
        <w:t>E, como se sabe, “</w:t>
      </w:r>
      <w:r w:rsidRPr="00074477">
        <w:rPr>
          <w:i/>
          <w:iCs/>
        </w:rPr>
        <w:t>Não é função do STJ rejulgar a causa. Esta Corte não pode ser transmudada em terceira instância revisora, como se o recurso especial fosse uma apelação da apelação</w:t>
      </w:r>
      <w:r>
        <w:t xml:space="preserve">” </w:t>
      </w:r>
      <w:r w:rsidRPr="008B40A6">
        <w:rPr>
          <w:sz w:val="20"/>
          <w:szCs w:val="18"/>
        </w:rPr>
        <w:t xml:space="preserve">(STJ, AgInt no REsp n. 1.821.923/PR, rel. Min. Marco Aurélio </w:t>
      </w:r>
      <w:proofErr w:type="spellStart"/>
      <w:r w:rsidRPr="008B40A6">
        <w:rPr>
          <w:sz w:val="20"/>
          <w:szCs w:val="18"/>
        </w:rPr>
        <w:t>Belizze</w:t>
      </w:r>
      <w:proofErr w:type="spellEnd"/>
      <w:r w:rsidRPr="008B40A6">
        <w:rPr>
          <w:sz w:val="20"/>
          <w:szCs w:val="18"/>
        </w:rPr>
        <w:t>, 3ª Turma, j. em 14.2.2022)</w:t>
      </w:r>
      <w:r>
        <w:t>.</w:t>
      </w:r>
    </w:p>
    <w:p w14:paraId="48C101CD" w14:textId="77777777" w:rsidR="003F15D7" w:rsidRDefault="003F15D7" w:rsidP="003F15D7">
      <w:pPr>
        <w:pStyle w:val="SemEspaamento"/>
      </w:pPr>
      <w:r>
        <w:t>Sobre o assunto, aliás, a Colenda Corte da Cidadania também possui o firme entendimento de que “</w:t>
      </w:r>
      <w:r w:rsidRPr="003F0DAD">
        <w:rPr>
          <w:i/>
          <w:iCs/>
        </w:rPr>
        <w:t xml:space="preserve">O recurso especial é recurso excepcional, de fundamentação vinculada, com forma e conteúdo próprios, que se destina a atribuir a adequada interpretação e uniformização da lei federal, e não ao rejulgamento da causa porque </w:t>
      </w:r>
      <w:r w:rsidRPr="00EC7FBB">
        <w:rPr>
          <w:b/>
          <w:bCs/>
          <w:i/>
          <w:iCs/>
        </w:rPr>
        <w:t xml:space="preserve">o sistema jurídico pátrio </w:t>
      </w:r>
      <w:r w:rsidRPr="00EC7FBB">
        <w:rPr>
          <w:b/>
          <w:bCs/>
          <w:i/>
          <w:iCs/>
          <w:u w:val="single"/>
        </w:rPr>
        <w:t>não</w:t>
      </w:r>
      <w:r w:rsidRPr="00EC7FBB">
        <w:rPr>
          <w:b/>
          <w:bCs/>
          <w:i/>
          <w:iCs/>
        </w:rPr>
        <w:t xml:space="preserve"> </w:t>
      </w:r>
      <w:r w:rsidRPr="00EC7FBB">
        <w:rPr>
          <w:b/>
          <w:bCs/>
          <w:i/>
          <w:iCs/>
          <w:u w:val="single"/>
        </w:rPr>
        <w:t>acomoda</w:t>
      </w:r>
      <w:r w:rsidRPr="00EC7FBB">
        <w:rPr>
          <w:b/>
          <w:bCs/>
          <w:i/>
          <w:iCs/>
        </w:rPr>
        <w:t xml:space="preserve"> </w:t>
      </w:r>
      <w:r w:rsidRPr="00EC7FBB">
        <w:rPr>
          <w:b/>
          <w:bCs/>
          <w:i/>
          <w:iCs/>
          <w:u w:val="single"/>
        </w:rPr>
        <w:t>triplo</w:t>
      </w:r>
      <w:r w:rsidRPr="00EC7FBB">
        <w:rPr>
          <w:b/>
          <w:bCs/>
          <w:i/>
          <w:iCs/>
        </w:rPr>
        <w:t xml:space="preserve"> </w:t>
      </w:r>
      <w:r w:rsidRPr="00EC7FBB">
        <w:rPr>
          <w:b/>
          <w:bCs/>
          <w:i/>
          <w:iCs/>
          <w:u w:val="single"/>
        </w:rPr>
        <w:t>grau</w:t>
      </w:r>
      <w:r w:rsidRPr="00EC7FBB">
        <w:rPr>
          <w:b/>
          <w:bCs/>
          <w:i/>
          <w:iCs/>
        </w:rPr>
        <w:t xml:space="preserve"> </w:t>
      </w:r>
      <w:r w:rsidRPr="00EC7FBB">
        <w:rPr>
          <w:b/>
          <w:bCs/>
          <w:i/>
          <w:iCs/>
          <w:u w:val="single"/>
        </w:rPr>
        <w:t>de</w:t>
      </w:r>
      <w:r w:rsidRPr="00EC7FBB">
        <w:rPr>
          <w:b/>
          <w:bCs/>
          <w:i/>
          <w:iCs/>
        </w:rPr>
        <w:t xml:space="preserve"> </w:t>
      </w:r>
      <w:r w:rsidRPr="00EC7FBB">
        <w:rPr>
          <w:b/>
          <w:bCs/>
          <w:i/>
          <w:iCs/>
          <w:u w:val="single"/>
        </w:rPr>
        <w:t>jurisdição</w:t>
      </w:r>
      <w:r w:rsidRPr="003F0DAD">
        <w:t>"</w:t>
      </w:r>
      <w:r>
        <w:t xml:space="preserve"> </w:t>
      </w:r>
      <w:r w:rsidRPr="003F0DAD">
        <w:rPr>
          <w:sz w:val="20"/>
          <w:szCs w:val="18"/>
        </w:rPr>
        <w:t xml:space="preserve">(STJ, AgRg no REsp </w:t>
      </w:r>
      <w:r>
        <w:rPr>
          <w:sz w:val="20"/>
          <w:szCs w:val="18"/>
        </w:rPr>
        <w:t xml:space="preserve">n. </w:t>
      </w:r>
      <w:r w:rsidRPr="003F0DAD">
        <w:rPr>
          <w:sz w:val="20"/>
          <w:szCs w:val="18"/>
        </w:rPr>
        <w:t>1.716.998/RN, Rel. Min</w:t>
      </w:r>
      <w:r>
        <w:rPr>
          <w:sz w:val="20"/>
          <w:szCs w:val="18"/>
        </w:rPr>
        <w:t>a.</w:t>
      </w:r>
      <w:r w:rsidRPr="003F0DAD">
        <w:rPr>
          <w:sz w:val="20"/>
          <w:szCs w:val="18"/>
        </w:rPr>
        <w:t xml:space="preserve"> Maria Thereza </w:t>
      </w:r>
      <w:r>
        <w:rPr>
          <w:sz w:val="20"/>
          <w:szCs w:val="18"/>
        </w:rPr>
        <w:t>d</w:t>
      </w:r>
      <w:r w:rsidRPr="003F0DAD">
        <w:rPr>
          <w:sz w:val="20"/>
          <w:szCs w:val="18"/>
        </w:rPr>
        <w:t xml:space="preserve">e Assis Moura, </w:t>
      </w:r>
      <w:r>
        <w:rPr>
          <w:sz w:val="20"/>
          <w:szCs w:val="18"/>
        </w:rPr>
        <w:t xml:space="preserve">6ª </w:t>
      </w:r>
      <w:r w:rsidRPr="003F0DAD">
        <w:rPr>
          <w:sz w:val="20"/>
          <w:szCs w:val="18"/>
        </w:rPr>
        <w:t xml:space="preserve">Turma, </w:t>
      </w:r>
      <w:proofErr w:type="spellStart"/>
      <w:r w:rsidRPr="003F0DAD">
        <w:rPr>
          <w:sz w:val="20"/>
          <w:szCs w:val="18"/>
        </w:rPr>
        <w:t>DJe</w:t>
      </w:r>
      <w:proofErr w:type="spellEnd"/>
      <w:r w:rsidRPr="003F0DAD">
        <w:rPr>
          <w:sz w:val="20"/>
          <w:szCs w:val="18"/>
        </w:rPr>
        <w:t xml:space="preserve"> 16</w:t>
      </w:r>
      <w:r>
        <w:rPr>
          <w:sz w:val="20"/>
          <w:szCs w:val="18"/>
        </w:rPr>
        <w:t>.</w:t>
      </w:r>
      <w:r w:rsidRPr="003F0DAD">
        <w:rPr>
          <w:sz w:val="20"/>
          <w:szCs w:val="18"/>
        </w:rPr>
        <w:t>5</w:t>
      </w:r>
      <w:r>
        <w:rPr>
          <w:sz w:val="20"/>
          <w:szCs w:val="18"/>
        </w:rPr>
        <w:t>.</w:t>
      </w:r>
      <w:r w:rsidRPr="003F0DAD">
        <w:rPr>
          <w:sz w:val="20"/>
          <w:szCs w:val="18"/>
        </w:rPr>
        <w:t>2018)</w:t>
      </w:r>
      <w:r>
        <w:t>.</w:t>
      </w:r>
    </w:p>
    <w:p w14:paraId="4D5B4E78" w14:textId="7C960229" w:rsidR="00C13B50" w:rsidRPr="00FA7F0B" w:rsidRDefault="00EC7FBB" w:rsidP="003C3D54">
      <w:pPr>
        <w:pStyle w:val="SemEspaamento"/>
      </w:pPr>
      <w:r>
        <w:t xml:space="preserve">Portanto, </w:t>
      </w:r>
      <w:r w:rsidR="00EC2BD1">
        <w:t xml:space="preserve">além de </w:t>
      </w:r>
      <w:r w:rsidR="00BB4E6B">
        <w:t xml:space="preserve">a argumentação da recorrente ter sido devidamente considerada e refutada pelos </w:t>
      </w:r>
      <w:r w:rsidR="00460E88">
        <w:t>arestos recorridos</w:t>
      </w:r>
      <w:r w:rsidR="00BB4E6B">
        <w:t xml:space="preserve">, cuja conclusão </w:t>
      </w:r>
      <w:r w:rsidR="00460E88">
        <w:t xml:space="preserve">se coaduna com o </w:t>
      </w:r>
      <w:r w:rsidR="00872B3A">
        <w:t>posicionamento consolidado</w:t>
      </w:r>
      <w:r w:rsidR="000A2B7C">
        <w:t xml:space="preserve"> e atual</w:t>
      </w:r>
      <w:r w:rsidR="00872B3A">
        <w:t xml:space="preserve"> do STJ, </w:t>
      </w:r>
      <w:r w:rsidR="000A2B7C">
        <w:t xml:space="preserve">mostra-se </w:t>
      </w:r>
      <w:r w:rsidR="00BB4E6B">
        <w:t xml:space="preserve">inviável </w:t>
      </w:r>
      <w:r w:rsidR="00872B3A">
        <w:t xml:space="preserve">a tentativa da recorrente de se utilizar da Corte Superior como forma de </w:t>
      </w:r>
      <w:r w:rsidR="00BB4E6B">
        <w:t xml:space="preserve">nova instância revisora, </w:t>
      </w:r>
      <w:r w:rsidR="00F12A53">
        <w:t xml:space="preserve">uma vez que se está diante de mero inconformismo da parte com o pronunciamento que lhe foi desfavorável, </w:t>
      </w:r>
      <w:r w:rsidR="00BB4E6B">
        <w:t xml:space="preserve">razão pela qual o presente reclamo </w:t>
      </w:r>
      <w:r w:rsidR="000A2B7C">
        <w:t>deve ser desprovido.</w:t>
      </w:r>
    </w:p>
    <w:p w14:paraId="60F63BBE" w14:textId="77777777" w:rsidR="00D64AAC" w:rsidRDefault="00D64AAC" w:rsidP="001A0205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5C431D25" w14:textId="77777777" w:rsidR="00D61526" w:rsidRPr="001F5BAA" w:rsidRDefault="00D61526" w:rsidP="001A0205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27691DE9" w14:textId="6D147C96" w:rsidR="000A2B7C" w:rsidRDefault="000A2B7C" w:rsidP="000A2B7C">
      <w:pPr>
        <w:pStyle w:val="Ttulo"/>
      </w:pPr>
      <w:r>
        <w:t>IV – DA INSUBSISTÊNCIA DAS CONTRARRAZÔES DO ÓRGÃO MINISTERIAL</w:t>
      </w:r>
    </w:p>
    <w:p w14:paraId="0891EE90" w14:textId="77777777" w:rsidR="00D64AAC" w:rsidRPr="001F5BAA" w:rsidRDefault="00D64AAC" w:rsidP="000A2B7C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D688336" w14:textId="37CDF22C" w:rsidR="000A2B7C" w:rsidRDefault="000A2B7C" w:rsidP="000A2B7C">
      <w:pPr>
        <w:pStyle w:val="SemEspaamento"/>
      </w:pPr>
      <w:r>
        <w:t xml:space="preserve">Por fim, Excelência, </w:t>
      </w:r>
      <w:r w:rsidR="002F365D">
        <w:t>é preciso registrar que, ao ofertar as contrarrazões ao recurso especial</w:t>
      </w:r>
      <w:r w:rsidR="00FE3802">
        <w:t xml:space="preserve"> </w:t>
      </w:r>
      <w:r w:rsidR="00FE3802" w:rsidRPr="00FE3802">
        <w:rPr>
          <w:sz w:val="20"/>
          <w:szCs w:val="18"/>
        </w:rPr>
        <w:t>(evento 57)</w:t>
      </w:r>
      <w:r w:rsidR="00995342">
        <w:t xml:space="preserve">, o ente Ministerial acaba </w:t>
      </w:r>
      <w:r w:rsidR="00D675E7">
        <w:t xml:space="preserve">por se manifestar de forma atípica, pois simplesmente desconsidera o posicionamento atual firmado pelo </w:t>
      </w:r>
      <w:r w:rsidR="007B285C">
        <w:t xml:space="preserve">Egrégio </w:t>
      </w:r>
      <w:r w:rsidR="00D675E7">
        <w:t>Superior Tribunal de Justiça,</w:t>
      </w:r>
      <w:r w:rsidR="007B285C">
        <w:t xml:space="preserve"> sem dizer, de forma clara, que </w:t>
      </w:r>
      <w:proofErr w:type="spellStart"/>
      <w:r w:rsidR="007B285C">
        <w:t>está</w:t>
      </w:r>
      <w:proofErr w:type="spellEnd"/>
      <w:r w:rsidR="007B285C">
        <w:t xml:space="preserve"> se posicionando de forma contrária a</w:t>
      </w:r>
      <w:r w:rsidR="00FE3802">
        <w:t>o entendimento consolidado, e adota uma linha de argumentação sem apresentar</w:t>
      </w:r>
      <w:r w:rsidR="007B285C">
        <w:t xml:space="preserve"> </w:t>
      </w:r>
      <w:r w:rsidR="00FE3802">
        <w:t>qualquer respaldo jurídico para a conclusão que defende.</w:t>
      </w:r>
    </w:p>
    <w:p w14:paraId="20AB1764" w14:textId="56D6E3F8" w:rsidR="00FE3802" w:rsidRDefault="00FE3802" w:rsidP="000A2B7C">
      <w:pPr>
        <w:pStyle w:val="SemEspaamento"/>
      </w:pPr>
      <w:r>
        <w:t xml:space="preserve">E, não só isso, </w:t>
      </w:r>
      <w:r w:rsidR="001C402A">
        <w:t xml:space="preserve">ignorando a </w:t>
      </w:r>
      <w:proofErr w:type="spellStart"/>
      <w:r w:rsidR="001C402A">
        <w:rPr>
          <w:i/>
          <w:iCs/>
        </w:rPr>
        <w:t>ratio</w:t>
      </w:r>
      <w:proofErr w:type="spellEnd"/>
      <w:r w:rsidR="001C402A">
        <w:rPr>
          <w:i/>
          <w:iCs/>
        </w:rPr>
        <w:t xml:space="preserve"> </w:t>
      </w:r>
      <w:proofErr w:type="spellStart"/>
      <w:r w:rsidR="001C402A">
        <w:rPr>
          <w:i/>
          <w:iCs/>
        </w:rPr>
        <w:t>decidendi</w:t>
      </w:r>
      <w:proofErr w:type="spellEnd"/>
      <w:r w:rsidR="001C402A">
        <w:t xml:space="preserve"> do aresto que julgou os aclaratórios </w:t>
      </w:r>
      <w:r w:rsidR="001C402A" w:rsidRPr="003D50C0">
        <w:rPr>
          <w:sz w:val="20"/>
          <w:szCs w:val="18"/>
        </w:rPr>
        <w:t xml:space="preserve">(evento </w:t>
      </w:r>
      <w:r w:rsidR="003D50C0" w:rsidRPr="003D50C0">
        <w:rPr>
          <w:sz w:val="20"/>
          <w:szCs w:val="18"/>
        </w:rPr>
        <w:t>44</w:t>
      </w:r>
      <w:r w:rsidR="001C402A" w:rsidRPr="003D50C0">
        <w:rPr>
          <w:sz w:val="20"/>
          <w:szCs w:val="18"/>
        </w:rPr>
        <w:t>)</w:t>
      </w:r>
      <w:r w:rsidR="001C402A">
        <w:t xml:space="preserve"> e a argumentação exposta pelo ora recorrido ao longo deste recurso, </w:t>
      </w:r>
      <w:r w:rsidR="003D50C0">
        <w:t xml:space="preserve">na mesma petição o Ministério Público Federal </w:t>
      </w:r>
      <w:r>
        <w:t xml:space="preserve">também </w:t>
      </w:r>
      <w:r w:rsidR="001C402A">
        <w:t>alega que, “</w:t>
      </w:r>
      <w:r w:rsidR="001C402A" w:rsidRPr="001C402A">
        <w:rPr>
          <w:i/>
          <w:iCs/>
        </w:rPr>
        <w:t>nos crimes que envolvem violações à propriedade imaterial, o exame pericial do corpo de delito e sua homologação judicial constituem requisitos indispensáveis para o recebimento da queixa</w:t>
      </w:r>
      <w:r w:rsidR="001C402A">
        <w:t xml:space="preserve">”, sem, no entanto, apontar qual fundamento legal que </w:t>
      </w:r>
      <w:r w:rsidR="003D50C0">
        <w:t xml:space="preserve">impõe a indispensabilidade de exame pericial por meio de cautelar preparatória e sem indicar qual base legal para se exigir, também, a homologação judicial </w:t>
      </w:r>
      <w:r w:rsidR="00B34890">
        <w:t xml:space="preserve">do exame </w:t>
      </w:r>
      <w:r w:rsidR="003D50C0">
        <w:t>como requisito indispensável</w:t>
      </w:r>
      <w:r w:rsidR="00B34890">
        <w:t xml:space="preserve"> para a propositura da queixa-crime</w:t>
      </w:r>
      <w:r w:rsidR="003D50C0">
        <w:t>.</w:t>
      </w:r>
    </w:p>
    <w:p w14:paraId="6EE896D4" w14:textId="307863B7" w:rsidR="00B34890" w:rsidRDefault="00B34890" w:rsidP="00B34890">
      <w:pPr>
        <w:pStyle w:val="SemEspaamento"/>
      </w:pPr>
      <w:r>
        <w:t>Ora, já se viu que o art. 525 do CPP exige apenas o “</w:t>
      </w:r>
      <w:r w:rsidRPr="00D6248B">
        <w:rPr>
          <w:b/>
          <w:bCs/>
          <w:i/>
          <w:iCs/>
        </w:rPr>
        <w:t>exame pericial</w:t>
      </w:r>
      <w:r w:rsidRPr="00D6248B">
        <w:rPr>
          <w:i/>
          <w:iCs/>
        </w:rPr>
        <w:t xml:space="preserve"> dos objetos que constituam o corpo de delito</w:t>
      </w:r>
      <w:r>
        <w:t xml:space="preserve">”, </w:t>
      </w:r>
      <w:r w:rsidRPr="00D6248B">
        <w:rPr>
          <w:b/>
          <w:bCs/>
        </w:rPr>
        <w:t>o que não se confunde com a necessidade de ajuizamento de cautelar preparatória ou homologação judicial da perícia, perante o Poder Judiciário</w:t>
      </w:r>
      <w:r>
        <w:t>, para o recebimento da queixa-crime,</w:t>
      </w:r>
      <w:r w:rsidR="00212773">
        <w:t xml:space="preserve"> que são requisitos imaginários e não previstos em qualquer dispositivo legal</w:t>
      </w:r>
      <w:r>
        <w:t xml:space="preserve">. </w:t>
      </w:r>
    </w:p>
    <w:p w14:paraId="7AEDD908" w14:textId="4ED81DB3" w:rsidR="00C2018B" w:rsidRDefault="00C2018B" w:rsidP="00C2018B">
      <w:pPr>
        <w:pStyle w:val="SemEspaamento"/>
      </w:pPr>
      <w:r>
        <w:t>Excelência, o fato é que, se for feita interpretação diversa da</w:t>
      </w:r>
      <w:r w:rsidR="00F63B74">
        <w:t xml:space="preserve"> decidida pelo ilustre Tribunal Local</w:t>
      </w:r>
      <w:r>
        <w:t xml:space="preserve">, como insiste a </w:t>
      </w:r>
      <w:r w:rsidR="00F63B74">
        <w:t>recorrente e o Ministério Público Federal</w:t>
      </w:r>
      <w:r>
        <w:t xml:space="preserve">, estar-se-ia autorizando a </w:t>
      </w:r>
      <w:r w:rsidRPr="009D7839">
        <w:rPr>
          <w:u w:val="single"/>
        </w:rPr>
        <w:t>inércia</w:t>
      </w:r>
      <w:r>
        <w:t xml:space="preserve"> </w:t>
      </w:r>
      <w:r w:rsidRPr="009D7839">
        <w:rPr>
          <w:u w:val="single"/>
        </w:rPr>
        <w:t>do</w:t>
      </w:r>
      <w:r>
        <w:t xml:space="preserve"> </w:t>
      </w:r>
      <w:r w:rsidRPr="009D7839">
        <w:rPr>
          <w:u w:val="single"/>
        </w:rPr>
        <w:t>querelante</w:t>
      </w:r>
      <w:r>
        <w:t xml:space="preserve"> e, mais, chegaria ao contrassenso de </w:t>
      </w:r>
      <w:r w:rsidRPr="008C1F0E">
        <w:rPr>
          <w:u w:val="single"/>
        </w:rPr>
        <w:t>lhe</w:t>
      </w:r>
      <w:r>
        <w:t xml:space="preserve"> </w:t>
      </w:r>
      <w:r w:rsidRPr="008C1F0E">
        <w:rPr>
          <w:u w:val="single"/>
        </w:rPr>
        <w:t>conferir</w:t>
      </w:r>
      <w:r>
        <w:t xml:space="preserve"> a </w:t>
      </w:r>
      <w:r w:rsidRPr="008C1F0E">
        <w:rPr>
          <w:u w:val="single"/>
        </w:rPr>
        <w:t>escolha</w:t>
      </w:r>
      <w:r>
        <w:t xml:space="preserve"> </w:t>
      </w:r>
      <w:r w:rsidRPr="008C1F0E">
        <w:rPr>
          <w:u w:val="single"/>
        </w:rPr>
        <w:t>do</w:t>
      </w:r>
      <w:r>
        <w:t xml:space="preserve"> </w:t>
      </w:r>
      <w:r w:rsidRPr="008C1F0E">
        <w:rPr>
          <w:u w:val="single"/>
        </w:rPr>
        <w:t>início</w:t>
      </w:r>
      <w:r>
        <w:t xml:space="preserve"> </w:t>
      </w:r>
      <w:r w:rsidRPr="008C1F0E">
        <w:rPr>
          <w:u w:val="single"/>
        </w:rPr>
        <w:t>do</w:t>
      </w:r>
      <w:r>
        <w:t xml:space="preserve"> </w:t>
      </w:r>
      <w:r w:rsidRPr="008C1F0E">
        <w:rPr>
          <w:u w:val="single"/>
        </w:rPr>
        <w:t>prazo</w:t>
      </w:r>
      <w:r>
        <w:t xml:space="preserve"> </w:t>
      </w:r>
      <w:r w:rsidRPr="008C1F0E">
        <w:rPr>
          <w:u w:val="single"/>
        </w:rPr>
        <w:t>decadencial</w:t>
      </w:r>
      <w:r>
        <w:t xml:space="preserve"> </w:t>
      </w:r>
      <w:r w:rsidRPr="00CF7DE4">
        <w:rPr>
          <w:u w:val="single"/>
        </w:rPr>
        <w:t>para</w:t>
      </w:r>
      <w:r>
        <w:t xml:space="preserve"> a </w:t>
      </w:r>
      <w:r w:rsidRPr="00CF7DE4">
        <w:rPr>
          <w:u w:val="single"/>
        </w:rPr>
        <w:t>propositura</w:t>
      </w:r>
      <w:r>
        <w:t xml:space="preserve"> da </w:t>
      </w:r>
      <w:r w:rsidRPr="00CF7DE4">
        <w:rPr>
          <w:u w:val="single"/>
        </w:rPr>
        <w:t>queixa</w:t>
      </w:r>
      <w:r>
        <w:t>-</w:t>
      </w:r>
      <w:r w:rsidRPr="00CF7DE4">
        <w:rPr>
          <w:u w:val="single"/>
        </w:rPr>
        <w:t>crime</w:t>
      </w:r>
      <w:r>
        <w:t>, o que não pode ser admitido, sob pena de se deturpar o instituto jurídico da decadência.</w:t>
      </w:r>
    </w:p>
    <w:p w14:paraId="3E4422EC" w14:textId="7F3D6AB6" w:rsidR="002E4DCF" w:rsidRDefault="008F1D3C" w:rsidP="00410443">
      <w:pPr>
        <w:pStyle w:val="SemEspaamento"/>
      </w:pPr>
      <w:r>
        <w:t xml:space="preserve">Assim sendo, não há como prevalecer o posicionamento exposto pelo Ministério Público Federal nas contrarrazões mencionadas, </w:t>
      </w:r>
      <w:r w:rsidR="005B7227">
        <w:t>que não deve ser acolhido, sobretudo diante da falta de fundamentação jurídica em relação à conclusão adotada.</w:t>
      </w:r>
    </w:p>
    <w:p w14:paraId="6BD1998D" w14:textId="77777777" w:rsidR="00F73F72" w:rsidRPr="00BA32DD" w:rsidRDefault="00F73F72" w:rsidP="002E4DCF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33B6F713" w14:textId="01840F0D" w:rsidR="002E4DCF" w:rsidRDefault="002E4DCF" w:rsidP="00242BEE">
      <w:pPr>
        <w:pStyle w:val="Ttulo"/>
      </w:pPr>
      <w:r>
        <w:t xml:space="preserve">III </w:t>
      </w:r>
      <w:r w:rsidR="00CE63F1">
        <w:t>–</w:t>
      </w:r>
      <w:r>
        <w:t xml:space="preserve"> REQUERIMENTOS</w:t>
      </w:r>
    </w:p>
    <w:p w14:paraId="399442FE" w14:textId="77777777" w:rsidR="002E4DCF" w:rsidRPr="00BA32DD" w:rsidRDefault="002E4DCF" w:rsidP="002E4DCF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46795F3A" w14:textId="52361894" w:rsidR="002E6D0A" w:rsidRDefault="002E4DCF" w:rsidP="002E4DCF">
      <w:pPr>
        <w:pStyle w:val="SemEspaamento"/>
      </w:pPr>
      <w:r>
        <w:t xml:space="preserve">Ante o exposto, </w:t>
      </w:r>
      <w:r w:rsidR="00BA32DD">
        <w:t xml:space="preserve">o recorrido requer o não conhecimento do recurso especial interposto, diante da incidência da Súmula n. 83/STJ ao caso, assim como, subsidiariamente, que seja desprovido o reclamo, pois </w:t>
      </w:r>
      <w:r w:rsidR="00B248F3">
        <w:t>o posicionamento adotado pelo Egrégio Tribunal Regional Federal da 4ª Região é o mesmo d</w:t>
      </w:r>
      <w:r w:rsidR="00EC0327">
        <w:t>o consolidado pelo Colendo Superior Tribunal de Justiça</w:t>
      </w:r>
      <w:r w:rsidR="002E6D0A">
        <w:t>.</w:t>
      </w:r>
    </w:p>
    <w:p w14:paraId="012FE293" w14:textId="77777777" w:rsidR="002E6D0A" w:rsidRPr="00295933" w:rsidRDefault="002E6D0A" w:rsidP="00295933">
      <w:pPr>
        <w:pStyle w:val="Ttulo2"/>
        <w:rPr>
          <w:rFonts w:eastAsia="Calibri"/>
        </w:rPr>
      </w:pPr>
    </w:p>
    <w:p w14:paraId="0EC7CFF0" w14:textId="30369674" w:rsidR="00295933" w:rsidRDefault="00295933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1D27DA8E" w14:textId="1391777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A2558">
        <w:rPr>
          <w:rFonts w:ascii="Arial" w:eastAsia="Calibri" w:hAnsi="Arial" w:cs="Times New Roman"/>
          <w:noProof/>
          <w:sz w:val="24"/>
          <w:szCs w:val="24"/>
        </w:rPr>
        <w:t>18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CF8366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94CE05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4672C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AADC668" w14:textId="77777777" w:rsidR="000169F1" w:rsidRPr="00994699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994699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07A171A1" w14:textId="77777777" w:rsidR="000169F1" w:rsidRPr="00994699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994699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sectPr w:rsidR="000169F1" w:rsidRPr="00994699" w:rsidSect="005C5CD1">
      <w:headerReference w:type="default" r:id="rId9"/>
      <w:footerReference w:type="default" r:id="rId10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1D0A5" w14:textId="77777777" w:rsidR="009C5604" w:rsidRDefault="009C5604" w:rsidP="00943258">
      <w:pPr>
        <w:spacing w:after="0" w:line="240" w:lineRule="auto"/>
      </w:pPr>
      <w:r>
        <w:separator/>
      </w:r>
    </w:p>
  </w:endnote>
  <w:endnote w:type="continuationSeparator" w:id="0">
    <w:p w14:paraId="5E3E8CD2" w14:textId="77777777" w:rsidR="009C5604" w:rsidRDefault="009C560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472BB99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7D703E1" wp14:editId="6EBCA4A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103464759" name="Imagem 110346475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093BC1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4C58A" w14:textId="77777777" w:rsidR="009C5604" w:rsidRDefault="009C5604" w:rsidP="00943258">
      <w:pPr>
        <w:spacing w:after="0" w:line="240" w:lineRule="auto"/>
      </w:pPr>
      <w:r>
        <w:separator/>
      </w:r>
    </w:p>
  </w:footnote>
  <w:footnote w:type="continuationSeparator" w:id="0">
    <w:p w14:paraId="1A19A438" w14:textId="77777777" w:rsidR="009C5604" w:rsidRDefault="009C560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9BB0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53FFB1F" wp14:editId="7291A0E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82435247" name="Imagem 178243524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AC8117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852147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FE7C8B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E8C6855A"/>
    <w:lvl w:ilvl="0" w:tplc="47365DEE">
      <w:start w:val="1"/>
      <w:numFmt w:val="decimal"/>
      <w:pStyle w:val="SemEspaamento"/>
      <w:lvlText w:val="%1."/>
      <w:lvlJc w:val="left"/>
      <w:pPr>
        <w:ind w:left="1778" w:hanging="360"/>
      </w:pPr>
      <w:rPr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712341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FD"/>
    <w:rsid w:val="00003DFD"/>
    <w:rsid w:val="00003F31"/>
    <w:rsid w:val="00013C80"/>
    <w:rsid w:val="000169F1"/>
    <w:rsid w:val="000327E6"/>
    <w:rsid w:val="00034911"/>
    <w:rsid w:val="0004103F"/>
    <w:rsid w:val="0004298B"/>
    <w:rsid w:val="00046CD4"/>
    <w:rsid w:val="000554DA"/>
    <w:rsid w:val="00076495"/>
    <w:rsid w:val="000802F2"/>
    <w:rsid w:val="00081FF3"/>
    <w:rsid w:val="00097661"/>
    <w:rsid w:val="000A2B7C"/>
    <w:rsid w:val="000A60D0"/>
    <w:rsid w:val="000B1DCF"/>
    <w:rsid w:val="000B44FE"/>
    <w:rsid w:val="000B7116"/>
    <w:rsid w:val="000D228C"/>
    <w:rsid w:val="000D590A"/>
    <w:rsid w:val="000E665C"/>
    <w:rsid w:val="000F0AFD"/>
    <w:rsid w:val="000F213B"/>
    <w:rsid w:val="000F5880"/>
    <w:rsid w:val="000F7278"/>
    <w:rsid w:val="00122AE8"/>
    <w:rsid w:val="00131BEB"/>
    <w:rsid w:val="00136293"/>
    <w:rsid w:val="00153F2C"/>
    <w:rsid w:val="001560D7"/>
    <w:rsid w:val="001603FA"/>
    <w:rsid w:val="001647C5"/>
    <w:rsid w:val="001667B0"/>
    <w:rsid w:val="001761C0"/>
    <w:rsid w:val="00180D83"/>
    <w:rsid w:val="00183BE2"/>
    <w:rsid w:val="001A2E1A"/>
    <w:rsid w:val="001B1B31"/>
    <w:rsid w:val="001B2B98"/>
    <w:rsid w:val="001B2E75"/>
    <w:rsid w:val="001C402A"/>
    <w:rsid w:val="001C71A7"/>
    <w:rsid w:val="001D28B7"/>
    <w:rsid w:val="001F10E2"/>
    <w:rsid w:val="001F5BAA"/>
    <w:rsid w:val="00201F45"/>
    <w:rsid w:val="002072B4"/>
    <w:rsid w:val="00207BE4"/>
    <w:rsid w:val="00212773"/>
    <w:rsid w:val="00214E09"/>
    <w:rsid w:val="0021528E"/>
    <w:rsid w:val="00224D73"/>
    <w:rsid w:val="00234CAB"/>
    <w:rsid w:val="00242BEE"/>
    <w:rsid w:val="0027298B"/>
    <w:rsid w:val="00272BFB"/>
    <w:rsid w:val="0027757B"/>
    <w:rsid w:val="00287E14"/>
    <w:rsid w:val="00291F6C"/>
    <w:rsid w:val="00295933"/>
    <w:rsid w:val="002A20FD"/>
    <w:rsid w:val="002A6218"/>
    <w:rsid w:val="002B3001"/>
    <w:rsid w:val="002B637C"/>
    <w:rsid w:val="002B6AEF"/>
    <w:rsid w:val="002C3668"/>
    <w:rsid w:val="002E4DCF"/>
    <w:rsid w:val="002E4FFB"/>
    <w:rsid w:val="002E6D0A"/>
    <w:rsid w:val="002F365D"/>
    <w:rsid w:val="002F5527"/>
    <w:rsid w:val="003072B2"/>
    <w:rsid w:val="00316D52"/>
    <w:rsid w:val="00334B78"/>
    <w:rsid w:val="0033564F"/>
    <w:rsid w:val="00335A81"/>
    <w:rsid w:val="0033616F"/>
    <w:rsid w:val="003430A7"/>
    <w:rsid w:val="00346E18"/>
    <w:rsid w:val="0035228B"/>
    <w:rsid w:val="0035239D"/>
    <w:rsid w:val="00374F5A"/>
    <w:rsid w:val="00377A2E"/>
    <w:rsid w:val="003801CD"/>
    <w:rsid w:val="00383E5E"/>
    <w:rsid w:val="00396201"/>
    <w:rsid w:val="003C0F40"/>
    <w:rsid w:val="003C17E5"/>
    <w:rsid w:val="003C3D54"/>
    <w:rsid w:val="003D50C0"/>
    <w:rsid w:val="003E3DD0"/>
    <w:rsid w:val="003E46B9"/>
    <w:rsid w:val="003E665A"/>
    <w:rsid w:val="003E758D"/>
    <w:rsid w:val="003F15D7"/>
    <w:rsid w:val="003F66B2"/>
    <w:rsid w:val="00410443"/>
    <w:rsid w:val="00422913"/>
    <w:rsid w:val="00441AED"/>
    <w:rsid w:val="00446CC5"/>
    <w:rsid w:val="00460E88"/>
    <w:rsid w:val="00466CCE"/>
    <w:rsid w:val="0047070D"/>
    <w:rsid w:val="00471DA6"/>
    <w:rsid w:val="00475280"/>
    <w:rsid w:val="0048575C"/>
    <w:rsid w:val="0049094D"/>
    <w:rsid w:val="00492542"/>
    <w:rsid w:val="00493C24"/>
    <w:rsid w:val="004949AD"/>
    <w:rsid w:val="004A3547"/>
    <w:rsid w:val="004A61A0"/>
    <w:rsid w:val="004A72CE"/>
    <w:rsid w:val="004C08BA"/>
    <w:rsid w:val="004E1096"/>
    <w:rsid w:val="004F2B78"/>
    <w:rsid w:val="004F384D"/>
    <w:rsid w:val="00501A18"/>
    <w:rsid w:val="005232B1"/>
    <w:rsid w:val="00526422"/>
    <w:rsid w:val="005321DA"/>
    <w:rsid w:val="005429C9"/>
    <w:rsid w:val="005435D1"/>
    <w:rsid w:val="00547EAE"/>
    <w:rsid w:val="00551471"/>
    <w:rsid w:val="0055313E"/>
    <w:rsid w:val="005562B8"/>
    <w:rsid w:val="005738A1"/>
    <w:rsid w:val="005866B6"/>
    <w:rsid w:val="005A22BE"/>
    <w:rsid w:val="005B67EA"/>
    <w:rsid w:val="005B7227"/>
    <w:rsid w:val="005C5CD1"/>
    <w:rsid w:val="005D7D30"/>
    <w:rsid w:val="005E58E2"/>
    <w:rsid w:val="005F5ACF"/>
    <w:rsid w:val="005F77CB"/>
    <w:rsid w:val="006062D7"/>
    <w:rsid w:val="006109AA"/>
    <w:rsid w:val="00631F5D"/>
    <w:rsid w:val="00640B1C"/>
    <w:rsid w:val="00673228"/>
    <w:rsid w:val="006733D0"/>
    <w:rsid w:val="00676910"/>
    <w:rsid w:val="00690302"/>
    <w:rsid w:val="0069259E"/>
    <w:rsid w:val="00693F8B"/>
    <w:rsid w:val="00696295"/>
    <w:rsid w:val="006A5F5B"/>
    <w:rsid w:val="006C0DFC"/>
    <w:rsid w:val="006C7E8E"/>
    <w:rsid w:val="006E1D1A"/>
    <w:rsid w:val="00700D46"/>
    <w:rsid w:val="007038FA"/>
    <w:rsid w:val="00707337"/>
    <w:rsid w:val="00722DF5"/>
    <w:rsid w:val="0074457B"/>
    <w:rsid w:val="0075265B"/>
    <w:rsid w:val="007631FE"/>
    <w:rsid w:val="0077302E"/>
    <w:rsid w:val="00781217"/>
    <w:rsid w:val="00795616"/>
    <w:rsid w:val="00796E19"/>
    <w:rsid w:val="00797900"/>
    <w:rsid w:val="007B0640"/>
    <w:rsid w:val="007B2406"/>
    <w:rsid w:val="007B285C"/>
    <w:rsid w:val="007B7C9A"/>
    <w:rsid w:val="007C36DB"/>
    <w:rsid w:val="007C4260"/>
    <w:rsid w:val="007D05CD"/>
    <w:rsid w:val="007D18DA"/>
    <w:rsid w:val="007D30FD"/>
    <w:rsid w:val="007D4B89"/>
    <w:rsid w:val="00810D34"/>
    <w:rsid w:val="00812F7A"/>
    <w:rsid w:val="00825217"/>
    <w:rsid w:val="008258EC"/>
    <w:rsid w:val="00827844"/>
    <w:rsid w:val="00831A92"/>
    <w:rsid w:val="008340E6"/>
    <w:rsid w:val="00864EAF"/>
    <w:rsid w:val="00872B3A"/>
    <w:rsid w:val="008A0012"/>
    <w:rsid w:val="008A1563"/>
    <w:rsid w:val="008A7A7D"/>
    <w:rsid w:val="008C4C26"/>
    <w:rsid w:val="008E31FF"/>
    <w:rsid w:val="008E377D"/>
    <w:rsid w:val="008F1D3C"/>
    <w:rsid w:val="008F2218"/>
    <w:rsid w:val="008F53CE"/>
    <w:rsid w:val="008F7B29"/>
    <w:rsid w:val="0090226D"/>
    <w:rsid w:val="0090422B"/>
    <w:rsid w:val="009052F1"/>
    <w:rsid w:val="0091604D"/>
    <w:rsid w:val="0092091E"/>
    <w:rsid w:val="00924163"/>
    <w:rsid w:val="00925EC2"/>
    <w:rsid w:val="00940359"/>
    <w:rsid w:val="00943258"/>
    <w:rsid w:val="00960658"/>
    <w:rsid w:val="00961632"/>
    <w:rsid w:val="00994699"/>
    <w:rsid w:val="00995342"/>
    <w:rsid w:val="009A18D0"/>
    <w:rsid w:val="009A5988"/>
    <w:rsid w:val="009B507B"/>
    <w:rsid w:val="009B5867"/>
    <w:rsid w:val="009C14D3"/>
    <w:rsid w:val="009C2D69"/>
    <w:rsid w:val="009C5604"/>
    <w:rsid w:val="009D6B51"/>
    <w:rsid w:val="009D7575"/>
    <w:rsid w:val="009D7839"/>
    <w:rsid w:val="009E31DB"/>
    <w:rsid w:val="009E5C9D"/>
    <w:rsid w:val="009F0FE4"/>
    <w:rsid w:val="009F61DC"/>
    <w:rsid w:val="009F6978"/>
    <w:rsid w:val="00A049FC"/>
    <w:rsid w:val="00A15B21"/>
    <w:rsid w:val="00A224A1"/>
    <w:rsid w:val="00A33100"/>
    <w:rsid w:val="00A3388C"/>
    <w:rsid w:val="00A4184F"/>
    <w:rsid w:val="00A42C2B"/>
    <w:rsid w:val="00A538C5"/>
    <w:rsid w:val="00A57004"/>
    <w:rsid w:val="00A65A14"/>
    <w:rsid w:val="00AA2F37"/>
    <w:rsid w:val="00AD2523"/>
    <w:rsid w:val="00AD6063"/>
    <w:rsid w:val="00AE54A6"/>
    <w:rsid w:val="00B01E5F"/>
    <w:rsid w:val="00B07047"/>
    <w:rsid w:val="00B14A81"/>
    <w:rsid w:val="00B248F3"/>
    <w:rsid w:val="00B34359"/>
    <w:rsid w:val="00B34890"/>
    <w:rsid w:val="00B444FD"/>
    <w:rsid w:val="00B6363E"/>
    <w:rsid w:val="00B6451F"/>
    <w:rsid w:val="00B650A0"/>
    <w:rsid w:val="00B66A77"/>
    <w:rsid w:val="00B832F0"/>
    <w:rsid w:val="00B833A5"/>
    <w:rsid w:val="00B841FA"/>
    <w:rsid w:val="00B84B89"/>
    <w:rsid w:val="00BA2544"/>
    <w:rsid w:val="00BA32DD"/>
    <w:rsid w:val="00BA6658"/>
    <w:rsid w:val="00BB0E77"/>
    <w:rsid w:val="00BB25A1"/>
    <w:rsid w:val="00BB4E6B"/>
    <w:rsid w:val="00BB617A"/>
    <w:rsid w:val="00BC2C67"/>
    <w:rsid w:val="00BF3F84"/>
    <w:rsid w:val="00BF5E90"/>
    <w:rsid w:val="00C03B4C"/>
    <w:rsid w:val="00C0456B"/>
    <w:rsid w:val="00C13B50"/>
    <w:rsid w:val="00C2018B"/>
    <w:rsid w:val="00C23375"/>
    <w:rsid w:val="00C278B6"/>
    <w:rsid w:val="00C414B5"/>
    <w:rsid w:val="00C44105"/>
    <w:rsid w:val="00C45BD2"/>
    <w:rsid w:val="00C603AC"/>
    <w:rsid w:val="00C60814"/>
    <w:rsid w:val="00C67112"/>
    <w:rsid w:val="00C676C6"/>
    <w:rsid w:val="00C826A3"/>
    <w:rsid w:val="00CA2558"/>
    <w:rsid w:val="00CB5D98"/>
    <w:rsid w:val="00CB5FC5"/>
    <w:rsid w:val="00CC0544"/>
    <w:rsid w:val="00CE248A"/>
    <w:rsid w:val="00CE63F1"/>
    <w:rsid w:val="00CF7DE4"/>
    <w:rsid w:val="00D07459"/>
    <w:rsid w:val="00D232EF"/>
    <w:rsid w:val="00D23842"/>
    <w:rsid w:val="00D24A8B"/>
    <w:rsid w:val="00D32740"/>
    <w:rsid w:val="00D3561A"/>
    <w:rsid w:val="00D4549A"/>
    <w:rsid w:val="00D465A0"/>
    <w:rsid w:val="00D50AFA"/>
    <w:rsid w:val="00D537BA"/>
    <w:rsid w:val="00D56A9F"/>
    <w:rsid w:val="00D61526"/>
    <w:rsid w:val="00D6248B"/>
    <w:rsid w:val="00D64AAC"/>
    <w:rsid w:val="00D675E7"/>
    <w:rsid w:val="00D75D03"/>
    <w:rsid w:val="00D95691"/>
    <w:rsid w:val="00DA6625"/>
    <w:rsid w:val="00DA6B70"/>
    <w:rsid w:val="00DA78B7"/>
    <w:rsid w:val="00DB0B83"/>
    <w:rsid w:val="00DB7EF4"/>
    <w:rsid w:val="00DC7E4C"/>
    <w:rsid w:val="00DD0681"/>
    <w:rsid w:val="00DD0825"/>
    <w:rsid w:val="00DD0EC7"/>
    <w:rsid w:val="00DD6005"/>
    <w:rsid w:val="00DE0162"/>
    <w:rsid w:val="00DE0552"/>
    <w:rsid w:val="00DE138D"/>
    <w:rsid w:val="00DE32A9"/>
    <w:rsid w:val="00DE6D60"/>
    <w:rsid w:val="00DF5478"/>
    <w:rsid w:val="00DF5584"/>
    <w:rsid w:val="00DF5F14"/>
    <w:rsid w:val="00E00126"/>
    <w:rsid w:val="00E05790"/>
    <w:rsid w:val="00E333F6"/>
    <w:rsid w:val="00E55C9B"/>
    <w:rsid w:val="00E619AA"/>
    <w:rsid w:val="00E763D7"/>
    <w:rsid w:val="00E90F3C"/>
    <w:rsid w:val="00E968BB"/>
    <w:rsid w:val="00EB1A42"/>
    <w:rsid w:val="00EB4346"/>
    <w:rsid w:val="00EC0327"/>
    <w:rsid w:val="00EC1123"/>
    <w:rsid w:val="00EC29FE"/>
    <w:rsid w:val="00EC2BD1"/>
    <w:rsid w:val="00EC702F"/>
    <w:rsid w:val="00EC7FBB"/>
    <w:rsid w:val="00ED4FB5"/>
    <w:rsid w:val="00EE0E02"/>
    <w:rsid w:val="00EE3903"/>
    <w:rsid w:val="00F01180"/>
    <w:rsid w:val="00F028B7"/>
    <w:rsid w:val="00F11B2C"/>
    <w:rsid w:val="00F12A53"/>
    <w:rsid w:val="00F16111"/>
    <w:rsid w:val="00F22B73"/>
    <w:rsid w:val="00F44200"/>
    <w:rsid w:val="00F53FF5"/>
    <w:rsid w:val="00F63B74"/>
    <w:rsid w:val="00F73F72"/>
    <w:rsid w:val="00FA081D"/>
    <w:rsid w:val="00FA31C3"/>
    <w:rsid w:val="00FA7F0B"/>
    <w:rsid w:val="00FB3A3F"/>
    <w:rsid w:val="00FC4DCC"/>
    <w:rsid w:val="00FC63CA"/>
    <w:rsid w:val="00FE2064"/>
    <w:rsid w:val="00FE3802"/>
    <w:rsid w:val="00FE593A"/>
    <w:rsid w:val="00FF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19BB1"/>
  <w15:chartTrackingRefBased/>
  <w15:docId w15:val="{F7D3D1C7-1890-4BE3-B2BF-0E8A81F1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42BEE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42BEE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2E6D0A"/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B1DC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B1DC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B1DC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6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34</TotalTime>
  <Pages>7</Pages>
  <Words>1914</Words>
  <Characters>10375</Characters>
  <Application>Microsoft Office Word</Application>
  <DocSecurity>0</DocSecurity>
  <Lines>201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</vt:lpstr>
    </vt:vector>
  </TitlesOfParts>
  <Company/>
  <LinksUpToDate>false</LinksUpToDate>
  <CharactersWithSpaces>12268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17</cp:revision>
  <cp:lastPrinted>2022-07-18T22:35:00Z</cp:lastPrinted>
  <dcterms:created xsi:type="dcterms:W3CDTF">2025-11-17T21:09:00Z</dcterms:created>
  <dcterms:modified xsi:type="dcterms:W3CDTF">2025-11-18T12:10:00Z</dcterms:modified>
</cp:coreProperties>
</file>