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8"/>
        </w:rPr>
        <w:t>RECURSO ESPECIAL</w:t>
      </w:r>
    </w:p>
    <w:p/>
    <w:p>
      <w:pPr>
        <w:spacing w:before="120" w:after="120"/>
        <w:jc w:val="center"/>
      </w:pPr>
      <w:r>
        <w:rPr>
          <w:rFonts w:ascii="Arial" w:hAnsi="Arial"/>
          <w:b/>
          <w:i w:val="0"/>
          <w:sz w:val="24"/>
        </w:rPr>
        <w:t>EXCELENTÍSSIMO(A) SENHOR(A) DESEMBARGADOR(A) PRESIDENTE DO TRIBUNAL DE JUSTIÇA DO ESTADO DE SANTA CATARINA</w:t>
      </w:r>
    </w:p>
    <w:p>
      <w:pPr>
        <w:spacing w:before="0" w:after="120" w:line="360" w:lineRule="exact"/>
        <w:jc w:val="both"/>
      </w:pPr>
      <w:r>
        <w:rPr>
          <w:rFonts w:ascii="Arial" w:hAnsi="Arial"/>
          <w:b w:val="0"/>
          <w:i w:val="0"/>
          <w:sz w:val="24"/>
        </w:rPr>
        <w:t>Autos n. 5000933-70.2023.8.24.0022</w:t>
      </w:r>
    </w:p>
    <w:p>
      <w:pPr>
        <w:spacing w:before="0" w:after="120" w:line="360" w:lineRule="exact"/>
        <w:jc w:val="both"/>
      </w:pPr>
      <w:r>
        <w:rPr>
          <w:rFonts w:ascii="Arial" w:hAnsi="Arial"/>
          <w:b w:val="0"/>
          <w:i w:val="0"/>
          <w:sz w:val="24"/>
        </w:rPr>
        <w:t>MÁRCIO KLAUS MORAIS, brasileiro, portador do CPF n. 008.293.139-90, já qualificado nos autos da ação penal n. 5000933-70.2023.8.24.0022, em que é recorrido o MINISTÉRIO PÚBLICO DO ESTADO DE SANTA CATARINA, vem, respeitosamente, à elevada presença de Vossa Excelência, por seu advogado abaixo signatário, interpor RECURSO ESPECIAL, com fundamento no art. 105, inciso III, alíneas "a" e "c", da Constituição Federal, em face do acórdão proferido pela 3ª Câmara Criminal deste Tribunal (evento 22), mantido após a rejeição dos embargos de declaração (evento 46), pelas razões de fato e de direito a seguir expostas.</w:t>
      </w:r>
    </w:p>
    <w:p>
      <w:pPr>
        <w:spacing w:before="0" w:after="120" w:line="360" w:lineRule="exact"/>
        <w:jc w:val="both"/>
      </w:pPr>
      <w:r>
        <w:rPr>
          <w:rFonts w:ascii="Arial" w:hAnsi="Arial"/>
          <w:b w:val="0"/>
          <w:i w:val="0"/>
          <w:sz w:val="24"/>
        </w:rPr>
        <w:t>Requer, desde já, o recebimento e processamento do presente recurso, com a consequente remessa dos autos ao Superior Tribunal de Justiça, nos termos do art. 1.029, §1º, do CPC, aplicado subsidiariamente.</w:t>
      </w:r>
    </w:p>
    <w:p>
      <w:pPr>
        <w:spacing w:before="240" w:after="120"/>
        <w:jc w:val="left"/>
      </w:pPr>
      <w:r>
        <w:rPr>
          <w:rFonts w:ascii="Arial" w:hAnsi="Arial"/>
          <w:b/>
          <w:i w:val="0"/>
          <w:sz w:val="24"/>
        </w:rPr>
        <w:t>I – SÍNTESE DO ACÓRDÃO RECORRIDO</w:t>
      </w:r>
    </w:p>
    <w:p>
      <w:pPr>
        <w:spacing w:before="0" w:after="120" w:line="360" w:lineRule="exact"/>
        <w:jc w:val="both"/>
      </w:pPr>
      <w:r>
        <w:rPr>
          <w:rFonts w:ascii="Arial" w:hAnsi="Arial"/>
          <w:b w:val="0"/>
          <w:i w:val="0"/>
          <w:sz w:val="24"/>
        </w:rPr>
        <w:t>O ora recorrente foi condenado pela suposta prática dos crimes de porte ilegal de arma de fogo com numeração suprimida (art. 16, §1º, IV, da Lei n. 10.826/03), desobediência por duas vezes (art. 330 do Código Penal) e direção perigosa (art. 311 do CTB), tendo-lhe sido imposta pena de [PENA TOTAL], em regime semiaberto, por conta de reincidência e maus antecedentes.</w:t>
      </w:r>
    </w:p>
    <w:p>
      <w:pPr>
        <w:spacing w:before="0" w:after="120" w:line="360" w:lineRule="exact"/>
        <w:jc w:val="both"/>
      </w:pPr>
      <w:r>
        <w:rPr>
          <w:rFonts w:ascii="Arial" w:hAnsi="Arial"/>
          <w:b w:val="0"/>
          <w:i w:val="0"/>
          <w:sz w:val="24"/>
        </w:rPr>
        <w:t>Interposta apelação criminal, a 3ª Câmara Criminal deste Tribunal, por votação unânime, conheceu parcialmente do recurso, afastou as preliminares e negou-lhe provimento (evento 22). Em síntese, o acórdão recorrido sustentou que a autoria do crime de porte ilegal de arma de fogo estaria demonstrada pelos "depoimentos firmes e coerentes" dos policiais militares, que relataram a fuga do recorrente após ordem de parada, "a indicação de populares sobre o descarte da arma e a localização do armamento no ponto indicado", além de confissão extrajudicial, "admitindo portar a arma por alegadas ameaças" (evento 22, p. 5). Quanto aos crimes de desobediência e de direção perigosa, o decisum utilizou os mesmos depoimentos policiais como prova suficiente e harmônica (evento 22, p. 5/6). No mesmo sentido, o acórdão registrou que "a prova em relação a todos os delitos é suficiente, harmônica e coerente, e foi corroborada por elementos materiais e confissão extrajudicial do apelante, ainda que tenha sido parcial e retratada em juízo", concluindo que não haveria "dúvida razoável a justificar absolvição" (evento 22, p. 6). Ademais, para fundamentar a autoria, o aresto embargado utilizou como razões de decidir extensos trechos da sentença apelada, sem contraposição específica às teses defensivas sobre a ausência de prova direta quanto ao porte.</w:t>
      </w:r>
    </w:p>
    <w:p>
      <w:pPr>
        <w:spacing w:before="0" w:after="120" w:line="360" w:lineRule="exact"/>
        <w:jc w:val="both"/>
      </w:pPr>
      <w:r>
        <w:rPr>
          <w:rFonts w:ascii="Arial" w:hAnsi="Arial"/>
          <w:b w:val="0"/>
          <w:i w:val="0"/>
          <w:sz w:val="24"/>
        </w:rPr>
        <w:t>Opostos embargos de declaração (evento 29), nos quais o recorrente apontou a omissão do acórdão quanto ao enfrentamento das teses relativas à ausência de provas de autoria no crime de porte de arma — destacando que nenhuma testemunha viu o réu portando ou descartando a arma, que os policiais não encontraram armamento com o recorrente e que a decisão se baseou exclusivamente em relatos indiretos de "populares" e em confissão extrajudicial retratada em juízo —, o acórdão dos embargos (evento 46) rejeitou os aclaratórios, ao fundamento de que os argumentos revelariam "mero inconformismo" e que os embargos declaratórios "não constituem meio hábil" à rediscussão da matéria. Quanto à substância das teses, o acórdão dos embargos limitou-se a consignar que "do corpo do acórdão é possível extrair fundamentos suficientes para afastar os argumentos levantados pela defesa" e que "o julgador não está obrigado a analisar todos os argumentos expendidos pelas partes quando motiva seu decisum de modo a afastar, por consequência, aquelas alegações" (evento 46).</w:t>
      </w:r>
    </w:p>
    <w:p>
      <w:pPr>
        <w:spacing w:before="0" w:after="120" w:line="360" w:lineRule="exact"/>
        <w:jc w:val="both"/>
      </w:pPr>
      <w:r>
        <w:rPr>
          <w:rFonts w:ascii="Arial" w:hAnsi="Arial"/>
          <w:b w:val="0"/>
          <w:i w:val="0"/>
          <w:sz w:val="24"/>
        </w:rPr>
        <w:t>Como se demonstrará a seguir, nenhum desses fundamentos resiste ao confronto com os elementos dos autos.</w:t>
      </w:r>
    </w:p>
    <w:p>
      <w:pPr>
        <w:spacing w:before="240" w:after="120"/>
        <w:jc w:val="left"/>
      </w:pPr>
      <w:r>
        <w:rPr>
          <w:rFonts w:ascii="Arial" w:hAnsi="Arial"/>
          <w:b/>
          <w:i w:val="0"/>
          <w:sz w:val="24"/>
        </w:rPr>
        <w:t>II – DA ADMISSIBILIDADE</w:t>
      </w:r>
    </w:p>
    <w:p>
      <w:pPr>
        <w:spacing w:before="0" w:after="120" w:line="360" w:lineRule="exact"/>
        <w:jc w:val="both"/>
      </w:pPr>
      <w:r>
        <w:rPr>
          <w:rFonts w:ascii="Arial" w:hAnsi="Arial"/>
          <w:b w:val="0"/>
          <w:i w:val="0"/>
          <w:sz w:val="24"/>
        </w:rPr>
        <w:t>O presente recurso é cabível com fundamento no art. 105, inciso III, alíneas "a" e "c", da Constituição Federal, porquanto o acórdão recorrido, ao manter a condenação do recorrente pelo crime de porte ilegal de arma de fogo com numeração suprimida, violou os arts. 155 e 197 do Código de Processo Penal, além de divergir da jurisprudência consolidada do Superior Tribunal de Justiça sobre a matéria.</w:t>
      </w:r>
    </w:p>
    <w:p>
      <w:pPr>
        <w:spacing w:before="0" w:after="120" w:line="360" w:lineRule="exact"/>
        <w:jc w:val="both"/>
      </w:pPr>
      <w:r>
        <w:rPr>
          <w:rFonts w:ascii="Arial" w:hAnsi="Arial"/>
          <w:b w:val="0"/>
          <w:i w:val="0"/>
          <w:sz w:val="24"/>
        </w:rPr>
        <w:t>As questões federais ora suscitadas foram devidamente prequestionadas. Nos embargos de declaração (evento 29), o recorrente debateu expressamente a violação aos arts. 155 e 197 do CPP, apontando que a condenação se fundou exclusivamente em prova inquisitorial — relato indireto de "populares" jamais ouvidos em juízo e confissão extrajudicial retratada — e invocou, com transcrição literal, os precedentes do Superior Tribunal de Justiça que vedam essa prática (AREsp n. 2.978.909/PE e REsp n. 2.046.636/MG). O acórdão dos embargos (evento 46) apreciou e rejeitou essas teses, configurando o prequestionamento exigido pela Súmula n. 211/STJ, na sua vertente ficta (art. 1.025 do CPC).</w:t>
      </w:r>
    </w:p>
    <w:p>
      <w:pPr>
        <w:spacing w:before="240" w:after="120"/>
        <w:jc w:val="left"/>
      </w:pPr>
      <w:r>
        <w:rPr>
          <w:rFonts w:ascii="Arial" w:hAnsi="Arial"/>
          <w:b/>
          <w:i w:val="0"/>
          <w:sz w:val="24"/>
        </w:rPr>
        <w:t>III – VIOLAÇÃO AO ART. 155 DO CPP — CONDENAÇÃO FUNDADA EM PROVA EXCLUSIVAMENTE INQUISITORIAL</w:t>
      </w:r>
    </w:p>
    <w:p>
      <w:pPr>
        <w:spacing w:before="0" w:after="120" w:line="360" w:lineRule="exact"/>
        <w:jc w:val="both"/>
      </w:pPr>
      <w:r>
        <w:rPr>
          <w:rFonts w:ascii="Arial" w:hAnsi="Arial"/>
          <w:b w:val="0"/>
          <w:i w:val="0"/>
          <w:sz w:val="24"/>
        </w:rPr>
        <w:t>Pois bem. O art. 155 do Código de Processo Penal é categórico ao estabelecer que "o juiz formará sua convicção pela livre apreciação da prova produzida em contraditório judicial, não podendo fundamentar sua decisão exclusivamente nos elementos informativos colhidos na investigação, ressalvadas as provas cautelares, não repetíveis e antecipadas". A norma, como se sabe, é corolário direto do sistema acusatório e do princípio do contraditório (art. 5º, LV, da CF/88), e veda, de forma peremptória, que elementos informativos do inquérito — produzidos sem a participação da defesa — sirvam como fundamento exclusivo ou preponderante de condenação criminal.</w:t>
      </w:r>
    </w:p>
    <w:p>
      <w:pPr>
        <w:spacing w:before="0" w:after="120" w:line="360" w:lineRule="exact"/>
        <w:jc w:val="both"/>
      </w:pPr>
      <w:r>
        <w:rPr>
          <w:rFonts w:ascii="Arial" w:hAnsi="Arial"/>
          <w:b w:val="0"/>
          <w:i w:val="0"/>
          <w:sz w:val="24"/>
        </w:rPr>
        <w:t>Ocorre que, no caso em exame, a condenação do recorrente pelo crime de porte ilegal de arma de fogo com numeração suprimida (art. 16, §1º, IV, da Lei n. 10.826/03) se sustenta unicamente em dois pilares, ambos de natureza inquisitorial: o relato indireto de "populares" — que teriam dito aos policiais que o réu teria descartado a arma durante a fuga — e a confissão extrajudicial, parcial e retratada em juízo.</w:t>
      </w:r>
    </w:p>
    <w:p>
      <w:pPr>
        <w:spacing w:before="0" w:after="120" w:line="360" w:lineRule="exact"/>
        <w:jc w:val="both"/>
      </w:pPr>
      <w:r>
        <w:rPr>
          <w:rFonts w:ascii="Arial" w:hAnsi="Arial"/>
          <w:b w:val="0"/>
          <w:i w:val="0"/>
          <w:sz w:val="24"/>
        </w:rPr>
        <w:t>Em um primeiro momento, cumpre registrar o fato incontroverso de que a arma de fogo não foi encontrada com o recorrente. Todas as testemunhas ouvidas em juízo foram uníssonas em confirmar que nenhuma arma foi encontrada com Márcio ou em seu veículo. Os próprios policiais militares que participaram da ocorrência declararam, em seus depoimentos judiciais, que, mesmo após a realização de revista pessoal e veicular, não encontraram qualquer arma com o recorrente, e — fato decisivo — não viram nenhuma arma sendo descartada por Márcio.</w:t>
      </w:r>
    </w:p>
    <w:p>
      <w:pPr>
        <w:spacing w:before="0" w:after="120" w:line="360" w:lineRule="exact"/>
        <w:jc w:val="both"/>
      </w:pPr>
      <w:r>
        <w:rPr>
          <w:rFonts w:ascii="Arial" w:hAnsi="Arial"/>
          <w:b w:val="0"/>
          <w:i w:val="0"/>
          <w:sz w:val="24"/>
        </w:rPr>
        <w:t>Em outras palavras, nenhum agente estatal ou qualquer outra testemunha presenciou o suposto descarte da arma. O único elo entre o recorrente e a arma encontrada em via pública é a informação atribuída a "populares" — pessoas não identificadas nos autos, que jamais foram arroladas como testemunhas e jamais foram ouvidas em juízo.</w:t>
      </w:r>
    </w:p>
    <w:p>
      <w:pPr>
        <w:spacing w:before="0" w:after="120" w:line="360" w:lineRule="exact"/>
        <w:jc w:val="both"/>
      </w:pPr>
      <w:r>
        <w:rPr>
          <w:rFonts w:ascii="Arial" w:hAnsi="Arial"/>
          <w:b w:val="0"/>
          <w:i w:val="0"/>
          <w:sz w:val="24"/>
        </w:rPr>
        <w:t>Ora, essa informação de "populares", reproduzida exclusivamente pelos policiais em seus depoimentos, constitui típico testemunho indireto (hearsay testimony), cuja aptidão probatória é severamente limitada pelo art. 155 do CPP. É que o depoimento policial que se limita a repetir o que terceiros teriam dito na fase inquisitorial não transmuda o indício extrajudicial em prova judicial. O policial não viu o descarte; apenas ouviu de alguém que supostamente viu. A prova direta — o depoimento dos próprios "populares" — era repetível e poderia ter sido produzida em juízo, mas não o foi. Da mesma forma, eventual filmagem das câmeras de segurança do ambiente público em que a arma foi encontrada — prova irrepetível — sequer foi juntada aos autos.</w:t>
      </w:r>
    </w:p>
    <w:p>
      <w:pPr>
        <w:spacing w:before="0" w:after="120" w:line="360" w:lineRule="exact"/>
        <w:jc w:val="both"/>
      </w:pPr>
      <w:r>
        <w:rPr>
          <w:rFonts w:ascii="Arial" w:hAnsi="Arial"/>
          <w:b w:val="0"/>
          <w:i w:val="0"/>
          <w:sz w:val="24"/>
        </w:rPr>
        <w:t>Nesse sentido, o Superior Tribunal de Justiça já decidiu, em caso análogo, que "o testemunho indireto não serve sequer para confirmar o indício extrajudicial. Tratando-se de um indício repetível, deve ele próprio ser reproduzido em juízo; sendo irrepetível (por exemplo, uma filmagem ou documento), é obrigatória sua juntada aos autos da ação penal, para que o juiz o valore então diretamente. Em qualquer caso, não se admite [a] tentativa de 'judicializar' o indício do inquérito com o uso do depoimento indireto (seja aquele prestado pelo policial ou por qualquer outra pessoa), o que violaria o art. 155 do CPP" (STJ, AREsp n. 2.978.909/PE, rel. Min. Ribeiro Dantas, j. em 24.8.2025).</w:t>
      </w:r>
    </w:p>
    <w:p>
      <w:pPr>
        <w:spacing w:before="0" w:after="120" w:line="360" w:lineRule="exact"/>
        <w:jc w:val="both"/>
      </w:pPr>
      <w:r>
        <w:rPr>
          <w:rFonts w:ascii="Arial" w:hAnsi="Arial"/>
          <w:b w:val="0"/>
          <w:i w:val="0"/>
          <w:sz w:val="24"/>
        </w:rPr>
        <w:t>A situação do caso concreto é ainda mais grave do que aquela enfrentada no precedente citado. No caso em exame, sequer se sabe quem são os "populares" que teriam prestado a informação. Não há qualquer registro de seus nomes, qualificações ou dados que permitissem à defesa intimá-los para depor em juízo. A acusação, a quem incumbia o ônus da prova (art. 156, caput, do CPP), optou por não arrolar essas supostas testemunhas oculares e se contentou com a reprodução indireta de suas alegações pelos policiais. Permitir que essa prática substitua a produção de prova em contraditório judicial equivale a esvaziar por completo a garantia do art. 155 do CPP.</w:t>
      </w:r>
    </w:p>
    <w:p>
      <w:pPr>
        <w:spacing w:before="0" w:after="120" w:line="360" w:lineRule="exact"/>
        <w:jc w:val="both"/>
      </w:pPr>
      <w:r>
        <w:rPr>
          <w:rFonts w:ascii="Arial" w:hAnsi="Arial"/>
          <w:b w:val="0"/>
          <w:i w:val="0"/>
          <w:sz w:val="24"/>
        </w:rPr>
        <w:t>Não fosse isso o suficiente, a arma foi encontrada em via pública — no chamado "Pátio do Chapão" —, local acessível a qualquer pessoa. Não há nos autos qualquer elemento que individualize o descarte ao recorrente: nenhuma impressão digital foi colhida da arma, nenhum exame de resíduos de pólvora foi realizado nas mãos de Márcio, nenhuma filmagem registrou o suposto descarte. A arma poderia pertencer a qualquer pessoa que transitasse por aquele local público, e atribuí-la ao recorrente com base exclusivamente no relato indireto de "populares" anônimos viola frontalmente a exigência de prova produzida em contraditório judicial, tal como imposto pelo art. 155 do Código de Processo Penal.</w:t>
      </w:r>
    </w:p>
    <w:p>
      <w:pPr>
        <w:spacing w:before="0" w:after="120" w:line="360" w:lineRule="exact"/>
        <w:jc w:val="both"/>
      </w:pPr>
      <w:r>
        <w:rPr>
          <w:rFonts w:ascii="Arial" w:hAnsi="Arial"/>
          <w:b w:val="0"/>
          <w:i w:val="0"/>
          <w:sz w:val="24"/>
        </w:rPr>
        <w:t>Portanto, ao manter a condenação pelo crime de porte ilegal de arma de fogo com base em prova exclusivamente inquisitorial — relato de "populares" não ouvidos em juízo, reproduzido por policiais que nada viram —, o acórdão recorrido violou o art. 155 do CPP, impondo-se a absolvição do recorrente.</w:t>
      </w:r>
    </w:p>
    <w:p>
      <w:pPr>
        <w:spacing w:before="240" w:after="120"/>
        <w:jc w:val="left"/>
      </w:pPr>
      <w:r>
        <w:rPr>
          <w:rFonts w:ascii="Arial" w:hAnsi="Arial"/>
          <w:b/>
          <w:i w:val="0"/>
          <w:sz w:val="24"/>
        </w:rPr>
        <w:t>IV – VIOLAÇÃO AO ART. 197 DO CPP — CONFISSÃO RETRATADA E INFORMAL COMO FUNDAMENTO DA CONDENAÇÃO</w:t>
      </w:r>
    </w:p>
    <w:p>
      <w:pPr>
        <w:spacing w:before="0" w:after="120" w:line="360" w:lineRule="exact"/>
        <w:jc w:val="both"/>
      </w:pPr>
      <w:r>
        <w:rPr>
          <w:rFonts w:ascii="Arial" w:hAnsi="Arial"/>
          <w:b w:val="0"/>
          <w:i w:val="0"/>
          <w:sz w:val="24"/>
        </w:rPr>
        <w:t>O segundo pilar da condenação — a confissão extrajudicial — é igualmente incapaz de sustentar o édito condenatório, à luz do art. 197 do Código de Processo Penal.</w:t>
      </w:r>
    </w:p>
    <w:p>
      <w:pPr>
        <w:spacing w:before="0" w:after="120" w:line="360" w:lineRule="exact"/>
        <w:jc w:val="both"/>
      </w:pPr>
      <w:r>
        <w:rPr>
          <w:rFonts w:ascii="Arial" w:hAnsi="Arial"/>
          <w:b w:val="0"/>
          <w:i w:val="0"/>
          <w:sz w:val="24"/>
        </w:rPr>
        <w:t>Cumpre registrar, de início, que o recorrente negou os fatos em juízo. No interrogatório judicial (evento 143, VIDEO2), Márcio retratou integralmente a confissão anteriormente atribuída a ele na fase inquisitorial, negando ser proprietário da arma encontrada. A confissão foi, portanto, retratada — circunstância que o próprio acórdão recorrido reconhece ao admitir que a confissão foi "parcial e retratada em juízo" (evento 22, p. 6).</w:t>
      </w:r>
    </w:p>
    <w:p>
      <w:pPr>
        <w:spacing w:before="0" w:after="120" w:line="360" w:lineRule="exact"/>
        <w:jc w:val="both"/>
      </w:pPr>
      <w:r>
        <w:rPr>
          <w:rFonts w:ascii="Arial" w:hAnsi="Arial"/>
          <w:b w:val="0"/>
          <w:i w:val="0"/>
          <w:sz w:val="24"/>
        </w:rPr>
        <w:t>Ocorre, Excelência, que a chamada "confissão extrajudicial" sobre a qual se funda a condenação não é sequer, em sentido técnico, uma confissão documentada. O que existe nos autos é o relato dos policiais de que, na fase inquisitorial, Márcio teria admitido ser dono da arma (evento 1, VÍDEO5). Em outras palavras, a "confissão" consiste no testemunho policial sobre o que o acusado teria dito informalmente na delegacia — trata-se de confissão informal, não documentada, reproduzida de ouvir dizer.</w:t>
      </w:r>
    </w:p>
    <w:p>
      <w:pPr>
        <w:spacing w:before="0" w:after="120" w:line="360" w:lineRule="exact"/>
        <w:jc w:val="both"/>
      </w:pPr>
      <w:r>
        <w:rPr>
          <w:rFonts w:ascii="Arial" w:hAnsi="Arial"/>
          <w:b w:val="0"/>
          <w:i w:val="0"/>
          <w:sz w:val="24"/>
        </w:rPr>
        <w:t>O art. 197 do CPP estabelece que "o valor da confissão se aferirá pelos critérios adotados para os outros elementos de prova, e para a sua apreciação o juiz deverá confrontá-la com as demais provas do processo, verificando se entre ela e estas existe compatibilidade ou concordância". A norma exige, portanto, que a confissão — ainda que judicial e formal — seja corroborada por outros elementos de prova. Se nem mesmo a confissão prestada em juízo, sob o crivo do contraditório, é suficiente para condenar quando isolada, com muito mais razão não se pode admitir que uma confissão informal, extrajudicial, retratada em juízo e reproduzida por testemunho indireto de policiais sirva como alicerce de condenação criminal.</w:t>
      </w:r>
    </w:p>
    <w:p>
      <w:pPr>
        <w:spacing w:before="0" w:after="120" w:line="360" w:lineRule="exact"/>
        <w:jc w:val="both"/>
      </w:pPr>
      <w:r>
        <w:rPr>
          <w:rFonts w:ascii="Arial" w:hAnsi="Arial"/>
          <w:b w:val="0"/>
          <w:i w:val="0"/>
          <w:sz w:val="24"/>
        </w:rPr>
        <w:t>Com efeito, o Superior Tribunal de Justiça já se pronunciou precisamente sobre a questão, ao decidir que "Se nem mesmo uma confissão feita em Juízo, pode autorizar uma condenação, sem que haja outras provas concretas, nos termos do art. 197 do Código de Processo Penal, muito menos o poderá um depoimento de testemunha, na parte em que se limita a reproduzir o que lhe teria sido dito pelo Acusado. Quanto a esse aspecto do depoimento dos policiais, em que apenas repetem declarações que teriam sido a eles informalmente prestadas pelos Acusados, não se pode atribuir a força de prova testemunhal, mas devem ser valoradas com a parcimônia que uma confissão informal e que não foi documentada nos autos deve receber" (STJ, REsp n. 2.046.636/MG, rela. Mina. Laurita Vaz, j. em 25.4.2023).</w:t>
      </w:r>
    </w:p>
    <w:p>
      <w:pPr>
        <w:spacing w:before="0" w:after="120" w:line="360" w:lineRule="exact"/>
        <w:jc w:val="both"/>
      </w:pPr>
      <w:r>
        <w:rPr>
          <w:rFonts w:ascii="Arial" w:hAnsi="Arial"/>
          <w:b w:val="0"/>
          <w:i w:val="0"/>
          <w:sz w:val="24"/>
        </w:rPr>
        <w:t>O caso concreto se amolda com exatidão à hipótese descrita no precedente. A "confissão" que embasa a condenação não foi documentada em termo próprio, não foi prestada perante autoridade judiciária, não observou qualquer das formalidades do art. 185 e seguintes do CPP e foi integralmente retratada quando o acusado teve a oportunidade de se manifestar sob o crivo do contraditório, em audiência de instrução. O que se tem, na prática, é o testemunho policial reproduzindo o que ouviu do acusado — prova indireta, insuscetível de ser equiparada a uma confissão para fins de condenação.</w:t>
      </w:r>
    </w:p>
    <w:p>
      <w:pPr>
        <w:spacing w:before="0" w:after="120" w:line="360" w:lineRule="exact"/>
        <w:jc w:val="both"/>
      </w:pPr>
      <w:r>
        <w:rPr>
          <w:rFonts w:ascii="Arial" w:hAnsi="Arial"/>
          <w:b w:val="0"/>
          <w:i w:val="0"/>
          <w:sz w:val="24"/>
        </w:rPr>
        <w:t>Aliás, o próprio acórdão recorrido reconhece que os dois pilares probatórios sobre os quais se assenta a condenação pelo porte de arma — o relato dos "populares" e a confissão extrajudicial — são provas inquisitoriais. E os admite como suficientes ao argumento de que "a prova é suficiente, harmônica e coerente". Contudo, harmonia entre duas provas inquisitoriais não supre a exigência do contraditório judicial imposta pelo art. 155 do CPP. Dois indícios extrajudiciais, ainda que consonantes entre si, permanecem indícios extrajudiciais — e não se transmudam em prova judicial pela mera concordância recíproca.</w:t>
      </w:r>
    </w:p>
    <w:p>
      <w:pPr>
        <w:spacing w:before="0" w:after="120" w:line="360" w:lineRule="exact"/>
        <w:jc w:val="both"/>
      </w:pPr>
      <w:r>
        <w:rPr>
          <w:rFonts w:ascii="Arial" w:hAnsi="Arial"/>
          <w:b w:val="0"/>
          <w:i w:val="0"/>
          <w:sz w:val="24"/>
        </w:rPr>
        <w:t>Diante desse contexto, e à luz do art. 386, inciso VII, do Código de Processo Penal, que impõe a absolvição quando "não existir prova suficiente para a condenação", a conclusão é inescapável: não há, nos autos, prova judicial suficiente para sustentar a condenação do recorrente pelo crime de porte ilegal de arma de fogo com numeração suprimida. A arma não foi encontrada com o réu, nenhuma testemunha presencial foi ouvida em juízo, a confissão foi retratada, e o que remanesce são exclusivamente elementos informativos do inquérito, insuscetíveis de fundamentar condenação criminal.</w:t>
      </w:r>
    </w:p>
    <w:p>
      <w:pPr>
        <w:spacing w:before="0" w:after="120" w:line="360" w:lineRule="exact"/>
        <w:jc w:val="both"/>
      </w:pPr>
      <w:r>
        <w:rPr>
          <w:rFonts w:ascii="Arial" w:hAnsi="Arial"/>
          <w:b w:val="0"/>
          <w:i w:val="0"/>
          <w:sz w:val="24"/>
        </w:rPr>
        <w:t>Desse modo, ao manter a condenação com base em confissão informal, extrajudicial, retratada em juízo e reproduzida por testemunho indireto, sem corroboração por prova produzida em contraditório judicial, o acórdão recorrido violou o art. 197 do CPP, devendo o recorrente ser absolvido.</w:t>
      </w:r>
    </w:p>
    <w:p>
      <w:pPr>
        <w:spacing w:before="240" w:after="120"/>
        <w:jc w:val="left"/>
      </w:pPr>
      <w:r>
        <w:rPr>
          <w:rFonts w:ascii="Arial" w:hAnsi="Arial"/>
          <w:b/>
          <w:i w:val="0"/>
          <w:sz w:val="24"/>
        </w:rPr>
        <w:t>V – TESE SUBSIDIÁRIA — DA DOSIMETRIA</w:t>
      </w:r>
    </w:p>
    <w:p>
      <w:pPr>
        <w:spacing w:before="0" w:after="120" w:line="360" w:lineRule="exact"/>
        <w:jc w:val="both"/>
      </w:pPr>
      <w:r>
        <w:rPr>
          <w:rFonts w:ascii="Arial" w:hAnsi="Arial"/>
          <w:b w:val="0"/>
          <w:i w:val="0"/>
          <w:sz w:val="24"/>
        </w:rPr>
        <w:t>Caso essa Corte Superior entenda por manter a condenação pelo crime de porte ilegal de arma de fogo — o que se admite apenas em caráter subsidiário e por cautela processual —, requer-se o exame da dosimetria aplicada.</w:t>
      </w:r>
    </w:p>
    <w:p>
      <w:pPr>
        <w:spacing w:before="0" w:after="120" w:line="360" w:lineRule="exact"/>
        <w:jc w:val="both"/>
      </w:pPr>
      <w:r>
        <w:rPr>
          <w:rFonts w:ascii="Arial" w:hAnsi="Arial"/>
          <w:b w:val="0"/>
          <w:i w:val="0"/>
          <w:sz w:val="24"/>
        </w:rPr>
        <w:t>A pena-base foi fixada acima do mínimo legal sem que a sentença — transcrita pelo acórdão recorrido como razão de decidir — tenha indicado circunstâncias judiciais concretas e individualizadas, nos termos do art. 59 do Código Penal e do art. 93, inciso IX, da Constituição Federal. A mera referência genérica à gravidade abstrata do delito ou às circunstâncias inerentes ao tipo penal não constitui fundamentação idônea para o aumento da pena-base, conforme reiteradamente decidido pelo Superior Tribunal de Justiça.</w:t>
      </w:r>
    </w:p>
    <w:p>
      <w:pPr>
        <w:spacing w:before="0" w:after="120" w:line="360" w:lineRule="exact"/>
        <w:jc w:val="both"/>
      </w:pPr>
      <w:r>
        <w:rPr>
          <w:rFonts w:ascii="Arial" w:hAnsi="Arial"/>
          <w:b w:val="0"/>
          <w:i w:val="0"/>
          <w:sz w:val="24"/>
        </w:rPr>
        <w:t>De mais a mais, caso acolhida a tese principal — absolvição pelo crime de porte de arma —, impõe-se o redimensionamento da pena total e a reavaliação do regime de cumprimento. Os crimes remanescentes (art. 330, caput, do CP — desobediência, por duas vezes — e art. 311 do CTB — direção perigosa) possuem penas consideravelmente inferiores, de modo que o somatório, mesmo considerada a reincidência, pode não justificar a manutenção do regime semiaberto, devendo ser fixado o regime aberto, nos termos do art. 33, §2º, alínea "c", do Código Penal.</w:t>
      </w:r>
    </w:p>
    <w:p>
      <w:pPr>
        <w:spacing w:before="240" w:after="120"/>
        <w:jc w:val="left"/>
      </w:pPr>
      <w:r>
        <w:rPr>
          <w:rFonts w:ascii="Arial" w:hAnsi="Arial"/>
          <w:b/>
          <w:i w:val="0"/>
          <w:sz w:val="24"/>
        </w:rPr>
        <w:t>VI – DOS PEDIDOS</w:t>
      </w:r>
    </w:p>
    <w:p>
      <w:pPr>
        <w:spacing w:before="0" w:after="120" w:line="360" w:lineRule="exact"/>
        <w:jc w:val="both"/>
      </w:pPr>
      <w:r>
        <w:rPr>
          <w:rFonts w:ascii="Arial" w:hAnsi="Arial"/>
          <w:b w:val="0"/>
          <w:i w:val="0"/>
          <w:sz w:val="24"/>
        </w:rPr>
        <w:t>Ante o exposto, o recorrente requer:</w:t>
      </w:r>
    </w:p>
    <w:p>
      <w:pPr>
        <w:spacing w:after="80" w:line="360" w:lineRule="exact"/>
        <w:ind w:left="850"/>
        <w:jc w:val="both"/>
      </w:pPr>
      <w:r>
        <w:rPr>
          <w:rFonts w:ascii="Arial" w:hAnsi="Arial"/>
          <w:b w:val="0"/>
          <w:i w:val="0"/>
          <w:sz w:val="24"/>
        </w:rPr>
        <w:t>a) o recebimento e processamento do presente Recurso Especial, com a consequente remessa dos autos ao Superior Tribunal de Justiça;</w:t>
      </w:r>
    </w:p>
    <w:p>
      <w:pPr>
        <w:spacing w:after="80" w:line="360" w:lineRule="exact"/>
        <w:ind w:left="850"/>
        <w:jc w:val="both"/>
      </w:pPr>
      <w:r>
        <w:rPr>
          <w:rFonts w:ascii="Arial" w:hAnsi="Arial"/>
          <w:b w:val="0"/>
          <w:i w:val="0"/>
          <w:sz w:val="24"/>
        </w:rPr>
        <w:t>b) a intimação do Ministério Público para apresentar contrarrazões, no prazo legal;</w:t>
      </w:r>
    </w:p>
    <w:p>
      <w:pPr>
        <w:spacing w:after="80" w:line="360" w:lineRule="exact"/>
        <w:ind w:left="850"/>
        <w:jc w:val="both"/>
      </w:pPr>
      <w:r>
        <w:rPr>
          <w:rFonts w:ascii="Arial" w:hAnsi="Arial"/>
          <w:b w:val="0"/>
          <w:i w:val="0"/>
          <w:sz w:val="24"/>
        </w:rPr>
        <w:t>c) no mérito, o conhecimento e provimento do recurso para absolver o recorrente do crime de porte ilegal de arma de fogo com numeração suprimida (art. 16, §1º, IV, da Lei n. 10.826/03), por violação aos arts. 155 e 197 do Código de Processo Penal, com o consequente redimensionamento da pena total e reavaliação do regime de cumprimento;</w:t>
      </w:r>
    </w:p>
    <w:p>
      <w:pPr>
        <w:spacing w:after="80" w:line="360" w:lineRule="exact"/>
        <w:ind w:left="850"/>
        <w:jc w:val="both"/>
      </w:pPr>
      <w:r>
        <w:rPr>
          <w:rFonts w:ascii="Arial" w:hAnsi="Arial"/>
          <w:b w:val="0"/>
          <w:i w:val="0"/>
          <w:sz w:val="24"/>
        </w:rPr>
        <w:t>d) subsidiariamente, caso mantida a condenação pelo porte de arma, o afastamento das circunstâncias judiciais desfavoráveis fixadas sem fundamentação concreta, com a redução da pena-base ao mínimo legal e a fixação do regime de cumprimento adequado ao quantum resultante;</w:t>
      </w:r>
    </w:p>
    <w:p>
      <w:pPr>
        <w:spacing w:after="80" w:line="360" w:lineRule="exact"/>
        <w:ind w:left="850"/>
        <w:jc w:val="both"/>
      </w:pPr>
      <w:r>
        <w:rPr>
          <w:rFonts w:ascii="Arial" w:hAnsi="Arial"/>
          <w:b w:val="0"/>
          <w:i w:val="0"/>
          <w:sz w:val="24"/>
        </w:rPr>
        <w:t>e) por fim, sejam todas as intimações doravante realizadas em nome do advogado Paulo Ekke Moukarzel Junior, inscrito na OAB/SC sob o nº 36.591, sob pena de nulidade (art. 272, §5º, do CPC).</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[DATA].</w:t>
      </w:r>
    </w:p>
    <w:p>
      <w:pPr>
        <w:spacing w:before="0" w:after="120" w:line="360" w:lineRule="exact"/>
        <w:jc w:val="both"/>
      </w:pPr>
      <w:r>
        <w:rPr>
          <w:rFonts w:ascii="Arial" w:hAnsi="Arial"/>
          <w:b w:val="0"/>
          <w:i w:val="0"/>
          <w:sz w:val="24"/>
        </w:rPr>
        <w:t>Paulo Ekke Moukarzel Junior</w:t>
      </w:r>
    </w:p>
    <w:p>
      <w:pPr>
        <w:spacing w:before="120" w:after="120"/>
        <w:jc w:val="center"/>
      </w:pPr>
      <w:r>
        <w:rPr>
          <w:rFonts w:ascii="Arial" w:hAnsi="Arial"/>
          <w:b/>
          <w:i w:val="0"/>
          <w:sz w:val="24"/>
        </w:rPr>
        <w:t>OAB/SC 36.591</w:t>
      </w:r>
    </w:p>
    <w:p/>
    <w:p>
      <w:pPr>
        <w:spacing w:before="240" w:after="360"/>
        <w:jc w:val="center"/>
      </w:pPr>
      <w:r>
        <w:rPr>
          <w:rFonts w:ascii="Arial" w:hAnsi="Arial"/>
          <w:sz w:val="24"/>
        </w:rPr>
        <w:t>Florianópolis, 31 de marco de 2026.</w:t>
      </w:r>
    </w:p>
    <w:p>
      <w:pPr>
        <w:spacing w:before="480" w:after="40"/>
        <w:jc w:val="center"/>
      </w:pPr>
      <w:r>
        <w:rPr>
          <w:rFonts w:ascii="Arial" w:hAnsi="Arial"/>
          <w:b/>
          <w:sz w:val="24"/>
        </w:rPr>
        <w:t>Paulo Ekke Moukarzel Junior</w:t>
      </w:r>
    </w:p>
    <w:p>
      <w:pPr>
        <w:spacing w:before="0" w:after="120"/>
        <w:jc w:val="center"/>
      </w:pPr>
      <w:r>
        <w:rPr>
          <w:rFonts w:ascii="Arial" w:hAnsi="Arial"/>
          <w:sz w:val="24"/>
        </w:rPr>
        <w:t>OAB/SC n. 36.591</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r>
      <w:fldChar w:fldCharType="begin"/>
    </w:r>
    <w:r>
      <w:instrText xml:space="preserve"> PAGE </w:instrText>
    </w:r>
    <w:r>
      <w:fldChar w:fldCharType="end"/>
    </w:r>
    <w:r>
      <w:rPr>
        <w:rFonts w:ascii="Arial" w:hAnsi="Arial"/>
        <w:sz w:val="18"/>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Márcio Klaus Morais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