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165D8" w14:textId="77777777" w:rsidR="00F35C92" w:rsidRDefault="00854B28">
      <w:pPr>
        <w:spacing w:after="1080"/>
        <w:jc w:val="both"/>
      </w:pPr>
      <w:r>
        <w:rPr>
          <w:rFonts w:ascii="Arial" w:hAnsi="Arial"/>
          <w:sz w:val="24"/>
        </w:rPr>
        <w:t>EXCELENTÍSSIMO SENHOR DESEMBARGADOR PRESIDENTE DO TRIBUNAL DE JUSTIÇA DO ESTADO DE SANTA CATARINA</w:t>
      </w:r>
    </w:p>
    <w:p w14:paraId="525CD587" w14:textId="77777777" w:rsidR="00F35C92" w:rsidRDefault="00854B28">
      <w:pPr>
        <w:spacing w:after="720"/>
      </w:pPr>
      <w:r>
        <w:rPr>
          <w:rFonts w:ascii="Arial" w:hAnsi="Arial"/>
        </w:rPr>
        <w:t>Autos n. 5000933-70.2023.8.24.0022</w:t>
      </w:r>
    </w:p>
    <w:p w14:paraId="4E786F83" w14:textId="77777777" w:rsidR="00F35C92" w:rsidRDefault="00854B28">
      <w:pPr>
        <w:pStyle w:val="Qualificaodaspartes"/>
        <w:spacing w:after="240"/>
      </w:pPr>
      <w:r>
        <w:t>MÁRCIO KLAUS MORAIS, brasileiro, portador do CPF n. 008.293.139-90, já qualificado nos autos da ação penal n. 5000933-70.2023.8.24.0022, em que é recorrido o MINISTÉRIO PÚBLICO DO ESTADO DE SANTA CATARINA, vem, respeitosamente, à elevada presença de Vossa Excelência, por seu advogado abaixo signatário, interpor RECURSO ESPECIAL, com fundamento no art. 105, inciso III, alíneas "a" e "c", da Constituição Federal, em face do acórdão proferido pela 3ª Câmara Criminal deste Tribunal (evento 22), mantido após a r</w:t>
      </w:r>
      <w:r>
        <w:t>ejeição dos embargos de declaração (evento 46), pelas razões de fato e de direito a seguir expostas.</w:t>
      </w:r>
    </w:p>
    <w:p w14:paraId="7D5ADBC3" w14:textId="77777777" w:rsidR="00F35C92" w:rsidRDefault="00854B28">
      <w:pPr>
        <w:spacing w:after="80"/>
      </w:pPr>
      <w:r>
        <w:rPr>
          <w:rFonts w:ascii="Arial" w:hAnsi="Arial"/>
        </w:rPr>
        <w:t>Requer, desde já, o recebimento e processamento do presente recurso, com a consequente remessa dos autos ao Superior Tribunal de Justiça, nos termos do art. 1.029, §1º, do CPC, aplicado subsidiariamente.</w:t>
      </w:r>
    </w:p>
    <w:p w14:paraId="21ADCC9D" w14:textId="77777777" w:rsidR="00F35C92" w:rsidRDefault="00F35C92">
      <w:pPr>
        <w:spacing w:after="0"/>
      </w:pPr>
    </w:p>
    <w:p w14:paraId="238F77C8" w14:textId="77777777" w:rsidR="00F35C92" w:rsidRDefault="00854B28">
      <w:pPr>
        <w:spacing w:after="120"/>
        <w:jc w:val="center"/>
      </w:pPr>
      <w:r>
        <w:rPr>
          <w:rFonts w:ascii="Arial" w:hAnsi="Arial"/>
          <w:sz w:val="24"/>
        </w:rPr>
        <w:t>Pede deferimento.</w:t>
      </w:r>
    </w:p>
    <w:p w14:paraId="51F2F7D7" w14:textId="77777777" w:rsidR="00F35C92" w:rsidRDefault="00854B28">
      <w:pPr>
        <w:spacing w:after="120"/>
        <w:jc w:val="center"/>
      </w:pPr>
      <w:r>
        <w:rPr>
          <w:rFonts w:ascii="Arial" w:hAnsi="Arial"/>
          <w:sz w:val="24"/>
        </w:rPr>
        <w:t>Florianópolis, 2 de abril de 2026.</w:t>
      </w:r>
    </w:p>
    <w:p w14:paraId="711AD82E" w14:textId="77777777" w:rsidR="00F35C92" w:rsidRDefault="00F35C92">
      <w:pPr>
        <w:spacing w:after="0"/>
      </w:pPr>
    </w:p>
    <w:p w14:paraId="2DE45E30" w14:textId="77777777" w:rsidR="00F35C92" w:rsidRDefault="00854B28">
      <w:pPr>
        <w:spacing w:after="120"/>
        <w:jc w:val="center"/>
      </w:pPr>
      <w:r>
        <w:rPr>
          <w:rFonts w:ascii="Arial" w:hAnsi="Arial"/>
          <w:sz w:val="24"/>
        </w:rPr>
        <w:t>Paulo Ekke Moukarzel Junior</w:t>
      </w:r>
    </w:p>
    <w:p w14:paraId="2CFE2C7C" w14:textId="77777777" w:rsidR="00F35C92" w:rsidRDefault="00854B28">
      <w:pPr>
        <w:spacing w:after="120"/>
        <w:jc w:val="center"/>
      </w:pPr>
      <w:r>
        <w:rPr>
          <w:rFonts w:ascii="Arial" w:hAnsi="Arial"/>
          <w:sz w:val="24"/>
        </w:rPr>
        <w:t>OAB/SC 36.591</w:t>
      </w:r>
    </w:p>
    <w:p w14:paraId="2DFD4ABE" w14:textId="77777777" w:rsidR="00F35C92" w:rsidRDefault="00F35C92">
      <w:pPr>
        <w:spacing w:after="0"/>
      </w:pPr>
    </w:p>
    <w:p w14:paraId="69292F9E" w14:textId="77777777" w:rsidR="00F35C92" w:rsidRDefault="00854B28">
      <w:pPr>
        <w:pageBreakBefore/>
        <w:spacing w:after="0"/>
      </w:pPr>
      <w:r>
        <w:rPr>
          <w:rFonts w:ascii="Arial" w:hAnsi="Arial"/>
        </w:rPr>
        <w:lastRenderedPageBreak/>
        <w:t>REsp n. 5000933-70.2023.8.24.0022.</w:t>
      </w:r>
    </w:p>
    <w:p w14:paraId="6C149D02" w14:textId="77777777" w:rsidR="00F35C92" w:rsidRDefault="00854B28">
      <w:pPr>
        <w:spacing w:after="80"/>
      </w:pPr>
      <w:r>
        <w:rPr>
          <w:rFonts w:ascii="Arial" w:hAnsi="Arial"/>
        </w:rPr>
        <w:t>Recorrente: Márcio Klaus Morais.</w:t>
      </w:r>
    </w:p>
    <w:p w14:paraId="6DD8430B" w14:textId="77777777" w:rsidR="00F35C92" w:rsidRDefault="00854B28">
      <w:pPr>
        <w:spacing w:after="80"/>
      </w:pPr>
      <w:r>
        <w:rPr>
          <w:rFonts w:ascii="Arial" w:hAnsi="Arial"/>
        </w:rPr>
        <w:t>Recorrido: Ministério Público do Estado de Santa Catarina.</w:t>
      </w:r>
    </w:p>
    <w:p w14:paraId="1C90FDCD" w14:textId="77777777" w:rsidR="00F35C92" w:rsidRDefault="00F35C92">
      <w:pPr>
        <w:spacing w:after="0"/>
      </w:pPr>
    </w:p>
    <w:p w14:paraId="01655E3E" w14:textId="77777777" w:rsidR="00F35C92" w:rsidRDefault="00854B28">
      <w:pPr>
        <w:spacing w:before="360" w:after="120"/>
        <w:jc w:val="center"/>
      </w:pPr>
      <w:r>
        <w:rPr>
          <w:rFonts w:ascii="Arial" w:hAnsi="Arial"/>
          <w:i/>
          <w:sz w:val="26"/>
        </w:rPr>
        <w:t>RAZÕES RECURSAIS</w:t>
      </w:r>
    </w:p>
    <w:p w14:paraId="28DD2FEA" w14:textId="77777777" w:rsidR="00F35C92" w:rsidRDefault="00F35C92">
      <w:pPr>
        <w:spacing w:after="0"/>
      </w:pPr>
    </w:p>
    <w:p w14:paraId="4883F11C" w14:textId="77777777" w:rsidR="00F35C92" w:rsidRDefault="00854B28">
      <w:pPr>
        <w:spacing w:after="120"/>
        <w:jc w:val="center"/>
      </w:pPr>
      <w:r>
        <w:rPr>
          <w:rFonts w:ascii="Arial" w:hAnsi="Arial"/>
          <w:b/>
          <w:sz w:val="26"/>
        </w:rPr>
        <w:t>EGRÉGIO SUPERIOR TRIBUNAL DE JUSTIÇA</w:t>
      </w:r>
    </w:p>
    <w:p w14:paraId="08C5A0FF" w14:textId="77777777" w:rsidR="00F35C92" w:rsidRDefault="00F35C92">
      <w:pPr>
        <w:spacing w:after="0"/>
      </w:pPr>
    </w:p>
    <w:p w14:paraId="20BDFBF4" w14:textId="77777777" w:rsidR="00F35C92" w:rsidRDefault="00854B28">
      <w:pPr>
        <w:spacing w:after="120"/>
        <w:jc w:val="center"/>
      </w:pPr>
      <w:r>
        <w:rPr>
          <w:rFonts w:ascii="Arial" w:hAnsi="Arial"/>
          <w:b/>
          <w:sz w:val="26"/>
        </w:rPr>
        <w:t>COLENDA TURMA</w:t>
      </w:r>
    </w:p>
    <w:p w14:paraId="337784A7" w14:textId="77777777" w:rsidR="00F35C92" w:rsidRDefault="00F35C92">
      <w:pPr>
        <w:spacing w:after="0"/>
      </w:pPr>
    </w:p>
    <w:p w14:paraId="0B28B950" w14:textId="77777777" w:rsidR="00F35C92" w:rsidRDefault="00854B28">
      <w:pPr>
        <w:spacing w:after="120"/>
        <w:jc w:val="center"/>
      </w:pPr>
      <w:r>
        <w:rPr>
          <w:rFonts w:ascii="Arial" w:hAnsi="Arial"/>
          <w:b/>
          <w:sz w:val="26"/>
        </w:rPr>
        <w:t>EMÉRITOS MINISTROS JULGADORES</w:t>
      </w:r>
    </w:p>
    <w:p w14:paraId="3459DFD8" w14:textId="77777777" w:rsidR="00F35C92" w:rsidRDefault="00F35C92">
      <w:pPr>
        <w:spacing w:after="0"/>
      </w:pPr>
    </w:p>
    <w:p w14:paraId="76ED3AA1" w14:textId="77777777" w:rsidR="00F35C92" w:rsidRDefault="00854B28">
      <w:pPr>
        <w:pStyle w:val="Ttulo"/>
        <w:spacing w:before="240" w:after="120"/>
      </w:pPr>
      <w:r>
        <w:t>I – SÍNTESE DA DEMANDA</w:t>
      </w:r>
    </w:p>
    <w:p w14:paraId="1436FD9D" w14:textId="77777777" w:rsidR="00AA4147" w:rsidRPr="00AA4147" w:rsidRDefault="00AA4147" w:rsidP="00AA4147"/>
    <w:p w14:paraId="05EF388A" w14:textId="4E19B72A" w:rsidR="00F35C92" w:rsidRDefault="00854B28">
      <w:pPr>
        <w:pStyle w:val="SemEspaamento"/>
      </w:pPr>
      <w:r>
        <w:t xml:space="preserve">O ora recorrente foi condenado pela suposta prática dos crimes de porte ilegal de arma de fogo com numeração suprimida </w:t>
      </w:r>
      <w:r w:rsidRPr="00AA4147">
        <w:rPr>
          <w:sz w:val="20"/>
          <w:szCs w:val="18"/>
        </w:rPr>
        <w:t>(art. 16, §1º, IV, da Lei n. 10.826/03)</w:t>
      </w:r>
      <w:r>
        <w:t>, desobediência</w:t>
      </w:r>
      <w:r w:rsidR="00D70001">
        <w:t>,</w:t>
      </w:r>
      <w:r>
        <w:t xml:space="preserve"> por duas vezes </w:t>
      </w:r>
      <w:r w:rsidRPr="00D70001">
        <w:rPr>
          <w:sz w:val="20"/>
          <w:szCs w:val="18"/>
        </w:rPr>
        <w:t>(art. 330 do Código Penal)</w:t>
      </w:r>
      <w:r w:rsidR="00D70001">
        <w:t>,</w:t>
      </w:r>
      <w:r>
        <w:t xml:space="preserve"> e direção perigosa </w:t>
      </w:r>
      <w:r w:rsidRPr="00D70001">
        <w:rPr>
          <w:sz w:val="20"/>
          <w:szCs w:val="18"/>
        </w:rPr>
        <w:t>(art. 311 do CTB)</w:t>
      </w:r>
      <w:r>
        <w:t xml:space="preserve">, tendo-lhe sido imposta pena de </w:t>
      </w:r>
      <w:r w:rsidR="00A11C25">
        <w:t>3 anos e 6 meses de reclusão</w:t>
      </w:r>
      <w:r w:rsidR="00B65B00">
        <w:t>, em regime semiaberto, e 8 meses e 24 dias de detenção,</w:t>
      </w:r>
      <w:r>
        <w:t xml:space="preserve"> em regime semiaberto, por conta d</w:t>
      </w:r>
      <w:r w:rsidR="00447D3B">
        <w:t>o recrudescimento decorrente de</w:t>
      </w:r>
      <w:r>
        <w:t xml:space="preserve"> reincidência e maus antecedentes.</w:t>
      </w:r>
    </w:p>
    <w:p w14:paraId="06E1CFAC" w14:textId="77777777" w:rsidR="003B7EC6" w:rsidRDefault="00854B28">
      <w:pPr>
        <w:pStyle w:val="SemEspaamento"/>
      </w:pPr>
      <w:r>
        <w:t xml:space="preserve">Interposta apelação criminal, a 3ª Câmara Criminal </w:t>
      </w:r>
      <w:r w:rsidR="00447D3B">
        <w:t xml:space="preserve">do </w:t>
      </w:r>
      <w:r>
        <w:t>Tribunal</w:t>
      </w:r>
      <w:r w:rsidR="00447D3B">
        <w:t xml:space="preserve"> de Justiça catarinense</w:t>
      </w:r>
      <w:r>
        <w:t xml:space="preserve"> conheceu parcialmente do recurso, afastou as preliminares e negou-lhe provimento (evento 22). Em síntese, o acórdão recorrido sustentou que a autoria do crime de porte ilegal de arma de fogo estaria demonstrada pelos "</w:t>
      </w:r>
      <w:r w:rsidRPr="00447D3B">
        <w:rPr>
          <w:i/>
          <w:iCs/>
        </w:rPr>
        <w:t>depoimentos firmes e coerentes</w:t>
      </w:r>
      <w:r>
        <w:t xml:space="preserve">" dos policiais militares, que relataram a fuga do recorrente após ordem de parada, </w:t>
      </w:r>
      <w:r w:rsidR="003B7EC6">
        <w:t xml:space="preserve">pela </w:t>
      </w:r>
      <w:r>
        <w:t>"</w:t>
      </w:r>
      <w:r w:rsidRPr="00447D3B">
        <w:rPr>
          <w:i/>
          <w:iCs/>
        </w:rPr>
        <w:t>indicação de populares sobre o descarte da arma e a localização do armamento no ponto indicado</w:t>
      </w:r>
      <w:r>
        <w:t xml:space="preserve">", além de confissão extrajudicial, </w:t>
      </w:r>
      <w:r w:rsidR="003B7EC6">
        <w:t>retratada em juízo</w:t>
      </w:r>
      <w:r>
        <w:t xml:space="preserve"> </w:t>
      </w:r>
      <w:r w:rsidRPr="003B7EC6">
        <w:rPr>
          <w:sz w:val="20"/>
          <w:szCs w:val="18"/>
        </w:rPr>
        <w:t>(evento 22, p. 5)</w:t>
      </w:r>
      <w:r>
        <w:t xml:space="preserve">. </w:t>
      </w:r>
    </w:p>
    <w:p w14:paraId="21849CBB" w14:textId="77777777" w:rsidR="00230A9D" w:rsidRDefault="00854B28">
      <w:pPr>
        <w:pStyle w:val="SemEspaamento"/>
      </w:pPr>
      <w:r>
        <w:t xml:space="preserve">Quanto aos crimes de desobediência e de direção perigosa, o </w:t>
      </w:r>
      <w:r w:rsidRPr="00376893">
        <w:rPr>
          <w:i/>
          <w:iCs/>
        </w:rPr>
        <w:t>decisum</w:t>
      </w:r>
      <w:r>
        <w:t xml:space="preserve"> utilizou os mesmos depoimentos policiais como prova suficiente e harmônica </w:t>
      </w:r>
      <w:r w:rsidRPr="00376893">
        <w:rPr>
          <w:sz w:val="20"/>
          <w:szCs w:val="18"/>
        </w:rPr>
        <w:t>(evento 22, p. 5/6)</w:t>
      </w:r>
      <w:r>
        <w:t xml:space="preserve">. </w:t>
      </w:r>
      <w:r w:rsidR="00230A9D">
        <w:t xml:space="preserve">Nesse </w:t>
      </w:r>
      <w:r>
        <w:t>sentido, o acórdão registrou que "</w:t>
      </w:r>
      <w:r w:rsidRPr="00230A9D">
        <w:rPr>
          <w:i/>
          <w:iCs/>
        </w:rPr>
        <w:t>a prova em relação a todos os delitos é suficiente, harmônica e coerente, e foi corroborada por elementos materiais e confissão extrajudicial do apelante, ainda que tenha sido parcial e retratada em juízo</w:t>
      </w:r>
      <w:r>
        <w:t>", concluindo que não haveria "</w:t>
      </w:r>
      <w:r w:rsidRPr="00230A9D">
        <w:rPr>
          <w:i/>
          <w:iCs/>
        </w:rPr>
        <w:t>dúvida razoável a justificar absolvição</w:t>
      </w:r>
      <w:r>
        <w:t xml:space="preserve">" (evento 22, p. 6). </w:t>
      </w:r>
    </w:p>
    <w:p w14:paraId="4558B7F6" w14:textId="33EC2638" w:rsidR="00F35C92" w:rsidRDefault="00854B28">
      <w:pPr>
        <w:pStyle w:val="SemEspaamento"/>
      </w:pPr>
      <w:r>
        <w:t xml:space="preserve">Ademais, para fundamentar a autoria, o </w:t>
      </w:r>
      <w:r w:rsidR="00230A9D">
        <w:t xml:space="preserve">primeiro </w:t>
      </w:r>
      <w:r>
        <w:t xml:space="preserve">aresto </w:t>
      </w:r>
      <w:r w:rsidR="00230A9D">
        <w:t xml:space="preserve">combatido </w:t>
      </w:r>
      <w:r>
        <w:t>utilizou como razões de decidir extensos trechos da sentença apelada, sem contraposição específica às teses defensivas sobre a ausência de prova direta quanto ao porte.</w:t>
      </w:r>
    </w:p>
    <w:p w14:paraId="4E7606C1" w14:textId="77777777" w:rsidR="00F50F62" w:rsidRDefault="00854B28">
      <w:pPr>
        <w:pStyle w:val="SemEspaamento"/>
      </w:pPr>
      <w:r>
        <w:t xml:space="preserve">Opostos embargos de declaração </w:t>
      </w:r>
      <w:r w:rsidRPr="00230A9D">
        <w:rPr>
          <w:sz w:val="20"/>
          <w:szCs w:val="18"/>
        </w:rPr>
        <w:t>(evento 29)</w:t>
      </w:r>
      <w:r>
        <w:t xml:space="preserve">, nos quais o recorrente apontou a omissão do acórdão quanto ao enfrentamento das teses relativas à </w:t>
      </w:r>
      <w:r w:rsidR="00230A9D" w:rsidRPr="00230A9D">
        <w:rPr>
          <w:b/>
          <w:bCs/>
        </w:rPr>
        <w:t xml:space="preserve">total </w:t>
      </w:r>
      <w:r w:rsidRPr="00230A9D">
        <w:rPr>
          <w:b/>
          <w:bCs/>
        </w:rPr>
        <w:t xml:space="preserve">ausência de provas de autoria no crime de porte </w:t>
      </w:r>
      <w:r w:rsidR="00230A9D">
        <w:rPr>
          <w:b/>
          <w:bCs/>
        </w:rPr>
        <w:t xml:space="preserve">ilegal </w:t>
      </w:r>
      <w:r w:rsidRPr="00230A9D">
        <w:rPr>
          <w:b/>
          <w:bCs/>
        </w:rPr>
        <w:t>de arma</w:t>
      </w:r>
      <w:r>
        <w:t xml:space="preserve"> </w:t>
      </w:r>
      <w:r w:rsidR="008E6D25">
        <w:t xml:space="preserve">, na medida em que </w:t>
      </w:r>
      <w:r w:rsidRPr="008E6D25">
        <w:rPr>
          <w:b/>
          <w:bCs/>
        </w:rPr>
        <w:t>nenhuma testemunha viu o réu portando ou descartando a arma</w:t>
      </w:r>
      <w:r>
        <w:t xml:space="preserve"> </w:t>
      </w:r>
      <w:r w:rsidR="008E6D25">
        <w:t xml:space="preserve">e </w:t>
      </w:r>
      <w:r>
        <w:t>os policiais não encontraram armamento com o recorrente</w:t>
      </w:r>
      <w:r w:rsidR="008E6D25">
        <w:t xml:space="preserve">, sendo que </w:t>
      </w:r>
      <w:r>
        <w:t xml:space="preserve">a </w:t>
      </w:r>
      <w:r w:rsidR="008E6D25">
        <w:t xml:space="preserve">condenação </w:t>
      </w:r>
      <w:r>
        <w:t>se baseou exclusivamente em relatos indiretos de "</w:t>
      </w:r>
      <w:r w:rsidRPr="008E6D25">
        <w:rPr>
          <w:i/>
          <w:iCs/>
        </w:rPr>
        <w:t>populares</w:t>
      </w:r>
      <w:r>
        <w:t>" e em confissão extrajudicial</w:t>
      </w:r>
      <w:r w:rsidR="00F50F62">
        <w:t>,</w:t>
      </w:r>
      <w:r>
        <w:t xml:space="preserve"> retratada em juízo, o </w:t>
      </w:r>
      <w:r w:rsidR="00F50F62">
        <w:t xml:space="preserve">segundo </w:t>
      </w:r>
      <w:r>
        <w:t xml:space="preserve">acórdão </w:t>
      </w:r>
      <w:r w:rsidR="00F50F62">
        <w:t xml:space="preserve">recorrido </w:t>
      </w:r>
      <w:r w:rsidRPr="00F50F62">
        <w:rPr>
          <w:sz w:val="20"/>
          <w:szCs w:val="18"/>
        </w:rPr>
        <w:t>(evento 46)</w:t>
      </w:r>
      <w:r>
        <w:t xml:space="preserve"> rejeitou os aclarató</w:t>
      </w:r>
      <w:r>
        <w:t xml:space="preserve">rios, ao </w:t>
      </w:r>
      <w:r w:rsidR="00F50F62">
        <w:t>argumento</w:t>
      </w:r>
      <w:r>
        <w:t xml:space="preserve"> de que os argumentos revelariam "</w:t>
      </w:r>
      <w:r w:rsidRPr="00F50F62">
        <w:rPr>
          <w:i/>
          <w:iCs/>
        </w:rPr>
        <w:t>mero inconformismo</w:t>
      </w:r>
      <w:r>
        <w:t>" e que os embargos declaratórios "</w:t>
      </w:r>
      <w:r w:rsidRPr="00F50F62">
        <w:rPr>
          <w:i/>
          <w:iCs/>
        </w:rPr>
        <w:t>não constituem meio hábil</w:t>
      </w:r>
      <w:r>
        <w:t xml:space="preserve">" à rediscussão da matéria. </w:t>
      </w:r>
    </w:p>
    <w:p w14:paraId="77962A30" w14:textId="153C89F6" w:rsidR="00F35C92" w:rsidRDefault="00854B28">
      <w:pPr>
        <w:pStyle w:val="SemEspaamento"/>
      </w:pPr>
      <w:r>
        <w:t xml:space="preserve">Quanto à </w:t>
      </w:r>
      <w:r w:rsidR="00F50F62">
        <w:t xml:space="preserve">falta de enfrentamento </w:t>
      </w:r>
      <w:r>
        <w:t>das teses</w:t>
      </w:r>
      <w:r w:rsidR="00F50F62">
        <w:t xml:space="preserve"> recursais</w:t>
      </w:r>
      <w:r>
        <w:t>, o acórdão dos embargos limitou-se a consignar que "</w:t>
      </w:r>
      <w:r w:rsidRPr="00F50F62">
        <w:rPr>
          <w:i/>
          <w:iCs/>
        </w:rPr>
        <w:t>do corpo do acórdão é possível extrair fundamentos suficientes para afastar os argumentos levantados pela defesa</w:t>
      </w:r>
      <w:r>
        <w:t>" e que "</w:t>
      </w:r>
      <w:r w:rsidRPr="00F50F62">
        <w:rPr>
          <w:i/>
          <w:iCs/>
        </w:rPr>
        <w:t>o julgador não está obrigado a analisar todos os argumentos expendidos pelas partes quando motiva seu decisum de modo a afastar, por consequência, aquelas alegações</w:t>
      </w:r>
      <w:r>
        <w:t xml:space="preserve">" </w:t>
      </w:r>
      <w:r w:rsidRPr="002913BB">
        <w:rPr>
          <w:sz w:val="20"/>
          <w:szCs w:val="18"/>
        </w:rPr>
        <w:t>(evento 46)</w:t>
      </w:r>
      <w:r>
        <w:t>.</w:t>
      </w:r>
    </w:p>
    <w:p w14:paraId="5CA9079E" w14:textId="77777777" w:rsidR="00E215A1" w:rsidRDefault="002913BB" w:rsidP="00E215A1">
      <w:pPr>
        <w:pStyle w:val="SemEspaamento"/>
      </w:pPr>
      <w:r>
        <w:t xml:space="preserve">Diante desse contexto, não há dúvida de que </w:t>
      </w:r>
      <w:r w:rsidR="00362CE6">
        <w:t>os arestos recorridos merecem reforma,</w:t>
      </w:r>
      <w:r w:rsidR="00432AA5">
        <w:t xml:space="preserve"> </w:t>
      </w:r>
      <w:r w:rsidR="00362CE6">
        <w:t xml:space="preserve">sobretudo porque a sua </w:t>
      </w:r>
      <w:r w:rsidR="007E6924">
        <w:t>conclusão condenatória</w:t>
      </w:r>
      <w:r w:rsidR="00432AA5">
        <w:t xml:space="preserve"> não é acompanhada de </w:t>
      </w:r>
      <w:r w:rsidR="007E6924">
        <w:t>qualquer substrato probatório mínimo que confirme a existência de autoria delitiva do crime de porte ilegal de arma de fogo, o</w:t>
      </w:r>
      <w:r w:rsidR="00432AA5">
        <w:t xml:space="preserve"> que foi </w:t>
      </w:r>
      <w:r w:rsidR="00872B47">
        <w:t xml:space="preserve">exposto pelo </w:t>
      </w:r>
      <w:r w:rsidR="007E6924">
        <w:t>recorrente</w:t>
      </w:r>
      <w:r w:rsidR="00872B47">
        <w:t>, mas esse argumento</w:t>
      </w:r>
      <w:r w:rsidR="00E215A1">
        <w:t xml:space="preserve">, cujo exame se mostra essencial para o correto desfecho da causa, </w:t>
      </w:r>
      <w:r w:rsidR="00872B47">
        <w:t xml:space="preserve">acabou não sendo enfrentado pelo </w:t>
      </w:r>
      <w:r w:rsidR="00872B47">
        <w:rPr>
          <w:i/>
          <w:iCs/>
        </w:rPr>
        <w:t>decisum</w:t>
      </w:r>
      <w:r w:rsidR="00E215A1">
        <w:t>,</w:t>
      </w:r>
      <w:r w:rsidR="00E215A1" w:rsidRPr="00E215A1">
        <w:t xml:space="preserve"> </w:t>
      </w:r>
      <w:r w:rsidR="00E215A1">
        <w:t>como se verá abaixo.</w:t>
      </w:r>
    </w:p>
    <w:p w14:paraId="36765DDC" w14:textId="77777777" w:rsidR="00E215A1" w:rsidRDefault="00E215A1" w:rsidP="00E215A1">
      <w:pPr>
        <w:pStyle w:val="SemEspaamento"/>
        <w:numPr>
          <w:ilvl w:val="0"/>
          <w:numId w:val="0"/>
        </w:numPr>
      </w:pPr>
    </w:p>
    <w:p w14:paraId="08FEBFCC" w14:textId="765F0601" w:rsidR="00E215A1" w:rsidRDefault="00854B28" w:rsidP="00E215A1">
      <w:pPr>
        <w:pStyle w:val="Ttulo"/>
      </w:pPr>
      <w:r>
        <w:t>II – DA ADMISSIBILIDADE</w:t>
      </w:r>
    </w:p>
    <w:p w14:paraId="0BEC3F7A" w14:textId="77777777" w:rsidR="00E215A1" w:rsidRDefault="00E215A1" w:rsidP="00E215A1">
      <w:pPr>
        <w:pStyle w:val="SemEspaamento"/>
        <w:numPr>
          <w:ilvl w:val="0"/>
          <w:numId w:val="0"/>
        </w:numPr>
        <w:ind w:left="1701"/>
      </w:pPr>
    </w:p>
    <w:p w14:paraId="0021F8D0" w14:textId="4004F6B3" w:rsidR="00F35C92" w:rsidRDefault="00854B28" w:rsidP="00E215A1">
      <w:pPr>
        <w:pStyle w:val="SemEspaamento"/>
      </w:pPr>
      <w:r>
        <w:t xml:space="preserve">O presente recurso é cabível com fundamento no art. 105, inciso III, alíneas "a" e "c", da Constituição Federal, uma vez que o acórdão recorrido, ao manter a condenação do recorrente pelo crime de porte ilegal de arma de fogo com numeração suprimida, </w:t>
      </w:r>
      <w:r w:rsidR="001F27BA">
        <w:t xml:space="preserve">sem prova </w:t>
      </w:r>
      <w:r w:rsidR="00340D8C">
        <w:t>direta de autoria e fundamentada em confissão</w:t>
      </w:r>
      <w:r w:rsidR="00BE4529">
        <w:t xml:space="preserve"> parcial</w:t>
      </w:r>
      <w:r w:rsidR="00340D8C">
        <w:t xml:space="preserve"> </w:t>
      </w:r>
      <w:r w:rsidR="00BE4529">
        <w:t xml:space="preserve">colhida </w:t>
      </w:r>
      <w:r w:rsidR="00340D8C">
        <w:t xml:space="preserve">em ambiente de estresse, </w:t>
      </w:r>
      <w:r w:rsidR="00BF33E9">
        <w:t>perante a autoridade policial</w:t>
      </w:r>
      <w:r w:rsidR="00340D8C">
        <w:t>, retratada</w:t>
      </w:r>
      <w:r w:rsidR="00BF33E9">
        <w:t xml:space="preserve"> posteriormente, </w:t>
      </w:r>
      <w:r w:rsidR="00AB4E2E">
        <w:t>vulnerou</w:t>
      </w:r>
      <w:r>
        <w:t xml:space="preserve"> os arts. 155 e 197 do C</w:t>
      </w:r>
      <w:r w:rsidR="00AB4E2E">
        <w:t>PP</w:t>
      </w:r>
      <w:r>
        <w:t>, além de divergir da jurisprudência consolidada do Superior Tribunal de Justiça sobre a matéria.</w:t>
      </w:r>
    </w:p>
    <w:p w14:paraId="52DD4D8A" w14:textId="192E9517" w:rsidR="004F258A" w:rsidRDefault="00854B28" w:rsidP="004F258A">
      <w:pPr>
        <w:pStyle w:val="SemEspaamento"/>
      </w:pPr>
      <w:r>
        <w:t xml:space="preserve">As questões federais ora suscitadas foram devidamente prequestionadas. Nos embargos de declaração </w:t>
      </w:r>
      <w:r w:rsidRPr="00AB4E2E">
        <w:rPr>
          <w:sz w:val="20"/>
          <w:szCs w:val="18"/>
        </w:rPr>
        <w:t>(evento 29)</w:t>
      </w:r>
      <w:r>
        <w:t xml:space="preserve">, o recorrente debateu expressamente a violação aos arts. 155 e 197 do CPP, apontando que </w:t>
      </w:r>
      <w:r w:rsidRPr="0006153D">
        <w:rPr>
          <w:b/>
          <w:bCs/>
        </w:rPr>
        <w:t xml:space="preserve">a condenação se </w:t>
      </w:r>
      <w:r w:rsidR="0006153D">
        <w:rPr>
          <w:b/>
          <w:bCs/>
        </w:rPr>
        <w:t xml:space="preserve">pautou </w:t>
      </w:r>
      <w:r w:rsidRPr="0006153D">
        <w:rPr>
          <w:b/>
          <w:bCs/>
        </w:rPr>
        <w:t>exclusivamente em prova inquisitorial</w:t>
      </w:r>
      <w:r w:rsidR="00AB4E2E">
        <w:t xml:space="preserve"> – </w:t>
      </w:r>
      <w:r w:rsidRPr="00AB4E2E">
        <w:rPr>
          <w:b/>
          <w:bCs/>
        </w:rPr>
        <w:t xml:space="preserve">relato indireto de "populares" </w:t>
      </w:r>
      <w:r w:rsidR="00AB4E2E">
        <w:rPr>
          <w:b/>
          <w:bCs/>
        </w:rPr>
        <w:t xml:space="preserve">que nunca foram </w:t>
      </w:r>
      <w:r w:rsidRPr="00AB4E2E">
        <w:rPr>
          <w:b/>
          <w:bCs/>
        </w:rPr>
        <w:t>ouvidos em juízo</w:t>
      </w:r>
      <w:r>
        <w:t xml:space="preserve"> </w:t>
      </w:r>
      <w:r w:rsidRPr="0006153D">
        <w:rPr>
          <w:b/>
          <w:bCs/>
        </w:rPr>
        <w:t xml:space="preserve">e </w:t>
      </w:r>
      <w:r w:rsidRPr="0006153D">
        <w:rPr>
          <w:b/>
          <w:bCs/>
        </w:rPr>
        <w:t>confissão</w:t>
      </w:r>
      <w:r w:rsidR="001279B4" w:rsidRPr="001279B4">
        <w:rPr>
          <w:b/>
          <w:bCs/>
        </w:rPr>
        <w:t xml:space="preserve"> </w:t>
      </w:r>
      <w:r w:rsidRPr="0006153D">
        <w:rPr>
          <w:b/>
          <w:bCs/>
        </w:rPr>
        <w:t>extrajudicial</w:t>
      </w:r>
      <w:r w:rsidRPr="0006153D">
        <w:rPr>
          <w:b/>
          <w:bCs/>
        </w:rPr>
        <w:t xml:space="preserve"> retratada</w:t>
      </w:r>
      <w:r w:rsidR="00AB4E2E">
        <w:t xml:space="preserve"> – </w:t>
      </w:r>
      <w:r>
        <w:t xml:space="preserve">e invocou, com transcrição literal, os precedentes do Superior Tribunal de Justiça que vedam essa prática </w:t>
      </w:r>
      <w:r w:rsidRPr="0006153D">
        <w:rPr>
          <w:sz w:val="20"/>
          <w:szCs w:val="18"/>
        </w:rPr>
        <w:t>(AREsp n. 2.978.909/PE e REsp n. 2.046.636/MG)</w:t>
      </w:r>
      <w:r>
        <w:t xml:space="preserve">. O acórdão dos embargos </w:t>
      </w:r>
      <w:r w:rsidRPr="0056162A">
        <w:rPr>
          <w:sz w:val="20"/>
          <w:szCs w:val="18"/>
        </w:rPr>
        <w:t>(evento 46)</w:t>
      </w:r>
      <w:r>
        <w:t xml:space="preserve"> rejeitou essas teses, </w:t>
      </w:r>
      <w:r w:rsidR="0006153D">
        <w:t xml:space="preserve">mesmo o devido enfrentamento, </w:t>
      </w:r>
      <w:r w:rsidR="0056162A">
        <w:t xml:space="preserve">restando configurado </w:t>
      </w:r>
      <w:r>
        <w:t xml:space="preserve">o </w:t>
      </w:r>
      <w:r w:rsidR="006E7428">
        <w:t xml:space="preserve">requisito do </w:t>
      </w:r>
      <w:r>
        <w:t xml:space="preserve">prequestionamento, </w:t>
      </w:r>
      <w:r w:rsidR="0056162A">
        <w:t xml:space="preserve">pelo menos em </w:t>
      </w:r>
      <w:r>
        <w:t xml:space="preserve">sua vertente ficta </w:t>
      </w:r>
      <w:r w:rsidRPr="0056162A">
        <w:rPr>
          <w:sz w:val="20"/>
          <w:szCs w:val="18"/>
        </w:rPr>
        <w:t>(art. 1.025 do CPC)</w:t>
      </w:r>
      <w:r>
        <w:t>.</w:t>
      </w:r>
    </w:p>
    <w:p w14:paraId="05E656F9" w14:textId="2948D5C3" w:rsidR="006E7428" w:rsidRDefault="006E7428" w:rsidP="00CE1764">
      <w:pPr>
        <w:pStyle w:val="SemEspaamento"/>
      </w:pPr>
      <w:r>
        <w:t>Como se sabe, aliás, a jurisprudência da Corte da Cidadania consolidou o entendimento de que</w:t>
      </w:r>
      <w:r w:rsidR="00397F38">
        <w:t>, em situações como a presente,</w:t>
      </w:r>
      <w:r>
        <w:t xml:space="preserve"> </w:t>
      </w:r>
      <w:r w:rsidRPr="006E7428">
        <w:rPr>
          <w:b/>
          <w:bCs/>
        </w:rPr>
        <w:t xml:space="preserve">a Súmula n. 7/STJ </w:t>
      </w:r>
      <w:r w:rsidRPr="006E7428">
        <w:rPr>
          <w:b/>
          <w:bCs/>
          <w:u w:val="single"/>
        </w:rPr>
        <w:t>não</w:t>
      </w:r>
      <w:r w:rsidRPr="006E7428">
        <w:rPr>
          <w:b/>
          <w:bCs/>
        </w:rPr>
        <w:t xml:space="preserve"> </w:t>
      </w:r>
      <w:r w:rsidRPr="006E7428">
        <w:rPr>
          <w:b/>
          <w:bCs/>
          <w:u w:val="single"/>
        </w:rPr>
        <w:t>impede</w:t>
      </w:r>
      <w:r w:rsidRPr="006E7428">
        <w:rPr>
          <w:b/>
          <w:bCs/>
        </w:rPr>
        <w:t xml:space="preserve"> o exame do reclamo</w:t>
      </w:r>
      <w:r>
        <w:t xml:space="preserve"> </w:t>
      </w:r>
      <w:r w:rsidRPr="006E7428">
        <w:rPr>
          <w:b/>
          <w:bCs/>
        </w:rPr>
        <w:t>extremo</w:t>
      </w:r>
      <w:r>
        <w:t xml:space="preserve"> porque, mesmo que as omissões veiculadas nos embargos de declaração não tenham sido </w:t>
      </w:r>
      <w:r w:rsidR="00397F38">
        <w:t xml:space="preserve">devidamente </w:t>
      </w:r>
      <w:r>
        <w:t>examinadas pelos arestos recorridos,</w:t>
      </w:r>
      <w:r w:rsidRPr="009075E5">
        <w:t xml:space="preserve"> </w:t>
      </w:r>
      <w:r>
        <w:t xml:space="preserve">é admitida </w:t>
      </w:r>
      <w:r w:rsidRPr="009075E5">
        <w:t>“</w:t>
      </w:r>
      <w:r w:rsidRPr="009075E5">
        <w:rPr>
          <w:i/>
          <w:iCs/>
        </w:rPr>
        <w:t xml:space="preserve">a </w:t>
      </w:r>
      <w:r w:rsidRPr="006E7428">
        <w:rPr>
          <w:b/>
          <w:bCs/>
          <w:i/>
          <w:iCs/>
        </w:rPr>
        <w:t>aplicação analógica do</w:t>
      </w:r>
      <w:r w:rsidRPr="009075E5">
        <w:rPr>
          <w:i/>
          <w:iCs/>
        </w:rPr>
        <w:t xml:space="preserve"> </w:t>
      </w:r>
      <w:r w:rsidRPr="00397237">
        <w:rPr>
          <w:b/>
          <w:bCs/>
          <w:i/>
          <w:iCs/>
        </w:rPr>
        <w:t>prequestionamento ficto</w:t>
      </w:r>
      <w:r w:rsidRPr="009075E5">
        <w:rPr>
          <w:i/>
          <w:iCs/>
        </w:rPr>
        <w:t xml:space="preserve"> (art. 1.025 do CPC) </w:t>
      </w:r>
      <w:r w:rsidRPr="0056162A">
        <w:rPr>
          <w:b/>
          <w:bCs/>
          <w:i/>
          <w:iCs/>
        </w:rPr>
        <w:t>ao processo penal</w:t>
      </w:r>
      <w:r w:rsidRPr="009075E5">
        <w:rPr>
          <w:i/>
          <w:iCs/>
        </w:rPr>
        <w:t xml:space="preserve">, por força do art. 3º do CPP, </w:t>
      </w:r>
      <w:r w:rsidRPr="00000275">
        <w:rPr>
          <w:b/>
          <w:bCs/>
          <w:i/>
          <w:iCs/>
        </w:rPr>
        <w:t>se a parte apontar a VIOLAÇÃO do art. 619 do Código de Processo Penal</w:t>
      </w:r>
      <w:r w:rsidRPr="009075E5">
        <w:rPr>
          <w:i/>
          <w:iCs/>
        </w:rPr>
        <w:t xml:space="preserve">, </w:t>
      </w:r>
      <w:r w:rsidRPr="003D392F">
        <w:rPr>
          <w:b/>
          <w:bCs/>
          <w:i/>
          <w:iCs/>
        </w:rPr>
        <w:t xml:space="preserve">caso em que </w:t>
      </w:r>
      <w:r w:rsidRPr="003D392F">
        <w:rPr>
          <w:b/>
          <w:bCs/>
          <w:i/>
          <w:iCs/>
          <w:u w:val="single"/>
        </w:rPr>
        <w:t>serão</w:t>
      </w:r>
      <w:r w:rsidRPr="003D392F">
        <w:rPr>
          <w:b/>
          <w:bCs/>
          <w:i/>
          <w:iCs/>
        </w:rPr>
        <w:t xml:space="preserve"> </w:t>
      </w:r>
      <w:r w:rsidRPr="003D392F">
        <w:rPr>
          <w:b/>
          <w:bCs/>
          <w:i/>
          <w:iCs/>
          <w:u w:val="single"/>
        </w:rPr>
        <w:t>possíveis</w:t>
      </w:r>
      <w:r w:rsidRPr="003D392F">
        <w:rPr>
          <w:b/>
          <w:bCs/>
          <w:i/>
          <w:iCs/>
        </w:rPr>
        <w:t xml:space="preserve">, </w:t>
      </w:r>
      <w:r w:rsidRPr="003D392F">
        <w:rPr>
          <w:b/>
          <w:bCs/>
          <w:i/>
          <w:iCs/>
          <w:u w:val="single"/>
        </w:rPr>
        <w:t>inclusive</w:t>
      </w:r>
      <w:r w:rsidRPr="003D392F">
        <w:rPr>
          <w:b/>
          <w:bCs/>
          <w:i/>
          <w:iCs/>
        </w:rPr>
        <w:t xml:space="preserve">, a </w:t>
      </w:r>
      <w:r w:rsidRPr="0056162A">
        <w:rPr>
          <w:b/>
          <w:bCs/>
          <w:i/>
          <w:iCs/>
          <w:u w:val="single"/>
        </w:rPr>
        <w:t>supressão</w:t>
      </w:r>
      <w:r w:rsidRPr="003D392F">
        <w:rPr>
          <w:b/>
          <w:bCs/>
          <w:i/>
          <w:iCs/>
        </w:rPr>
        <w:t xml:space="preserve"> </w:t>
      </w:r>
      <w:r w:rsidRPr="0056162A">
        <w:rPr>
          <w:b/>
          <w:bCs/>
          <w:i/>
          <w:iCs/>
          <w:u w:val="single"/>
        </w:rPr>
        <w:t>da</w:t>
      </w:r>
      <w:r w:rsidRPr="003D392F">
        <w:rPr>
          <w:b/>
          <w:bCs/>
          <w:i/>
          <w:iCs/>
        </w:rPr>
        <w:t xml:space="preserve"> </w:t>
      </w:r>
      <w:r w:rsidRPr="0056162A">
        <w:rPr>
          <w:b/>
          <w:bCs/>
          <w:i/>
          <w:iCs/>
          <w:u w:val="single"/>
        </w:rPr>
        <w:t>instância</w:t>
      </w:r>
      <w:r w:rsidRPr="003D392F">
        <w:rPr>
          <w:b/>
          <w:bCs/>
          <w:i/>
          <w:iCs/>
        </w:rPr>
        <w:t xml:space="preserve"> a quo </w:t>
      </w:r>
      <w:r w:rsidRPr="00397F38">
        <w:rPr>
          <w:b/>
          <w:bCs/>
          <w:i/>
          <w:iCs/>
          <w:u w:val="single"/>
        </w:rPr>
        <w:t>e</w:t>
      </w:r>
      <w:r w:rsidRPr="003D392F">
        <w:rPr>
          <w:b/>
          <w:bCs/>
          <w:i/>
          <w:iCs/>
        </w:rPr>
        <w:t xml:space="preserve"> </w:t>
      </w:r>
      <w:r w:rsidRPr="003D392F">
        <w:rPr>
          <w:b/>
          <w:bCs/>
          <w:i/>
          <w:iCs/>
          <w:u w:val="single"/>
        </w:rPr>
        <w:t>a</w:t>
      </w:r>
      <w:r w:rsidRPr="003D392F">
        <w:rPr>
          <w:b/>
          <w:bCs/>
          <w:i/>
          <w:iCs/>
        </w:rPr>
        <w:t xml:space="preserve"> </w:t>
      </w:r>
      <w:r w:rsidRPr="003D392F">
        <w:rPr>
          <w:b/>
          <w:bCs/>
          <w:i/>
          <w:iCs/>
          <w:u w:val="single"/>
        </w:rPr>
        <w:t>apreciação</w:t>
      </w:r>
      <w:r w:rsidRPr="003D392F">
        <w:rPr>
          <w:b/>
          <w:bCs/>
          <w:i/>
          <w:iCs/>
        </w:rPr>
        <w:t xml:space="preserve"> </w:t>
      </w:r>
      <w:r w:rsidRPr="003D392F">
        <w:rPr>
          <w:b/>
          <w:bCs/>
          <w:i/>
          <w:iCs/>
          <w:u w:val="single"/>
        </w:rPr>
        <w:t>do</w:t>
      </w:r>
      <w:r w:rsidRPr="003D392F">
        <w:rPr>
          <w:b/>
          <w:bCs/>
          <w:i/>
          <w:iCs/>
        </w:rPr>
        <w:t xml:space="preserve"> </w:t>
      </w:r>
      <w:r w:rsidRPr="003D392F">
        <w:rPr>
          <w:b/>
          <w:bCs/>
          <w:i/>
          <w:iCs/>
          <w:u w:val="single"/>
        </w:rPr>
        <w:t>mérito</w:t>
      </w:r>
      <w:r w:rsidRPr="003D392F">
        <w:rPr>
          <w:b/>
          <w:bCs/>
          <w:i/>
          <w:iCs/>
        </w:rPr>
        <w:t xml:space="preserve"> </w:t>
      </w:r>
      <w:r w:rsidRPr="003D392F">
        <w:rPr>
          <w:b/>
          <w:bCs/>
          <w:i/>
          <w:iCs/>
          <w:u w:val="single"/>
        </w:rPr>
        <w:t>da</w:t>
      </w:r>
      <w:r w:rsidRPr="003D392F">
        <w:rPr>
          <w:b/>
          <w:bCs/>
          <w:i/>
          <w:iCs/>
        </w:rPr>
        <w:t xml:space="preserve"> </w:t>
      </w:r>
      <w:r w:rsidRPr="003D392F">
        <w:rPr>
          <w:b/>
          <w:bCs/>
          <w:i/>
          <w:iCs/>
          <w:u w:val="single"/>
        </w:rPr>
        <w:t>questã</w:t>
      </w:r>
      <w:r w:rsidRPr="001B6B12">
        <w:rPr>
          <w:b/>
          <w:bCs/>
          <w:i/>
          <w:iCs/>
          <w:u w:val="single"/>
        </w:rPr>
        <w:t>o</w:t>
      </w:r>
      <w:r w:rsidRPr="009075E5">
        <w:t xml:space="preserve">” </w:t>
      </w:r>
      <w:r w:rsidRPr="009075E5">
        <w:rPr>
          <w:sz w:val="20"/>
          <w:szCs w:val="18"/>
        </w:rPr>
        <w:t>(AgRg no REsp n. 1.794.714/MG, 6ª Turma, rel. Min. Rogério Schietti Cruz, j. em 4.2.2020)</w:t>
      </w:r>
      <w:r w:rsidRPr="009075E5">
        <w:t>.</w:t>
      </w:r>
    </w:p>
    <w:p w14:paraId="3C610419" w14:textId="77777777" w:rsidR="004F258A" w:rsidRDefault="004F258A" w:rsidP="004F258A">
      <w:pPr>
        <w:pStyle w:val="Ttulo"/>
      </w:pPr>
    </w:p>
    <w:p w14:paraId="35DBB549" w14:textId="5029B490" w:rsidR="00F35C92" w:rsidRDefault="00854B28" w:rsidP="004F258A">
      <w:pPr>
        <w:pStyle w:val="Ttulo"/>
      </w:pPr>
      <w:r>
        <w:t xml:space="preserve">III – VIOLAÇÃO </w:t>
      </w:r>
      <w:r w:rsidR="004F258A">
        <w:t xml:space="preserve">MANIFESTA </w:t>
      </w:r>
      <w:r>
        <w:t>AO ART. 155 DO CPP — CONDENAÇÃO FUNDADA EM PROVA EXCLUSIVAMENTE INQUISITORIAL</w:t>
      </w:r>
    </w:p>
    <w:p w14:paraId="6A663139" w14:textId="77777777" w:rsidR="004F258A" w:rsidRPr="004F258A" w:rsidRDefault="004F258A" w:rsidP="004F258A"/>
    <w:p w14:paraId="4D7EC38E" w14:textId="77777777" w:rsidR="00CE1764" w:rsidRDefault="00CE1764">
      <w:pPr>
        <w:pStyle w:val="SemEspaamento"/>
      </w:pPr>
      <w:r>
        <w:t>Como adiantado, ao manterem a condenação do recorrente pelo crime de porte ilegal de arma de fogo fundamentado exclusivamente em relato indireto de "populares", que não foram nem sequer identificados, muito menos ouvidos em juízo, e em confissão extrajudicial retratada, os acórdãos recorridos negaram vigência ao art. 155 do CPP, segundo o qual "</w:t>
      </w:r>
      <w:r w:rsidRPr="00CE1764">
        <w:rPr>
          <w:i/>
          <w:iCs/>
        </w:rPr>
        <w:t>o juiz formará sua convicção pela livre apreciação da prova produzida em contraditório judicial, não podendo fundamentar sua decisão exclusivamente nos elementos informativos colhidos na investigação, ressalvadas as provas cautelares, não repetíveis e antecipadas</w:t>
      </w:r>
      <w:r>
        <w:t xml:space="preserve">". </w:t>
      </w:r>
    </w:p>
    <w:p w14:paraId="48C694A6" w14:textId="16A94B32" w:rsidR="00F35C92" w:rsidRDefault="00854B28">
      <w:pPr>
        <w:pStyle w:val="SemEspaamento"/>
      </w:pPr>
      <w:r>
        <w:t xml:space="preserve">A norma, corolário direto do sistema acusatório e do princípio do contraditório </w:t>
      </w:r>
      <w:r w:rsidRPr="006D30FB">
        <w:rPr>
          <w:sz w:val="20"/>
          <w:szCs w:val="18"/>
        </w:rPr>
        <w:t>(art. 5º, LV, da CF/88)</w:t>
      </w:r>
      <w:r>
        <w:t xml:space="preserve">, veda, de forma </w:t>
      </w:r>
      <w:r w:rsidR="00CC58BC">
        <w:t>terminante</w:t>
      </w:r>
      <w:r>
        <w:t>, que elementos informativos do inquérito</w:t>
      </w:r>
      <w:r w:rsidR="006D30FB">
        <w:t xml:space="preserve"> </w:t>
      </w:r>
      <w:r w:rsidR="006D30FB" w:rsidRPr="00A909D8">
        <w:rPr>
          <w:sz w:val="22"/>
          <w:szCs w:val="20"/>
        </w:rPr>
        <w:t xml:space="preserve">– </w:t>
      </w:r>
      <w:r w:rsidRPr="00A909D8">
        <w:rPr>
          <w:sz w:val="22"/>
          <w:szCs w:val="20"/>
        </w:rPr>
        <w:t xml:space="preserve">produzidos </w:t>
      </w:r>
      <w:r w:rsidR="006D5227" w:rsidRPr="00A909D8">
        <w:rPr>
          <w:sz w:val="22"/>
          <w:szCs w:val="20"/>
        </w:rPr>
        <w:t xml:space="preserve">unilateralmente, </w:t>
      </w:r>
      <w:r w:rsidRPr="00A909D8">
        <w:rPr>
          <w:sz w:val="22"/>
          <w:szCs w:val="20"/>
        </w:rPr>
        <w:t xml:space="preserve">sem </w:t>
      </w:r>
      <w:r w:rsidR="00A909D8" w:rsidRPr="00A909D8">
        <w:rPr>
          <w:sz w:val="22"/>
          <w:szCs w:val="20"/>
        </w:rPr>
        <w:t xml:space="preserve">a </w:t>
      </w:r>
      <w:r w:rsidRPr="00A909D8">
        <w:rPr>
          <w:sz w:val="22"/>
          <w:szCs w:val="20"/>
        </w:rPr>
        <w:t>participação da defesa</w:t>
      </w:r>
      <w:r w:rsidR="006D30FB" w:rsidRPr="00A909D8">
        <w:rPr>
          <w:sz w:val="22"/>
          <w:szCs w:val="20"/>
        </w:rPr>
        <w:t xml:space="preserve"> –</w:t>
      </w:r>
      <w:r>
        <w:t xml:space="preserve"> </w:t>
      </w:r>
      <w:r w:rsidR="005D4CA8">
        <w:t>sejam utilizados</w:t>
      </w:r>
      <w:r>
        <w:t xml:space="preserve"> como fundamento exclusivo de condenação criminal.</w:t>
      </w:r>
    </w:p>
    <w:p w14:paraId="05418A10" w14:textId="3C755275" w:rsidR="00F35C92" w:rsidRDefault="00BE4529">
      <w:pPr>
        <w:pStyle w:val="SemEspaamento"/>
      </w:pPr>
      <w:r>
        <w:t>Pois bem. No caso em exame, a condenação do recorrente pelo crime de porte ilegal de arma de fogo (art.</w:t>
      </w:r>
      <w:r w:rsidRPr="00CC58BC">
        <w:rPr>
          <w:sz w:val="20"/>
          <w:szCs w:val="18"/>
        </w:rPr>
        <w:t xml:space="preserve"> 16, §1º, IV, da Lei n. 10.826/03)</w:t>
      </w:r>
      <w:r>
        <w:t xml:space="preserve"> </w:t>
      </w:r>
      <w:r w:rsidR="00CC58BC">
        <w:t>está pautada</w:t>
      </w:r>
      <w:r>
        <w:t xml:space="preserve"> unicamente em dois pilares, </w:t>
      </w:r>
      <w:r w:rsidRPr="00BE4529">
        <w:rPr>
          <w:b/>
          <w:bCs/>
        </w:rPr>
        <w:t>ambos de natureza inquisitorial</w:t>
      </w:r>
      <w:r>
        <w:t>, o relato indireto de "populares", que teriam dito aos policiais que o réu teria descartado a arma durante a fuga, e a confissão extrajudicial, parcial e retratada em juízo.</w:t>
      </w:r>
    </w:p>
    <w:p w14:paraId="391AC280" w14:textId="268ACFC6" w:rsidR="004F515A" w:rsidRDefault="00E245B6">
      <w:pPr>
        <w:pStyle w:val="SemEspaamento"/>
      </w:pPr>
      <w:r>
        <w:t xml:space="preserve">Cumpre registrar, inicialmente, o fato incontroverso de que a arma de fogo não foi encontrada com o recorrente. </w:t>
      </w:r>
    </w:p>
    <w:p w14:paraId="6221E607" w14:textId="77777777" w:rsidR="00C2697A" w:rsidRDefault="00854B28">
      <w:pPr>
        <w:pStyle w:val="SemEspaamento"/>
      </w:pPr>
      <w:r>
        <w:t>Todas as testemunhas ouvidas em</w:t>
      </w:r>
      <w:r w:rsidR="00C2697A" w:rsidRPr="00C2697A">
        <w:t xml:space="preserve"> </w:t>
      </w:r>
      <w:r w:rsidR="00C2697A">
        <w:t>juízo</w:t>
      </w:r>
      <w:r w:rsidR="004F515A">
        <w:t>, inclusive os agentes policiais</w:t>
      </w:r>
      <w:r w:rsidR="00E245B6">
        <w:t xml:space="preserve"> </w:t>
      </w:r>
      <w:r w:rsidR="00E245B6" w:rsidRPr="003A2274">
        <w:rPr>
          <w:sz w:val="20"/>
          <w:szCs w:val="18"/>
        </w:rPr>
        <w:t xml:space="preserve">(que não presenciaram o fato, apenas </w:t>
      </w:r>
      <w:r w:rsidR="003A2274" w:rsidRPr="003A2274">
        <w:rPr>
          <w:sz w:val="20"/>
          <w:szCs w:val="18"/>
        </w:rPr>
        <w:t>relataram o que terceiros teriam visto</w:t>
      </w:r>
      <w:r w:rsidR="003A2274">
        <w:rPr>
          <w:sz w:val="20"/>
          <w:szCs w:val="18"/>
        </w:rPr>
        <w:t xml:space="preserve"> – hearsay testimony</w:t>
      </w:r>
      <w:r w:rsidR="003A2274" w:rsidRPr="003A2274">
        <w:rPr>
          <w:sz w:val="20"/>
          <w:szCs w:val="18"/>
        </w:rPr>
        <w:t>)</w:t>
      </w:r>
      <w:r w:rsidR="004F515A">
        <w:t xml:space="preserve">, </w:t>
      </w:r>
      <w:r>
        <w:t xml:space="preserve">foram uníssonas em confirmar que nenhuma arma foi </w:t>
      </w:r>
      <w:r w:rsidR="00C2697A">
        <w:t xml:space="preserve">vista ou </w:t>
      </w:r>
      <w:r>
        <w:t xml:space="preserve">encontrada com Márcio ou em seu veículo. </w:t>
      </w:r>
    </w:p>
    <w:p w14:paraId="3E5A2E8D" w14:textId="38CE6C25" w:rsidR="00F35C92" w:rsidRDefault="00C2697A">
      <w:pPr>
        <w:pStyle w:val="SemEspaamento"/>
      </w:pPr>
      <w:r>
        <w:t>Vale frisar, os próprios policiais militares que participaram da ocorrência declararam, em seus depoimentos judiciais, que, mesmo após a realização de revista pessoal e veicular, não encontraram qualquer arma com o recorrente e</w:t>
      </w:r>
      <w:r w:rsidR="007971DF">
        <w:t xml:space="preserve"> </w:t>
      </w:r>
      <w:r w:rsidR="00A91FE9">
        <w:t xml:space="preserve">também não viram nenhuma arma sendo descartada por Márcio </w:t>
      </w:r>
      <w:r w:rsidR="007971DF">
        <w:t>–</w:t>
      </w:r>
      <w:r w:rsidR="00A91FE9">
        <w:t xml:space="preserve"> </w:t>
      </w:r>
      <w:r w:rsidR="007971DF">
        <w:t xml:space="preserve">o que </w:t>
      </w:r>
      <w:r w:rsidR="00A91FE9">
        <w:t>comprova</w:t>
      </w:r>
      <w:r w:rsidR="00630B17">
        <w:t>, sem sombra de dúvida,</w:t>
      </w:r>
      <w:r w:rsidR="00A91FE9">
        <w:t xml:space="preserve"> a total falta de </w:t>
      </w:r>
      <w:r w:rsidR="00630B17">
        <w:t xml:space="preserve">confirmação de </w:t>
      </w:r>
      <w:r w:rsidR="00A91FE9">
        <w:t>autoria</w:t>
      </w:r>
      <w:r w:rsidR="00630B17">
        <w:t xml:space="preserve"> no presente caso</w:t>
      </w:r>
      <w:r>
        <w:t>.</w:t>
      </w:r>
    </w:p>
    <w:p w14:paraId="2EF8B805" w14:textId="77777777" w:rsidR="00F16F14" w:rsidRDefault="00854B28">
      <w:pPr>
        <w:pStyle w:val="SemEspaamento"/>
      </w:pPr>
      <w:r>
        <w:t xml:space="preserve">Em outras palavras, nenhum agente estatal ou qualquer outra testemunha </w:t>
      </w:r>
      <w:r w:rsidR="00D4792A">
        <w:t xml:space="preserve">viu o recorrente com arma de fogo ou </w:t>
      </w:r>
      <w:r>
        <w:t>presenciou o suposto descarte da arma</w:t>
      </w:r>
      <w:r w:rsidR="00F16F14">
        <w:t xml:space="preserve"> em via pública</w:t>
      </w:r>
      <w:r w:rsidR="002C3E70">
        <w:t>.</w:t>
      </w:r>
      <w:r>
        <w:t xml:space="preserve"> </w:t>
      </w:r>
    </w:p>
    <w:p w14:paraId="24B8AD8B" w14:textId="31A3D4A0" w:rsidR="00F35C92" w:rsidRDefault="00EC7F5D">
      <w:pPr>
        <w:pStyle w:val="SemEspaamento"/>
      </w:pPr>
      <w:r>
        <w:t xml:space="preserve">Ora, </w:t>
      </w:r>
      <w:r w:rsidR="00951107">
        <w:t xml:space="preserve">o único </w:t>
      </w:r>
      <w:r>
        <w:t xml:space="preserve">elo entre o recorrente e </w:t>
      </w:r>
      <w:r w:rsidR="006814E8">
        <w:t>um</w:t>
      </w:r>
      <w:r>
        <w:t>a arma encontrada em via pública é a informação</w:t>
      </w:r>
      <w:r w:rsidR="00951107">
        <w:t>,</w:t>
      </w:r>
      <w:r>
        <w:t xml:space="preserve"> atribuída </w:t>
      </w:r>
      <w:r w:rsidR="00951107">
        <w:t xml:space="preserve">genericamente </w:t>
      </w:r>
      <w:r>
        <w:t>a "populares"</w:t>
      </w:r>
      <w:r w:rsidR="003522CB">
        <w:t xml:space="preserve">, vale dizer, </w:t>
      </w:r>
      <w:r>
        <w:t xml:space="preserve">pessoas não identificadas nos autos, que </w:t>
      </w:r>
      <w:r w:rsidR="00F16F14">
        <w:t xml:space="preserve">não </w:t>
      </w:r>
      <w:r>
        <w:t xml:space="preserve">foram arroladas como testemunhas e </w:t>
      </w:r>
      <w:r w:rsidR="00F16F14">
        <w:t xml:space="preserve">nem </w:t>
      </w:r>
      <w:r>
        <w:t>ouvidas em juízo</w:t>
      </w:r>
      <w:r w:rsidR="006814E8">
        <w:t>, que não possui qualquer certeza de autenticidade</w:t>
      </w:r>
      <w:r>
        <w:t>.</w:t>
      </w:r>
    </w:p>
    <w:p w14:paraId="5BE66A90" w14:textId="77777777" w:rsidR="00F35C92" w:rsidRDefault="00854B28">
      <w:pPr>
        <w:pStyle w:val="SemEspaamento"/>
      </w:pPr>
      <w:r>
        <w:t>Ora, essa informação de "populares", reproduzida exclusivamente pelos policiais em seus depoimentos, constitui típico testemunho indireto (hearsay testimony), cuja aptidão probatória é severamente limitada pelo art. 155 do CPP. É que o depoimento policial que se limita a repetir o que terceiros teriam dito na fase inquisitorial não transmuda o indício extrajudicial em prova judicial. O policial não viu o descarte; apenas ouviu de alguém que supostamente viu. A prova direta — o depoimento dos próprios "popul</w:t>
      </w:r>
      <w:r>
        <w:t>ares" — era repetível e poderia ter sido produzida em juízo, mas não o foi. Da mesma forma, eventual filmagem das câmeras de segurança do ambiente público em que a arma foi encontrada — prova irrepetível — sequer foi juntada aos autos.</w:t>
      </w:r>
    </w:p>
    <w:p w14:paraId="3192F194" w14:textId="77777777" w:rsidR="00F35C92" w:rsidRDefault="00854B28">
      <w:pPr>
        <w:pStyle w:val="SemEspaamento"/>
      </w:pPr>
      <w:r>
        <w:t>Nesse sentido, o Superior Tribunal de Justiça já decidiu, em caso análogo, que "o testemunho indireto não serve sequer para confirmar o indício extrajudicial. Tratando-se de um indício repetível, deve ele próprio ser reproduzido em juízo; sendo irrepetível (por exemplo, uma filmagem ou documento), é obrigatória sua juntada aos autos da ação penal, para que o juiz o valore então diretamente. Em qualquer caso, não se admite [a] tentativa de 'judicializar' o indício do inquérito com o uso do depoimento indiret</w:t>
      </w:r>
      <w:r>
        <w:t>o (seja aquele prestado pelo policial ou por qualquer outra pessoa), o que violaria o art. 155 do CPP" (STJ, AREsp n. 2.978.909/PE, rel. Min. Ribeiro Dantas, j. em 24.8.2025).</w:t>
      </w:r>
    </w:p>
    <w:p w14:paraId="6D4A7761" w14:textId="77777777" w:rsidR="00F35C92" w:rsidRDefault="00854B28">
      <w:pPr>
        <w:pStyle w:val="SemEspaamento"/>
      </w:pPr>
      <w:r>
        <w:t>A situação do caso concreto é ainda mais grave do que aquela enfrentada no precedente citado. No caso em exame, sequer se sabe quem são os "populares" que teriam prestado a informação. Não há qualquer registro de seus nomes, qualificações ou dados que permitissem à defesa intimá-los para depor em juízo. A acusação, a quem incumbia o ônus da prova (art. 156, caput, do CPP), optou por não arrolar essas supostas testemunhas oculares e se contentou com a reprodução indireta de suas alegações pelos policiais. Pe</w:t>
      </w:r>
      <w:r>
        <w:t>rmitir que essa prática substitua a produção de prova em contraditório judicial equivale a esvaziar por completo a garantia do art. 155 do CPP.</w:t>
      </w:r>
    </w:p>
    <w:p w14:paraId="5CD2C26B" w14:textId="77777777" w:rsidR="00F35C92" w:rsidRDefault="00854B28">
      <w:pPr>
        <w:pStyle w:val="SemEspaamento"/>
      </w:pPr>
      <w:r>
        <w:t>Não fosse isso o suficiente, a arma foi encontrada em via pública — no chamado "Pátio do Chapão" —, local acessível a qualquer pessoa. Não há nos autos qualquer elemento que individualize o descarte ao recorrente: nenhuma impressão digital foi colhida da arma, nenhum exame de resíduos de pólvora foi realizado nas mãos de Márcio, nenhuma filmagem registrou o suposto descarte. A arma poderia pertencer a qualquer pessoa que transitasse por aquele local público, e atribuí-la ao recorrente com base exclusivament</w:t>
      </w:r>
      <w:r>
        <w:t>e no relato indireto de "populares" anônimos viola frontalmente a exigência de prova produzida em contraditório judicial, tal como imposto pelo art. 155 do Código de Processo Penal.</w:t>
      </w:r>
    </w:p>
    <w:p w14:paraId="1C795838" w14:textId="77777777" w:rsidR="00F35C92" w:rsidRDefault="00854B28">
      <w:pPr>
        <w:pStyle w:val="SemEspaamento"/>
      </w:pPr>
      <w:r>
        <w:t>Portanto, ao manter a condenação pelo crime de porte ilegal de arma de fogo com base em prova exclusivamente inquisitorial — relato de "populares" não ouvidos em juízo, reproduzido por policiais que nada viram —, o acórdão recorrido violou o art. 155 do CPP, impondo-se a absolvição do recorrente.</w:t>
      </w:r>
    </w:p>
    <w:p w14:paraId="763A0B8C" w14:textId="77777777" w:rsidR="00F35C92" w:rsidRDefault="00854B28">
      <w:pPr>
        <w:pStyle w:val="Ttulo"/>
        <w:spacing w:before="240" w:after="120"/>
      </w:pPr>
      <w:r>
        <w:t>IV – VIOLAÇÃO AO ART. 197 DO CPP — CONFISSÃO RETRATADA E INFORMAL COMO FUNDAMENTO DA CONDENAÇÃO</w:t>
      </w:r>
    </w:p>
    <w:p w14:paraId="2BD9E456" w14:textId="77777777" w:rsidR="00F35C92" w:rsidRDefault="00854B28">
      <w:pPr>
        <w:pStyle w:val="SemEspaamento"/>
      </w:pPr>
      <w:r>
        <w:t>O acórdão recorrido, ao alicerçar a condenação também em confissão extrajudicial retratada em juízo — reproduzida exclusivamente pelo testemunho dos policiais sobre o que o acusado teria dito na fase inquisitorial —, vulnerou o art. 197 do Código de Processo Penal.</w:t>
      </w:r>
    </w:p>
    <w:p w14:paraId="61196F10" w14:textId="77777777" w:rsidR="00F35C92" w:rsidRDefault="00854B28">
      <w:pPr>
        <w:pStyle w:val="SemEspaamento"/>
      </w:pPr>
      <w:r>
        <w:t>Cumpre registrar, de início, que o recorrente negou os fatos em juízo. No interrogatório judicial (evento 143, VIDEO2), Márcio retratou integralmente a confissão anteriormente atribuída a ele na fase inquisitorial, negando ser proprietário da arma encontrada. A confissão foi, portanto, retratada — circunstância que o próprio acórdão recorrido reconhece ao admitir que a confissão foi "parcial e retratada em juízo" (evento 22, p. 6).</w:t>
      </w:r>
    </w:p>
    <w:p w14:paraId="27C69F04" w14:textId="77777777" w:rsidR="00F35C92" w:rsidRDefault="00854B28">
      <w:pPr>
        <w:pStyle w:val="SemEspaamento"/>
      </w:pPr>
      <w:r>
        <w:t>Ocorre, Excelência, que a chamada "confissão extrajudicial" sobre a qual se funda a condenação não é sequer, em sentido técnico, uma confissão documentada. O que existe nos autos é o relato dos policiais de que, na fase inquisitorial, Márcio teria admitido ser dono da arma (evento 1, VÍDEO5). Em outras palavras, a "confissão" consiste no testemunho policial sobre o que o acusado teria dito informalmente na delegacia — trata-se de confissão informal, não documentada, reproduzida de ouvir dizer.</w:t>
      </w:r>
    </w:p>
    <w:p w14:paraId="09CF2D01" w14:textId="77777777" w:rsidR="00F35C92" w:rsidRDefault="00854B28">
      <w:pPr>
        <w:pStyle w:val="SemEspaamento"/>
      </w:pPr>
      <w:r>
        <w:t>O art. 197 do CPP estabelece que "o valor da confissão se aferirá pelos critérios adotados para os outros elementos de prova, e para a sua apreciação o juiz deverá confrontá-la com as demais provas do processo, verificando se entre ela e estas existe compatibilidade ou concordância". A norma exige, portanto, que a confissão — ainda que judicial e formal — seja corroborada por outros elementos de prova. Se nem mesmo a confissão prestada em juízo, sob o crivo do contraditório, é suficiente para condenar quand</w:t>
      </w:r>
      <w:r>
        <w:t>o isolada, com muito mais razão não se pode admitir que uma confissão informal, extrajudicial, retratada em juízo e reproduzida por testemunho indireto de policiais sirva como alicerce de condenação criminal.</w:t>
      </w:r>
    </w:p>
    <w:p w14:paraId="6BFE3CF4" w14:textId="77777777" w:rsidR="00F35C92" w:rsidRDefault="00854B28">
      <w:pPr>
        <w:pStyle w:val="SemEspaamento"/>
      </w:pPr>
      <w:r>
        <w:t>Com efeito, o Superior Tribunal de Justiça já se pronunciou precisamente sobre a questão, ao decidir que "Se nem mesmo uma confissão feita em Juízo, pode autorizar uma condenação, sem que haja outras provas concretas, nos termos do art. 197 do Código de Processo Penal, muito menos o poderá um depoimento de testemunha, na parte em que se limita a reproduzir o que lhe teria sido dito pelo Acusado. Quanto a esse aspecto do depoimento dos policiais, em que apenas repetem declarações que teriam sido a eles infor</w:t>
      </w:r>
      <w:r>
        <w:t>malmente prestadas pelos Acusados, não se pode atribuir a força de prova testemunhal, mas devem ser valoradas com a parcimônia que uma confissão informal e que não foi documentada nos autos deve receber" (STJ, REsp n. 2.046.636/MG, rela. Mina. Laurita Vaz, j. em 25.4.2023).</w:t>
      </w:r>
    </w:p>
    <w:p w14:paraId="13754252" w14:textId="77777777" w:rsidR="00F35C92" w:rsidRDefault="00854B28">
      <w:pPr>
        <w:pStyle w:val="SemEspaamento"/>
      </w:pPr>
      <w:r>
        <w:t>O caso concreto se amolda com exatidão à hipótese descrita no precedente. A "confissão" que embasa a condenação não foi documentada em termo próprio, não foi prestada perante autoridade judiciária, não observou qualquer das formalidades do art. 185 e seguintes do CPP e foi integralmente retratada quando o acusado teve a oportunidade de se manifestar sob o crivo do contraditório, em audiência de instrução. O que se tem, na prática, é o testemunho policial reproduzindo o que ouviu do acusado — prova indireta,</w:t>
      </w:r>
      <w:r>
        <w:t xml:space="preserve"> insuscetível de ser equiparada a uma confissão para fins de condenação.</w:t>
      </w:r>
    </w:p>
    <w:p w14:paraId="147E0A00" w14:textId="77777777" w:rsidR="00F35C92" w:rsidRDefault="00854B28">
      <w:pPr>
        <w:pStyle w:val="SemEspaamento"/>
      </w:pPr>
      <w:r>
        <w:t>Aliás, o próprio acórdão recorrido reconhece que os dois pilares probatórios sobre os quais se assenta a condenação pelo porte de arma — o relato dos "populares" e a confissão extrajudicial — são provas inquisitoriais. E os admite como suficientes ao argumento de que "a prova é suficiente, harmônica e coerente". Contudo, harmonia entre duas provas inquisitoriais não supre a exigência do contraditório judicial imposta pelo art. 155 do CPP. Dois indícios extrajudiciais, ainda que consonantes entre si, permane</w:t>
      </w:r>
      <w:r>
        <w:t>cem indícios extrajudiciais — e não se transmudam em prova judicial pela mera concordância recíproca.</w:t>
      </w:r>
    </w:p>
    <w:p w14:paraId="42525D0B" w14:textId="77777777" w:rsidR="00F35C92" w:rsidRDefault="00854B28">
      <w:pPr>
        <w:pStyle w:val="SemEspaamento"/>
      </w:pPr>
      <w:r>
        <w:t>Diante desse contexto, e à luz do art. 386, inciso VII, do Código de Processo Penal, que impõe a absolvição quando "não existir prova suficiente para a condenação", a conclusão é inescapável: não há, nos autos, prova judicial suficiente para sustentar a condenação do recorrente pelo crime de porte ilegal de arma de fogo com numeração suprimida. A arma não foi encontrada com o réu, nenhuma testemunha presencial foi ouvida em juízo, a confissão foi retratada, e o que remanesce são exclusivamente elementos inf</w:t>
      </w:r>
      <w:r>
        <w:t>ormativos do inquérito, insuscetíveis de fundamentar condenação criminal.</w:t>
      </w:r>
    </w:p>
    <w:p w14:paraId="6CC84DEE" w14:textId="77777777" w:rsidR="00F35C92" w:rsidRDefault="00854B28">
      <w:pPr>
        <w:pStyle w:val="SemEspaamento"/>
      </w:pPr>
      <w:r>
        <w:t>Desse modo, ao manter a condenação com base em confissão informal, extrajudicial, retratada em juízo e reproduzida por testemunho indireto, sem corroboração por prova produzida em contraditório judicial, o acórdão recorrido violou o art. 197 do CPP, devendo o recorrente ser absolvido.</w:t>
      </w:r>
    </w:p>
    <w:p w14:paraId="5B62829E" w14:textId="77777777" w:rsidR="00F35C92" w:rsidRDefault="00854B28">
      <w:pPr>
        <w:pStyle w:val="Ttulo"/>
        <w:spacing w:before="240" w:after="120"/>
      </w:pPr>
      <w:r>
        <w:t>V – TESE SUBSIDIÁRIA — DA DOSIMETRIA</w:t>
      </w:r>
    </w:p>
    <w:p w14:paraId="6D39DB9C" w14:textId="77777777" w:rsidR="00F35C92" w:rsidRDefault="00854B28">
      <w:pPr>
        <w:pStyle w:val="SemEspaamento"/>
      </w:pPr>
      <w:r>
        <w:t>Caso essa Corte Superior entenda por manter a condenação pelo crime de porte ilegal de arma de fogo — o que se admite apenas em caráter subsidiário e por cautela processual —, requer-se o exame da dosimetria aplicada.</w:t>
      </w:r>
    </w:p>
    <w:p w14:paraId="5FAAE54F" w14:textId="77777777" w:rsidR="00F35C92" w:rsidRDefault="00854B28">
      <w:pPr>
        <w:pStyle w:val="SemEspaamento"/>
      </w:pPr>
      <w:r>
        <w:t>A pena-base foi fixada acima do mínimo legal sem que a sentença — transcrita pelo acórdão recorrido como razão de decidir — tenha indicado circunstâncias judiciais concretas e individualizadas, nos termos do art. 59 do Código Penal e do art. 93, inciso IX, da Constituição Federal. A mera referência genérica à gravidade abstrata do delito ou às circunstâncias inerentes ao tipo penal não constitui fundamentação idônea para o aumento da pena-base, conforme reiteradamente decidido pelo Superior Tribunal de Just</w:t>
      </w:r>
      <w:r>
        <w:t>iça.</w:t>
      </w:r>
    </w:p>
    <w:p w14:paraId="3A2BE86F" w14:textId="77777777" w:rsidR="00F35C92" w:rsidRDefault="00854B28">
      <w:pPr>
        <w:pStyle w:val="SemEspaamento"/>
      </w:pPr>
      <w:r>
        <w:t>De mais a mais, caso acolhida a tese principal — absolvição pelo crime de porte de arma —, impõe-se o redimensionamento da pena total e a reavaliação do regime de cumprimento. Os crimes remanescentes (art. 330, caput, do CP — desobediência, por duas vezes — e art. 311 do CTB — direção perigosa) possuem penas consideravelmente inferiores, de modo que o somatório, mesmo considerada a reincidência, pode não justificar a manutenção do regime semiaberto, devendo ser fixado o regime aberto, nos termos do art. 33,</w:t>
      </w:r>
      <w:r>
        <w:t xml:space="preserve"> §2º, alínea "c", do Código Penal.</w:t>
      </w:r>
    </w:p>
    <w:p w14:paraId="4180B0E8" w14:textId="77777777" w:rsidR="00F35C92" w:rsidRDefault="00854B28">
      <w:pPr>
        <w:pStyle w:val="Ttulo"/>
        <w:spacing w:before="240" w:after="120"/>
      </w:pPr>
      <w:r>
        <w:t>VI – DOS PEDIDOS</w:t>
      </w:r>
    </w:p>
    <w:p w14:paraId="010F922C" w14:textId="77777777" w:rsidR="00F35C92" w:rsidRDefault="00854B28">
      <w:pPr>
        <w:spacing w:after="80"/>
      </w:pPr>
      <w:r>
        <w:rPr>
          <w:rFonts w:ascii="Arial" w:hAnsi="Arial"/>
        </w:rPr>
        <w:t>Ante o exposto, o recorrente requer:</w:t>
      </w:r>
    </w:p>
    <w:p w14:paraId="4D6745F3" w14:textId="77777777" w:rsidR="00F35C92" w:rsidRDefault="00854B28">
      <w:pPr>
        <w:spacing w:after="80"/>
        <w:ind w:left="850"/>
        <w:jc w:val="both"/>
      </w:pPr>
      <w:r>
        <w:rPr>
          <w:rFonts w:ascii="Arial" w:hAnsi="Arial"/>
          <w:sz w:val="24"/>
        </w:rPr>
        <w:t>a) o recebimento e processamento do presente Recurso Especial, com a consequente remessa dos autos ao Superior Tribunal de Justiça;</w:t>
      </w:r>
    </w:p>
    <w:p w14:paraId="0DF35C50" w14:textId="77777777" w:rsidR="00F35C92" w:rsidRDefault="00854B28">
      <w:pPr>
        <w:spacing w:after="80"/>
        <w:ind w:left="850"/>
        <w:jc w:val="both"/>
      </w:pPr>
      <w:r>
        <w:rPr>
          <w:rFonts w:ascii="Arial" w:hAnsi="Arial"/>
          <w:sz w:val="24"/>
        </w:rPr>
        <w:t>b) a intimação do Ministério Público para apresentar contrarrazões, no prazo legal;</w:t>
      </w:r>
    </w:p>
    <w:p w14:paraId="4C29309E" w14:textId="77777777" w:rsidR="00F35C92" w:rsidRDefault="00854B28">
      <w:pPr>
        <w:spacing w:after="80"/>
        <w:ind w:left="850"/>
        <w:jc w:val="both"/>
      </w:pPr>
      <w:r>
        <w:rPr>
          <w:rFonts w:ascii="Arial" w:hAnsi="Arial"/>
          <w:sz w:val="24"/>
        </w:rPr>
        <w:t>c) no mérito, o conhecimento e provimento do recurso para absolver o recorrente do crime de porte ilegal de arma de fogo com numeração suprimida (art. 16, §1º, IV, da Lei n. 10.826/03), por violação aos arts. 155 e 197 do Código de Processo Penal, com o consequente redimensionamento da pena total e reavaliação do regime de cumprimento;</w:t>
      </w:r>
    </w:p>
    <w:p w14:paraId="633B0925" w14:textId="77777777" w:rsidR="00F35C92" w:rsidRDefault="00854B28">
      <w:pPr>
        <w:spacing w:after="80"/>
        <w:ind w:left="850"/>
        <w:jc w:val="both"/>
      </w:pPr>
      <w:r>
        <w:rPr>
          <w:rFonts w:ascii="Arial" w:hAnsi="Arial"/>
          <w:sz w:val="24"/>
        </w:rPr>
        <w:t>d) subsidiariamente, caso mantida a condenação pelo porte de arma, o afastamento das circunstâncias judiciais desfavoráveis fixadas sem fundamentação concreta, com a redução da pena-base ao mínimo legal e a fixação do regime de cumprimento adequado ao quantum resultante;</w:t>
      </w:r>
    </w:p>
    <w:p w14:paraId="6ADAB1EC" w14:textId="77777777" w:rsidR="00F35C92" w:rsidRDefault="00854B28">
      <w:pPr>
        <w:spacing w:after="80"/>
      </w:pPr>
      <w:r>
        <w:rPr>
          <w:rFonts w:ascii="Arial" w:hAnsi="Arial"/>
        </w:rPr>
        <w:t>Por fim, sejam todas as intimações doravante realizadas em nome do advogado Paulo Ekke Moukarzel Junior, inscrito na OAB/SC sob o nº 36.591, sob pena de nulidade (art. 272, §5º, do CPC).</w:t>
      </w:r>
    </w:p>
    <w:p w14:paraId="62E890A3" w14:textId="77777777" w:rsidR="00F35C92" w:rsidRDefault="00854B28">
      <w:pPr>
        <w:spacing w:after="120"/>
        <w:jc w:val="center"/>
      </w:pPr>
      <w:r>
        <w:rPr>
          <w:rFonts w:ascii="Arial" w:hAnsi="Arial"/>
          <w:sz w:val="24"/>
        </w:rPr>
        <w:t>Pede deferimento.</w:t>
      </w:r>
    </w:p>
    <w:p w14:paraId="0F019842" w14:textId="77777777" w:rsidR="00F35C92" w:rsidRDefault="00854B28">
      <w:pPr>
        <w:spacing w:after="120"/>
        <w:jc w:val="center"/>
      </w:pPr>
      <w:r>
        <w:rPr>
          <w:rFonts w:ascii="Arial" w:hAnsi="Arial"/>
          <w:sz w:val="24"/>
        </w:rPr>
        <w:t>Florianópolis, 1 de abril de 2026.</w:t>
      </w:r>
    </w:p>
    <w:p w14:paraId="4B3AC3B0" w14:textId="77777777" w:rsidR="00F35C92" w:rsidRDefault="00854B28">
      <w:pPr>
        <w:spacing w:after="120"/>
        <w:jc w:val="center"/>
      </w:pPr>
      <w:r>
        <w:rPr>
          <w:rFonts w:ascii="Arial" w:hAnsi="Arial"/>
          <w:sz w:val="24"/>
        </w:rPr>
        <w:t>Paulo Ekke Moukarzel Junior</w:t>
      </w:r>
    </w:p>
    <w:p w14:paraId="28721B1E" w14:textId="77777777" w:rsidR="00F35C92" w:rsidRDefault="00854B28">
      <w:pPr>
        <w:spacing w:after="120"/>
        <w:jc w:val="center"/>
      </w:pPr>
      <w:r>
        <w:rPr>
          <w:rFonts w:ascii="Arial" w:hAnsi="Arial"/>
          <w:sz w:val="24"/>
        </w:rPr>
        <w:t>OAB/SC 36.591</w:t>
      </w:r>
    </w:p>
    <w:sectPr w:rsidR="00F35C92" w:rsidSect="00DF5478">
      <w:headerReference w:type="default" r:id="rId8"/>
      <w:footerReference w:type="default" r:id="rId9"/>
      <w:pgSz w:w="11906" w:h="16838"/>
      <w:pgMar w:top="1843" w:right="1416" w:bottom="1418" w:left="1418" w:header="68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1FC06" w14:textId="77777777" w:rsidR="00854B28" w:rsidRDefault="00854B28" w:rsidP="00943258">
      <w:pPr>
        <w:spacing w:after="0" w:line="240" w:lineRule="auto"/>
      </w:pPr>
      <w:r>
        <w:separator/>
      </w:r>
    </w:p>
  </w:endnote>
  <w:endnote w:type="continuationSeparator" w:id="0">
    <w:p w14:paraId="54070E48" w14:textId="77777777" w:rsidR="00854B28" w:rsidRDefault="00854B28" w:rsidP="00943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6"/>
        <w:szCs w:val="16"/>
      </w:rPr>
      <w:id w:val="-147363395"/>
      <w:docPartObj>
        <w:docPartGallery w:val="Page Numbers (Bottom of Page)"/>
        <w:docPartUnique/>
      </w:docPartObj>
    </w:sdtPr>
    <w:sdtEndPr/>
    <w:sdtContent>
      <w:p w14:paraId="409C6DD4" w14:textId="77777777" w:rsidR="00501A18" w:rsidRPr="00501A18" w:rsidRDefault="00B6363E" w:rsidP="00501A18">
        <w:pPr>
          <w:pStyle w:val="Rodap"/>
          <w:ind w:right="-994"/>
          <w:jc w:val="right"/>
          <w:rPr>
            <w:rFonts w:ascii="Arial" w:hAnsi="Arial" w:cs="Arial"/>
            <w:sz w:val="16"/>
            <w:szCs w:val="16"/>
          </w:rPr>
        </w:pPr>
        <w:r>
          <w:rPr>
            <w:noProof/>
          </w:rPr>
          <w:drawing>
            <wp:anchor distT="0" distB="0" distL="114300" distR="114300" simplePos="0" relativeHeight="251658240" behindDoc="1" locked="0" layoutInCell="1" allowOverlap="1" wp14:anchorId="35F5C524" wp14:editId="3098CC79">
              <wp:simplePos x="0" y="0"/>
              <wp:positionH relativeFrom="column">
                <wp:posOffset>1616528</wp:posOffset>
              </wp:positionH>
              <wp:positionV relativeFrom="paragraph">
                <wp:posOffset>34282</wp:posOffset>
              </wp:positionV>
              <wp:extent cx="2628900" cy="156648"/>
              <wp:effectExtent l="0" t="0" r="0" b="0"/>
              <wp:wrapNone/>
              <wp:docPr id="383002963" name="Imagem 383002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28900" cy="156648"/>
                      </a:xfrm>
                      <a:prstGeom prst="rect">
                        <a:avLst/>
                      </a:prstGeom>
                      <a:noFill/>
                      <a:ln>
                        <a:noFill/>
                      </a:ln>
                    </pic:spPr>
                  </pic:pic>
                </a:graphicData>
              </a:graphic>
              <wp14:sizeRelH relativeFrom="page">
                <wp14:pctWidth>0</wp14:pctWidth>
              </wp14:sizeRelH>
              <wp14:sizeRelV relativeFrom="page">
                <wp14:pctHeight>0</wp14:pctHeight>
              </wp14:sizeRelV>
            </wp:anchor>
          </w:drawing>
        </w:r>
        <w:r w:rsidR="00501A18" w:rsidRPr="00501A18">
          <w:rPr>
            <w:rFonts w:ascii="Arial" w:hAnsi="Arial" w:cs="Arial"/>
            <w:sz w:val="16"/>
            <w:szCs w:val="16"/>
          </w:rPr>
          <w:fldChar w:fldCharType="begin"/>
        </w:r>
        <w:r w:rsidR="00501A18" w:rsidRPr="00501A18">
          <w:rPr>
            <w:rFonts w:ascii="Arial" w:hAnsi="Arial" w:cs="Arial"/>
            <w:sz w:val="16"/>
            <w:szCs w:val="16"/>
          </w:rPr>
          <w:instrText>PAGE   \* MERGEFORMAT</w:instrText>
        </w:r>
        <w:r w:rsidR="00501A18" w:rsidRPr="00501A18">
          <w:rPr>
            <w:rFonts w:ascii="Arial" w:hAnsi="Arial" w:cs="Arial"/>
            <w:sz w:val="16"/>
            <w:szCs w:val="16"/>
          </w:rPr>
          <w:fldChar w:fldCharType="separate"/>
        </w:r>
        <w:r w:rsidR="00501A18" w:rsidRPr="00501A18">
          <w:rPr>
            <w:rFonts w:ascii="Arial" w:hAnsi="Arial" w:cs="Arial"/>
            <w:sz w:val="16"/>
            <w:szCs w:val="16"/>
          </w:rPr>
          <w:t>2</w:t>
        </w:r>
        <w:r w:rsidR="00501A18" w:rsidRPr="00501A18">
          <w:rPr>
            <w:rFonts w:ascii="Arial" w:hAnsi="Arial" w:cs="Arial"/>
            <w:sz w:val="16"/>
            <w:szCs w:val="16"/>
          </w:rPr>
          <w:fldChar w:fldCharType="end"/>
        </w:r>
      </w:p>
    </w:sdtContent>
  </w:sdt>
  <w:p w14:paraId="4C2E2F16" w14:textId="77777777" w:rsidR="00501A18" w:rsidRDefault="00924163" w:rsidP="00924163">
    <w:pPr>
      <w:pStyle w:val="Rodap"/>
      <w:tabs>
        <w:tab w:val="clear" w:pos="4252"/>
        <w:tab w:val="clear" w:pos="8504"/>
        <w:tab w:val="left" w:pos="664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472D7" w14:textId="77777777" w:rsidR="00854B28" w:rsidRDefault="00854B28" w:rsidP="00943258">
      <w:pPr>
        <w:spacing w:after="0" w:line="240" w:lineRule="auto"/>
      </w:pPr>
      <w:r>
        <w:separator/>
      </w:r>
    </w:p>
  </w:footnote>
  <w:footnote w:type="continuationSeparator" w:id="0">
    <w:p w14:paraId="3ABF5F28" w14:textId="77777777" w:rsidR="00854B28" w:rsidRDefault="00854B28" w:rsidP="009432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A0CE1" w14:textId="77777777" w:rsidR="00131BEB" w:rsidRDefault="00DF5478" w:rsidP="00FB3A3F">
    <w:pPr>
      <w:pStyle w:val="Cabealho"/>
      <w:tabs>
        <w:tab w:val="clear" w:pos="4252"/>
        <w:tab w:val="clear" w:pos="8504"/>
        <w:tab w:val="left" w:pos="6932"/>
      </w:tabs>
    </w:pPr>
    <w:r>
      <w:rPr>
        <w:noProof/>
      </w:rPr>
      <w:drawing>
        <wp:anchor distT="114300" distB="114300" distL="114300" distR="114300" simplePos="0" relativeHeight="251658241" behindDoc="1" locked="0" layoutInCell="1" hidden="0" allowOverlap="1" wp14:anchorId="04DD837D" wp14:editId="7CFDAE44">
          <wp:simplePos x="0" y="0"/>
          <wp:positionH relativeFrom="page">
            <wp:posOffset>-21361</wp:posOffset>
          </wp:positionH>
          <wp:positionV relativeFrom="page">
            <wp:posOffset>-71063</wp:posOffset>
          </wp:positionV>
          <wp:extent cx="7612446" cy="1100138"/>
          <wp:effectExtent l="0" t="0" r="0" b="0"/>
          <wp:wrapNone/>
          <wp:docPr id="1532676564" name="Imagem 1532676564" descr="Uma imagem contendo Padrão do plano de fundo&#10;&#10;Descrição gerada automaticamente"/>
          <wp:cNvGraphicFramePr/>
          <a:graphic xmlns:a="http://schemas.openxmlformats.org/drawingml/2006/main">
            <a:graphicData uri="http://schemas.openxmlformats.org/drawingml/2006/picture">
              <pic:pic xmlns:pic="http://schemas.openxmlformats.org/drawingml/2006/picture">
                <pic:nvPicPr>
                  <pic:cNvPr id="1" name="image1.png" descr="Uma imagem contendo Padrão do plano de fundo&#10;&#10;Descrição gerada automaticamente"/>
                  <pic:cNvPicPr preferRelativeResize="0"/>
                </pic:nvPicPr>
                <pic:blipFill>
                  <a:blip r:embed="rId1"/>
                  <a:srcRect/>
                  <a:stretch>
                    <a:fillRect/>
                  </a:stretch>
                </pic:blipFill>
                <pic:spPr>
                  <a:xfrm>
                    <a:off x="0" y="0"/>
                    <a:ext cx="7612446" cy="1100138"/>
                  </a:xfrm>
                  <a:prstGeom prst="rect">
                    <a:avLst/>
                  </a:prstGeom>
                  <a:ln/>
                </pic:spPr>
              </pic:pic>
            </a:graphicData>
          </a:graphic>
        </wp:anchor>
      </w:drawing>
    </w:r>
    <w:r w:rsidR="00FB3A3F">
      <w:tab/>
    </w:r>
  </w:p>
  <w:p w14:paraId="502CD719" w14:textId="77777777" w:rsidR="007C36DB" w:rsidRDefault="007C36DB" w:rsidP="00131BEB">
    <w:pPr>
      <w:pStyle w:val="Cabealho"/>
      <w:tabs>
        <w:tab w:val="clear" w:pos="4252"/>
        <w:tab w:val="clear" w:pos="8504"/>
        <w:tab w:val="left" w:pos="2685"/>
      </w:tabs>
    </w:pPr>
  </w:p>
  <w:p w14:paraId="6344BF3C" w14:textId="77777777" w:rsidR="007C36DB" w:rsidRDefault="007C36DB" w:rsidP="007C36DB">
    <w:pPr>
      <w:pStyle w:val="Cabealho"/>
      <w:tabs>
        <w:tab w:val="clear" w:pos="4252"/>
        <w:tab w:val="clear" w:pos="8504"/>
        <w:tab w:val="left" w:pos="6555"/>
      </w:tabs>
    </w:pPr>
  </w:p>
  <w:p w14:paraId="5F6942E0" w14:textId="77777777" w:rsidR="00943258" w:rsidRDefault="007C36DB" w:rsidP="007C36DB">
    <w:pPr>
      <w:pStyle w:val="Cabealho"/>
      <w:tabs>
        <w:tab w:val="clear" w:pos="4252"/>
        <w:tab w:val="clear" w:pos="8504"/>
        <w:tab w:val="left" w:pos="655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72193"/>
    <w:multiLevelType w:val="hybridMultilevel"/>
    <w:tmpl w:val="C0A87132"/>
    <w:lvl w:ilvl="0" w:tplc="2F1E1472">
      <w:start w:val="1"/>
      <w:numFmt w:val="decimal"/>
      <w:pStyle w:val="SemEspaamento"/>
      <w:lvlText w:val="%1."/>
      <w:lvlJc w:val="left"/>
      <w:pPr>
        <w:ind w:left="1778" w:hanging="360"/>
      </w:pPr>
      <w:rPr>
        <w:sz w:val="22"/>
        <w:szCs w:val="20"/>
        <w:specVanish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 w15:restartNumberingAfterBreak="0">
    <w:nsid w:val="257E08C7"/>
    <w:multiLevelType w:val="hybridMultilevel"/>
    <w:tmpl w:val="829E63FE"/>
    <w:lvl w:ilvl="0" w:tplc="8CC4DE52">
      <w:start w:val="1"/>
      <w:numFmt w:val="lowerLetter"/>
      <w:lvlText w:val="%1)"/>
      <w:lvlJc w:val="left"/>
      <w:pPr>
        <w:ind w:left="1778" w:hanging="360"/>
      </w:pPr>
      <w:rPr>
        <w:rFonts w:hint="default"/>
        <w:b/>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num w:numId="1" w16cid:durableId="926309199">
    <w:abstractNumId w:val="0"/>
  </w:num>
  <w:num w:numId="2" w16cid:durableId="806433346">
    <w:abstractNumId w:val="1"/>
  </w:num>
  <w:num w:numId="3" w16cid:durableId="935942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E3A"/>
    <w:rsid w:val="00003F31"/>
    <w:rsid w:val="00015996"/>
    <w:rsid w:val="000169F1"/>
    <w:rsid w:val="0004298B"/>
    <w:rsid w:val="0006153D"/>
    <w:rsid w:val="00094A3E"/>
    <w:rsid w:val="00097661"/>
    <w:rsid w:val="000D228C"/>
    <w:rsid w:val="001279B4"/>
    <w:rsid w:val="00131BEB"/>
    <w:rsid w:val="001667B0"/>
    <w:rsid w:val="001761C0"/>
    <w:rsid w:val="00183BE2"/>
    <w:rsid w:val="001B2B98"/>
    <w:rsid w:val="001B2E75"/>
    <w:rsid w:val="001B575C"/>
    <w:rsid w:val="001F27BA"/>
    <w:rsid w:val="0020091E"/>
    <w:rsid w:val="00201F45"/>
    <w:rsid w:val="00207BE4"/>
    <w:rsid w:val="00214E09"/>
    <w:rsid w:val="00216DBF"/>
    <w:rsid w:val="00230A9D"/>
    <w:rsid w:val="002355AE"/>
    <w:rsid w:val="00272BFB"/>
    <w:rsid w:val="002913BB"/>
    <w:rsid w:val="00291F6C"/>
    <w:rsid w:val="002C3E70"/>
    <w:rsid w:val="00340D8C"/>
    <w:rsid w:val="003522CB"/>
    <w:rsid w:val="00362CE6"/>
    <w:rsid w:val="003739E5"/>
    <w:rsid w:val="00376893"/>
    <w:rsid w:val="00377A2E"/>
    <w:rsid w:val="003801CD"/>
    <w:rsid w:val="00385870"/>
    <w:rsid w:val="00397F38"/>
    <w:rsid w:val="003A2274"/>
    <w:rsid w:val="003B7EC6"/>
    <w:rsid w:val="003E46B9"/>
    <w:rsid w:val="00432AA5"/>
    <w:rsid w:val="00447D3B"/>
    <w:rsid w:val="004949AD"/>
    <w:rsid w:val="004F258A"/>
    <w:rsid w:val="004F2B78"/>
    <w:rsid w:val="004F384D"/>
    <w:rsid w:val="004F515A"/>
    <w:rsid w:val="00501A18"/>
    <w:rsid w:val="005321DA"/>
    <w:rsid w:val="0056162A"/>
    <w:rsid w:val="005658D5"/>
    <w:rsid w:val="005B67EA"/>
    <w:rsid w:val="005D4CA8"/>
    <w:rsid w:val="005E58E2"/>
    <w:rsid w:val="005F4F82"/>
    <w:rsid w:val="00630B17"/>
    <w:rsid w:val="00673228"/>
    <w:rsid w:val="006814E8"/>
    <w:rsid w:val="00693F8B"/>
    <w:rsid w:val="00696295"/>
    <w:rsid w:val="006A5E3A"/>
    <w:rsid w:val="006C0DFC"/>
    <w:rsid w:val="006D30FB"/>
    <w:rsid w:val="006D5227"/>
    <w:rsid w:val="006E7428"/>
    <w:rsid w:val="00722DF5"/>
    <w:rsid w:val="00742948"/>
    <w:rsid w:val="00795616"/>
    <w:rsid w:val="007971DF"/>
    <w:rsid w:val="00797900"/>
    <w:rsid w:val="007C36DB"/>
    <w:rsid w:val="007E6924"/>
    <w:rsid w:val="00810D34"/>
    <w:rsid w:val="00854B28"/>
    <w:rsid w:val="00872B47"/>
    <w:rsid w:val="008A0012"/>
    <w:rsid w:val="008C07EE"/>
    <w:rsid w:val="008D0C01"/>
    <w:rsid w:val="008E31FF"/>
    <w:rsid w:val="008E377D"/>
    <w:rsid w:val="008E6D25"/>
    <w:rsid w:val="008F2218"/>
    <w:rsid w:val="008F53CE"/>
    <w:rsid w:val="008F7B29"/>
    <w:rsid w:val="0090226D"/>
    <w:rsid w:val="0091687F"/>
    <w:rsid w:val="00924163"/>
    <w:rsid w:val="00943258"/>
    <w:rsid w:val="00951107"/>
    <w:rsid w:val="00A049FC"/>
    <w:rsid w:val="00A11C25"/>
    <w:rsid w:val="00A501B7"/>
    <w:rsid w:val="00A909D8"/>
    <w:rsid w:val="00A91FE9"/>
    <w:rsid w:val="00AA4147"/>
    <w:rsid w:val="00AB4E2E"/>
    <w:rsid w:val="00B14A81"/>
    <w:rsid w:val="00B22C2D"/>
    <w:rsid w:val="00B6363E"/>
    <w:rsid w:val="00B65B00"/>
    <w:rsid w:val="00B84CD0"/>
    <w:rsid w:val="00BA0903"/>
    <w:rsid w:val="00BA2544"/>
    <w:rsid w:val="00BC112E"/>
    <w:rsid w:val="00BE4529"/>
    <w:rsid w:val="00BF33E9"/>
    <w:rsid w:val="00C03B4C"/>
    <w:rsid w:val="00C0456B"/>
    <w:rsid w:val="00C0614C"/>
    <w:rsid w:val="00C2697A"/>
    <w:rsid w:val="00CB5FC5"/>
    <w:rsid w:val="00CC0032"/>
    <w:rsid w:val="00CC58BC"/>
    <w:rsid w:val="00CE1764"/>
    <w:rsid w:val="00D32740"/>
    <w:rsid w:val="00D4792A"/>
    <w:rsid w:val="00D579F1"/>
    <w:rsid w:val="00D70001"/>
    <w:rsid w:val="00DE0162"/>
    <w:rsid w:val="00DE0552"/>
    <w:rsid w:val="00DE322C"/>
    <w:rsid w:val="00DF5478"/>
    <w:rsid w:val="00E05790"/>
    <w:rsid w:val="00E215A1"/>
    <w:rsid w:val="00E245B6"/>
    <w:rsid w:val="00E90D7C"/>
    <w:rsid w:val="00E90F3C"/>
    <w:rsid w:val="00E968BB"/>
    <w:rsid w:val="00EB4346"/>
    <w:rsid w:val="00EC7F5D"/>
    <w:rsid w:val="00EE3903"/>
    <w:rsid w:val="00F11B2C"/>
    <w:rsid w:val="00F16F14"/>
    <w:rsid w:val="00F22B73"/>
    <w:rsid w:val="00F35C92"/>
    <w:rsid w:val="00F50F62"/>
    <w:rsid w:val="00FB3A3F"/>
    <w:rsid w:val="00FC63C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E69751"/>
  <w15:chartTrackingRefBased/>
  <w15:docId w15:val="{5A1A6A11-6E1C-4696-8CE2-E0104EEEB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9F1"/>
  </w:style>
  <w:style w:type="paragraph" w:styleId="Ttulo2">
    <w:name w:val="heading 2"/>
    <w:aliases w:val="citação"/>
    <w:basedOn w:val="Normal"/>
    <w:next w:val="Normal"/>
    <w:link w:val="Ttulo2Char"/>
    <w:uiPriority w:val="9"/>
    <w:unhideWhenUsed/>
    <w:qFormat/>
    <w:rsid w:val="00501A18"/>
    <w:pPr>
      <w:spacing w:after="0" w:line="240" w:lineRule="auto"/>
      <w:ind w:left="1418"/>
      <w:jc w:val="both"/>
      <w:outlineLvl w:val="1"/>
    </w:pPr>
    <w:rPr>
      <w:rFonts w:ascii="Arial" w:eastAsia="Times New Roman" w:hAnsi="Arial" w:cs="Times New Roma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4325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43258"/>
  </w:style>
  <w:style w:type="paragraph" w:styleId="Rodap">
    <w:name w:val="footer"/>
    <w:basedOn w:val="Normal"/>
    <w:link w:val="RodapChar"/>
    <w:uiPriority w:val="99"/>
    <w:unhideWhenUsed/>
    <w:rsid w:val="00943258"/>
    <w:pPr>
      <w:tabs>
        <w:tab w:val="center" w:pos="4252"/>
        <w:tab w:val="right" w:pos="8504"/>
      </w:tabs>
      <w:spacing w:after="0" w:line="240" w:lineRule="auto"/>
    </w:pPr>
  </w:style>
  <w:style w:type="character" w:customStyle="1" w:styleId="RodapChar">
    <w:name w:val="Rodapé Char"/>
    <w:basedOn w:val="Fontepargpadro"/>
    <w:link w:val="Rodap"/>
    <w:uiPriority w:val="99"/>
    <w:rsid w:val="00943258"/>
  </w:style>
  <w:style w:type="character" w:customStyle="1" w:styleId="Ttulo2Char">
    <w:name w:val="Título 2 Char"/>
    <w:aliases w:val="citação Char"/>
    <w:basedOn w:val="Fontepargpadro"/>
    <w:link w:val="Ttulo2"/>
    <w:uiPriority w:val="9"/>
    <w:rsid w:val="00501A18"/>
    <w:rPr>
      <w:rFonts w:ascii="Arial" w:eastAsia="Times New Roman" w:hAnsi="Arial" w:cs="Times New Roman"/>
    </w:rPr>
  </w:style>
  <w:style w:type="paragraph" w:customStyle="1" w:styleId="Qualificaodaspartes">
    <w:name w:val="Qualificação das partes"/>
    <w:basedOn w:val="Normal"/>
    <w:qFormat/>
    <w:rsid w:val="00501A18"/>
    <w:pPr>
      <w:spacing w:after="0" w:line="288" w:lineRule="auto"/>
      <w:ind w:firstLine="1985"/>
      <w:contextualSpacing/>
      <w:jc w:val="both"/>
    </w:pPr>
    <w:rPr>
      <w:rFonts w:ascii="Arial" w:hAnsi="Arial" w:cs="Arial"/>
      <w:bCs/>
      <w:sz w:val="24"/>
    </w:rPr>
  </w:style>
  <w:style w:type="paragraph" w:styleId="Ttulo">
    <w:name w:val="Title"/>
    <w:aliases w:val="Tópico novo"/>
    <w:basedOn w:val="Normal"/>
    <w:next w:val="Normal"/>
    <w:link w:val="TtuloChar"/>
    <w:uiPriority w:val="10"/>
    <w:qFormat/>
    <w:rsid w:val="00BC112E"/>
    <w:pPr>
      <w:spacing w:after="0" w:line="360" w:lineRule="auto"/>
      <w:contextualSpacing/>
      <w:jc w:val="both"/>
    </w:pPr>
    <w:rPr>
      <w:rFonts w:ascii="Arial" w:eastAsia="Calibri" w:hAnsi="Arial" w:cs="Times New Roman"/>
      <w:b/>
      <w:color w:val="4472C4" w:themeColor="accent1"/>
      <w:szCs w:val="24"/>
    </w:rPr>
  </w:style>
  <w:style w:type="character" w:customStyle="1" w:styleId="TtuloChar">
    <w:name w:val="Título Char"/>
    <w:aliases w:val="Tópico novo Char"/>
    <w:basedOn w:val="Fontepargpadro"/>
    <w:link w:val="Ttulo"/>
    <w:uiPriority w:val="10"/>
    <w:rsid w:val="00BC112E"/>
    <w:rPr>
      <w:rFonts w:ascii="Arial" w:eastAsia="Calibri" w:hAnsi="Arial" w:cs="Times New Roman"/>
      <w:b/>
      <w:color w:val="4472C4" w:themeColor="accent1"/>
      <w:szCs w:val="24"/>
    </w:rPr>
  </w:style>
  <w:style w:type="paragraph" w:styleId="SemEspaamento">
    <w:name w:val="No Spacing"/>
    <w:aliases w:val="Texto numerado,Formatação padrão"/>
    <w:basedOn w:val="Normal"/>
    <w:uiPriority w:val="1"/>
    <w:qFormat/>
    <w:rsid w:val="00501A18"/>
    <w:pPr>
      <w:numPr>
        <w:numId w:val="1"/>
      </w:numPr>
      <w:spacing w:after="0" w:line="360" w:lineRule="auto"/>
      <w:ind w:left="0" w:firstLine="1701"/>
      <w:jc w:val="both"/>
    </w:pPr>
    <w:rPr>
      <w:rFonts w:ascii="Arial" w:hAnsi="Arial" w:cs="Arial"/>
      <w:sz w:val="24"/>
    </w:rPr>
  </w:style>
  <w:style w:type="paragraph" w:customStyle="1" w:styleId="Destino">
    <w:name w:val="Destino"/>
    <w:basedOn w:val="Normal"/>
    <w:next w:val="Qualificao"/>
    <w:rsid w:val="008F53CE"/>
    <w:pPr>
      <w:spacing w:before="240" w:after="0" w:line="240" w:lineRule="auto"/>
    </w:pPr>
    <w:rPr>
      <w:rFonts w:ascii="Arial" w:eastAsia="Times New Roman" w:hAnsi="Arial" w:cs="Times New Roman"/>
      <w:caps/>
      <w:sz w:val="26"/>
    </w:rPr>
  </w:style>
  <w:style w:type="paragraph" w:customStyle="1" w:styleId="Qualificao">
    <w:name w:val="Qualificação"/>
    <w:basedOn w:val="Normal"/>
    <w:rsid w:val="008F53CE"/>
    <w:pPr>
      <w:spacing w:before="240" w:after="0" w:line="240" w:lineRule="auto"/>
      <w:ind w:left="1077"/>
    </w:pPr>
    <w:rPr>
      <w:rFonts w:ascii="Arial" w:eastAsia="Times New Roman" w:hAnsi="Arial" w:cs="Times New Roman"/>
      <w:b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92CE7-E5FC-4809-B39D-26360A98E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10</Pages>
  <Words>3076</Words>
  <Characters>16643</Characters>
  <Application>Microsoft Office Word</Application>
  <DocSecurity>0</DocSecurity>
  <Lines>302</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Cliente: MARCIO KLAUS MORAIS</dc:subject>
  <dc:creator>Paulo Ekke Moukarzel Junior</dc:creator>
  <cp:keywords/>
  <dc:description/>
  <cp:lastModifiedBy>Paulo Ekke Moukarzel Junior</cp:lastModifiedBy>
  <cp:revision>55</cp:revision>
  <cp:lastPrinted>2022-07-18T22:35:00Z</cp:lastPrinted>
  <dcterms:created xsi:type="dcterms:W3CDTF">2026-03-26T19:31:00Z</dcterms:created>
  <dcterms:modified xsi:type="dcterms:W3CDTF">2026-04-02T15:17:00Z</dcterms:modified>
</cp:coreProperties>
</file>