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080"/>
        <w:jc w:val="both"/>
      </w:pPr>
      <w:r>
        <w:rPr>
          <w:rFonts w:ascii="Arial" w:hAnsi="Arial"/>
          <w:sz w:val="24"/>
        </w:rPr>
        <w:t>EXCELENTÍSSIMO SENHOR DESEMBARGADOR PRESIDENTE DO TRIBUNAL DE JUSTIÇA DO ESTADO DE SANTA CATARINA</w:t>
      </w:r>
    </w:p>
    <w:p>
      <w:pPr>
        <w:spacing w:after="720"/>
        <w:jc w:val="left"/>
      </w:pPr>
      <w:r>
        <w:rPr>
          <w:rFonts w:ascii="Arial" w:hAnsi="Arial"/>
          <w:b w:val="0"/>
          <w:i w:val="0"/>
          <w:sz w:val="22"/>
        </w:rPr>
        <w:t>Autos n. 5000933-70.2023.8.24.0022</w:t>
      </w:r>
    </w:p>
    <w:p>
      <w:pPr>
        <w:pStyle w:val="Qualificaodaspartes"/>
        <w:spacing w:after="240"/>
      </w:pPr>
      <w:r>
        <w:rPr>
          <w:rFonts w:ascii="Arial" w:hAnsi="Arial"/>
          <w:b w:val="0"/>
          <w:i w:val="0"/>
          <w:sz w:val="24"/>
        </w:rPr>
        <w:t>MÁRCIO KLAUS MORAIS, brasileiro, portador do CPF n. 008.293.139-90, já qualificado nos autos dos embargos de declaração na apelação criminal n. 5000933-70.2023.8.24.0022, em que é embargado o MINISTÉRIO PÚBLICO DO ESTADO DE SANTA CATARINA, vem, respeitosamente, à elevada presença de Vossa Excelência, por seu advogado abaixo signatário, interpor RECURSO EXTRAORDINÁRIO, com fundamento no art. 102, III, alínea "a", da Constituição Federal, em face dos acórdãos proferidos nos eventos 22 e 46, pelas razões de fato e de direito a seguir expostas.</w:t>
      </w:r>
    </w:p>
    <w:p>
      <w:pPr>
        <w:spacing w:after="80"/>
        <w:jc w:val="left"/>
      </w:pPr>
      <w:r>
        <w:rPr>
          <w:rFonts w:ascii="Arial" w:hAnsi="Arial"/>
          <w:b w:val="0"/>
          <w:i w:val="0"/>
          <w:sz w:val="22"/>
        </w:rPr>
        <w:t>Requer, regularmente processado, seja o presente reclamo admitido por Vossa Excelência, com a consequente remessa ao Egrégio Supremo Tribunal Federal.</w:t>
      </w:r>
    </w:p>
    <w:p>
      <w:pPr>
        <w:spacing w:after="0"/>
      </w:pPr>
    </w:p>
    <w:p>
      <w:pPr>
        <w:spacing w:before="0" w:after="120"/>
        <w:jc w:val="center"/>
      </w:pPr>
      <w:r>
        <w:rPr>
          <w:rFonts w:ascii="Arial" w:hAnsi="Arial"/>
          <w:b w:val="0"/>
          <w:i w:val="0"/>
          <w:sz w:val="24"/>
        </w:rPr>
        <w:t>Pede deferimento.</w:t>
      </w:r>
    </w:p>
    <w:p>
      <w:pPr>
        <w:spacing w:before="0" w:after="120"/>
        <w:jc w:val="center"/>
      </w:pPr>
      <w:r>
        <w:rPr>
          <w:rFonts w:ascii="Arial" w:hAnsi="Arial"/>
          <w:b w:val="0"/>
          <w:i w:val="0"/>
          <w:sz w:val="24"/>
        </w:rPr>
        <w:t>Florianópolis, 2 de abril de 2026.</w:t>
      </w:r>
    </w:p>
    <w:p>
      <w:pPr>
        <w:spacing w:after="0"/>
      </w:pPr>
    </w:p>
    <w:p>
      <w:pPr>
        <w:spacing w:before="0" w:after="120"/>
        <w:jc w:val="center"/>
      </w:pPr>
      <w:r>
        <w:rPr>
          <w:rFonts w:ascii="Arial" w:hAnsi="Arial"/>
          <w:b w:val="0"/>
          <w:i w:val="0"/>
          <w:sz w:val="24"/>
        </w:rPr>
        <w:t>Paulo Ekke Moukarzel Junior</w:t>
      </w:r>
    </w:p>
    <w:p>
      <w:pPr>
        <w:spacing w:before="0" w:after="120"/>
        <w:jc w:val="center"/>
      </w:pPr>
      <w:r>
        <w:rPr>
          <w:rFonts w:ascii="Arial" w:hAnsi="Arial"/>
          <w:b w:val="0"/>
          <w:i w:val="0"/>
          <w:sz w:val="24"/>
        </w:rPr>
        <w:t>OAB/SC 36.591</w:t>
      </w:r>
    </w:p>
    <w:p>
      <w:pPr>
        <w:spacing w:after="0"/>
      </w:pPr>
    </w:p>
    <w:p>
      <w:pPr>
        <w:pageBreakBefore/>
        <w:spacing w:after="0"/>
      </w:pPr>
      <w:r>
        <w:rPr>
          <w:rFonts w:ascii="Arial" w:hAnsi="Arial"/>
          <w:b w:val="0"/>
          <w:i w:val="0"/>
          <w:sz w:val="22"/>
        </w:rPr>
        <w:t>RE n. 5000933-70.2023.8.24.0022.</w:t>
      </w:r>
    </w:p>
    <w:p>
      <w:pPr>
        <w:spacing w:after="80"/>
        <w:jc w:val="left"/>
      </w:pPr>
      <w:r>
        <w:rPr>
          <w:rFonts w:ascii="Arial" w:hAnsi="Arial"/>
          <w:b w:val="0"/>
          <w:i w:val="0"/>
          <w:sz w:val="22"/>
        </w:rPr>
        <w:t>Recorrente: Márcio Klaus Morais.</w:t>
      </w:r>
    </w:p>
    <w:p>
      <w:pPr>
        <w:spacing w:after="80"/>
        <w:jc w:val="left"/>
      </w:pPr>
      <w:r>
        <w:rPr>
          <w:rFonts w:ascii="Arial" w:hAnsi="Arial"/>
          <w:b w:val="0"/>
          <w:i w:val="0"/>
          <w:sz w:val="22"/>
        </w:rPr>
        <w:t>Recorrido: Ministério Público do Estado de Santa Catarina.</w:t>
      </w:r>
    </w:p>
    <w:p>
      <w:pPr>
        <w:spacing w:before="360" w:after="120"/>
        <w:jc w:val="center"/>
      </w:pPr>
      <w:r>
        <w:rPr>
          <w:rFonts w:ascii="Arial" w:hAnsi="Arial"/>
          <w:b w:val="0"/>
          <w:i/>
          <w:sz w:val="26"/>
        </w:rPr>
        <w:t>RAZÕES RECURSAIS</w:t>
      </w:r>
    </w:p>
    <w:p>
      <w:pPr>
        <w:spacing w:before="0" w:after="120"/>
        <w:jc w:val="center"/>
      </w:pPr>
      <w:r>
        <w:rPr>
          <w:rFonts w:ascii="Arial" w:hAnsi="Arial"/>
          <w:b/>
          <w:sz w:val="26"/>
        </w:rPr>
        <w:t>EGRÉGIO SUPREMO TRIBUNAL FEDERAL</w:t>
      </w:r>
    </w:p>
    <w:p>
      <w:pPr>
        <w:spacing w:before="0" w:after="120"/>
        <w:jc w:val="center"/>
      </w:pPr>
      <w:r>
        <w:rPr>
          <w:rFonts w:ascii="Arial" w:hAnsi="Arial"/>
          <w:b/>
          <w:sz w:val="26"/>
        </w:rPr>
        <w:t>COLENDA TURMA</w:t>
      </w:r>
    </w:p>
    <w:p>
      <w:pPr>
        <w:spacing w:before="0" w:after="120"/>
        <w:jc w:val="center"/>
      </w:pPr>
      <w:r>
        <w:rPr>
          <w:rFonts w:ascii="Arial" w:hAnsi="Arial"/>
          <w:b/>
          <w:sz w:val="26"/>
        </w:rPr>
        <w:t>EMINENTES MINISTROS</w:t>
      </w:r>
    </w:p>
    <w:p>
      <w:pPr>
        <w:pStyle w:val="Ttulo"/>
        <w:spacing w:before="240" w:after="120"/>
      </w:pPr>
      <w:r>
        <w:rPr>
          <w:rFonts w:ascii="Arial" w:hAnsi="Arial"/>
        </w:rPr>
        <w:t>I – SÍNTESE DA DEMANDA</w:t>
      </w:r>
    </w:p>
    <w:p>
      <w:pPr>
        <w:pStyle w:val="SemEspaamento"/>
      </w:pPr>
      <w:r>
        <w:rPr>
          <w:rFonts w:ascii="Arial" w:hAnsi="Arial"/>
          <w:b w:val="0"/>
          <w:i w:val="0"/>
          <w:sz w:val="24"/>
        </w:rPr>
        <w:t>O recorrente foi denunciado pela suposta prática dos crimes de porte ilegal de arma de fogo com numeração suprimida (art. 16, §1º, IV, da Lei n. 10.826/03), desobediência, por duas vezes (art. 330 do Código Penal), e direção perigosa (art. 311 do Código de Trânsito Brasileiro), nos autos da ação penal n. 5000933-70.2023.8.24.0022.</w:t>
      </w:r>
    </w:p>
    <w:p>
      <w:pPr>
        <w:pStyle w:val="SemEspaamento"/>
      </w:pPr>
      <w:r>
        <w:rPr>
          <w:rFonts w:ascii="Arial" w:hAnsi="Arial"/>
          <w:b w:val="0"/>
          <w:i w:val="0"/>
          <w:sz w:val="24"/>
        </w:rPr>
        <w:t>Instruído o feito, sobreveio sentença que condenou o recorrente à pena de [PENA TOTAL], em regime semiaberto, reconhecida a reincidência.</w:t>
      </w:r>
    </w:p>
    <w:p>
      <w:pPr>
        <w:pStyle w:val="SemEspaamento"/>
      </w:pPr>
      <w:r>
        <w:rPr>
          <w:rFonts w:ascii="Arial" w:hAnsi="Arial"/>
          <w:b w:val="0"/>
          <w:i w:val="0"/>
          <w:sz w:val="24"/>
        </w:rPr>
        <w:t>Irresignado, o recorrente interpôs recurso de apelação, oportunidade em que demonstrou a impossibilidade de condenação pelo crime de porte ilegal de arma de fogo em razão da absoluta falta de provas de autoria delitiva, na medida em que nenhuma testemunha ouvida em juízo viu o recorrente portando ou descartando a arma de fogo, os policiais militares não encontraram armamento com o recorrente ou em seu veículo, e a arma foi encontrada em via pública, podendo pertencer a qualquer pessoa. Além disso, o recorrente sustentou que a condenação se alicerçou exclusivamente em relatos indiretos de "populares" que não foram ouvidos nos autos e em confissão extrajudicial retratada em juízo, o que configura violação direta ao standard probatório mínimo exigido pela presunção de inocência.</w:t>
      </w:r>
    </w:p>
    <w:p>
      <w:pPr>
        <w:pStyle w:val="SemEspaamento"/>
      </w:pPr>
      <w:r>
        <w:rPr>
          <w:rFonts w:ascii="Arial" w:hAnsi="Arial"/>
          <w:b w:val="0"/>
          <w:i w:val="0"/>
          <w:sz w:val="24"/>
        </w:rPr>
        <w:t>Contudo, sobreveio o acórdão do evento 22, que negou provimento à apelação. Em síntese, o acórdão recorrido sustentou que a autoria do crime de porte ilegal de arma de fogo estaria comprovada pelos "depoimentos firmes e coerentes dos policiais militares", que relataram a fuga do recorrente após ordem de parada, a indicação de populares sobre o descarte da arma e a localização do armamento no ponto indicado, acrescentando que ambos teriam confirmado que o recorrente reconheceu ser proprietário da arma. No mesmo sentido, o decisum afirmou existir confissão extrajudicial do recorrente, admitindo portar a arma por alegadas ameaças, e concluiu que "a prova em relação a todos os delitos é suficiente, harmônica e coerente, e foi corroborada por elementos materiais e confissão extrajudicial do apelante, ainda que tenha sido parcial e retratada em juízo" (evento 22, p. 6). Quanto à técnica decisória, o aresto utilizou trechos da sentença recorrida como razões de decidir, sem enfrentar as teses jurídicas centrais da apelação sobre a natureza indireta das provas e a insuficiência da confissão retratada.</w:t>
      </w:r>
    </w:p>
    <w:p>
      <w:pPr>
        <w:pStyle w:val="SemEspaamento"/>
      </w:pPr>
      <w:r>
        <w:rPr>
          <w:rFonts w:ascii="Arial" w:hAnsi="Arial"/>
          <w:b w:val="0"/>
          <w:i w:val="0"/>
          <w:sz w:val="24"/>
        </w:rPr>
        <w:t>Diante desse contexto, foram opostos embargos de declaração (evento 29) para que fossem sanadas as omissões relativas às teses recursais sobre a falta de prova direta de autoria, o testemunho indireto (hearsay), a confissão retratada e a violação aos dispositivos constitucionais invocados, além de prequestionar os arts. 5º, LVII, LIV, LV, e 93, IX, da Constituição Federal.</w:t>
      </w:r>
    </w:p>
    <w:p>
      <w:pPr>
        <w:pStyle w:val="SemEspaamento"/>
      </w:pPr>
      <w:r>
        <w:rPr>
          <w:rFonts w:ascii="Arial" w:hAnsi="Arial"/>
          <w:b w:val="0"/>
          <w:i w:val="0"/>
          <w:sz w:val="24"/>
        </w:rPr>
        <w:t>Ocorre, no entanto, que os embargos de declaração foram rejeitados (evento 46), ao fundamento de que os argumentos levantados revelariam "mero inconformismo da parte que, novamente, pretende a rediscussão da matéria" e que "o julgador não está obrigado a analisar todos os argumentos expendidos pelas partes quando motiva seu decisum de modo a afastar, por consequência, aquelas alegações" (evento 46).</w:t>
      </w:r>
    </w:p>
    <w:p>
      <w:pPr>
        <w:pStyle w:val="SemEspaamento"/>
      </w:pPr>
      <w:r>
        <w:rPr>
          <w:rFonts w:ascii="Arial" w:hAnsi="Arial"/>
          <w:b w:val="0"/>
          <w:i w:val="0"/>
          <w:sz w:val="24"/>
        </w:rPr>
        <w:t>Como se demonstrará a seguir, nenhum desses fundamentos resiste ao confronto com os elementos dos autos.</w:t>
      </w:r>
    </w:p>
    <w:p>
      <w:pPr>
        <w:pStyle w:val="Ttulo"/>
        <w:spacing w:before="240" w:after="120"/>
      </w:pPr>
      <w:r>
        <w:rPr>
          <w:rFonts w:ascii="Arial" w:hAnsi="Arial"/>
        </w:rPr>
        <w:t>II – DO CABIMENTO DO RECURSO EXTRAORDINÁRIO, ANTE A INFRINGÊNCIA DIRETA DOS ARESTOS RECORRIDOS A DISPOSITIVOS CONSTITUCIONAIS</w:t>
      </w:r>
    </w:p>
    <w:p>
      <w:pPr>
        <w:pStyle w:val="SemEspaamento"/>
      </w:pPr>
      <w:r>
        <w:rPr>
          <w:rFonts w:ascii="Arial" w:hAnsi="Arial"/>
          <w:b w:val="0"/>
          <w:i w:val="0"/>
          <w:sz w:val="24"/>
        </w:rPr>
        <w:t>O presente recurso extraordinário encontra amparo no art. 102, III, alínea "a", da Constituição Federal, uma vez que é manifesta a contrariedade aos arts. 5º, LVII, LIV, LV, e 93, IX, da CF/88.</w:t>
      </w:r>
    </w:p>
    <w:p>
      <w:pPr>
        <w:pStyle w:val="SemEspaamento"/>
      </w:pPr>
      <w:r>
        <w:rPr>
          <w:rFonts w:ascii="Arial" w:hAnsi="Arial"/>
          <w:b w:val="0"/>
          <w:i w:val="0"/>
          <w:sz w:val="24"/>
        </w:rPr>
        <w:t>O recorrente ressalta, desde já, que os dispositivos constitucionais violados foram prequestionados nos acórdãos recorridos (eventos 22 e 46), tendo sido expressamente invocados nos embargos de declaração opostos (evento 29) e enfrentados no acórdão que os rejeitou (evento 46). Vale registrar, ademais, que o art. 1.025 do CPC passou a admitir o prequestionamento ficto, de modo que os dispositivos suscitados nos aclaratórios consideram-se incluídos no acórdão, independentemente de manifestação expressa.</w:t>
      </w:r>
    </w:p>
    <w:p>
      <w:pPr>
        <w:pStyle w:val="SemEspaamento"/>
      </w:pPr>
      <w:r>
        <w:rPr>
          <w:rFonts w:ascii="Arial" w:hAnsi="Arial"/>
          <w:b w:val="0"/>
          <w:i w:val="0"/>
          <w:sz w:val="24"/>
        </w:rPr>
        <w:t>No mais, as questões trazidas neste recurso estão amparadas nos elementos utilizados pelos acórdãos hostilizados para concluir pela condenação e foram destacadas nas razões dos embargos de declaração opostos, dispensando o revolvimento fático-probatório, pois se referem a matéria eminentemente de direito constitucional, qual seja, a verificação do standard probatório mínimo para condenação criminal à luz da presunção de inocência e o cumprimento do dever constitucional de fundamentação das decisões judiciais.</w:t>
      </w:r>
    </w:p>
    <w:p>
      <w:pPr>
        <w:pStyle w:val="SemEspaamento"/>
      </w:pPr>
      <w:r>
        <w:rPr>
          <w:rFonts w:ascii="Arial" w:hAnsi="Arial"/>
          <w:b w:val="0"/>
          <w:i w:val="0"/>
          <w:sz w:val="24"/>
        </w:rPr>
        <w:t>Desse modo, uma vez presentes os requisitos autorizadores, é de ser conhecido e admitido o presente recurso.</w:t>
      </w:r>
    </w:p>
    <w:p>
      <w:pPr>
        <w:pStyle w:val="Ttulo"/>
        <w:spacing w:before="240" w:after="120"/>
      </w:pPr>
      <w:r>
        <w:rPr>
          <w:rFonts w:ascii="Arial" w:hAnsi="Arial"/>
        </w:rPr>
        <w:t>III – REPERCUSSÃO GERAL (CF, ART. 102, §3º)</w:t>
      </w:r>
    </w:p>
    <w:p>
      <w:pPr>
        <w:pStyle w:val="SemEspaamento"/>
      </w:pPr>
      <w:r>
        <w:rPr>
          <w:rFonts w:ascii="Arial" w:hAnsi="Arial"/>
          <w:b w:val="0"/>
          <w:i w:val="0"/>
          <w:sz w:val="24"/>
        </w:rPr>
        <w:t>Excelência, as questões debatidas neste recurso são de indiscutível interesse social, jurídico, político e econômico (CF, art. 102, §3º), sobretudo por se tratar de processo penal em que a condenação pelo crime mais grave imputado ao recorrente — porte ilegal de arma de fogo com numeração suprimida — se alicerçaria exclusivamente em prova indireta, a saber, relato de "populares" não ouvidos em juízo e confissão extrajudicial retratada, sem que qualquer testemunha tivesse presenciado o recorrente portando ou descartando a arma.</w:t>
      </w:r>
    </w:p>
    <w:p>
      <w:pPr>
        <w:pStyle w:val="SemEspaamento"/>
      </w:pPr>
      <w:r>
        <w:rPr>
          <w:rFonts w:ascii="Arial" w:hAnsi="Arial"/>
          <w:b w:val="0"/>
          <w:i w:val="0"/>
          <w:sz w:val="24"/>
        </w:rPr>
        <w:t>A questão constitucional que se impõe ultrapassa o interesse individual do recorrente: a definição do standard probatório mínimo para condenação criminal, enquanto desdobramento da presunção de inocência como regra de julgamento (art. 5º, LVII, da CF), é tema que interessa a todo jurisdicionado, na medida em que fixa o patamar de exigência probatória abaixo do qual o Estado não pode exercer o poder punitivo. Admitir que o Poder Judiciário condene com base exclusiva em depoimento indireto e confissão não confirmada em juízo é rebaixar o standard probatório a um nível incompatível com o Estado Democrático de Direito, com reflexos diretos sobre a segurança jurídica e a liberdade individual de milhares de cidadãos em situação análoga.</w:t>
      </w:r>
    </w:p>
    <w:p>
      <w:pPr>
        <w:pStyle w:val="SemEspaamento"/>
      </w:pPr>
      <w:r>
        <w:rPr>
          <w:rFonts w:ascii="Arial" w:hAnsi="Arial"/>
          <w:b w:val="0"/>
          <w:i w:val="0"/>
          <w:sz w:val="24"/>
        </w:rPr>
        <w:t>Aliás, quanto à ausência de fundamentação sobre as teses levantadas pelas partes, essa Colenda Suprema Corte já reconheceu a existência de repercussão geral no RE n. 719.870 e concluiu pela ocorrência de violação ao art. 93, IX, da CF quando a decisão judicial não enfrenta os fundamentos relevantes suscitados pelas partes.</w:t>
      </w:r>
    </w:p>
    <w:p>
      <w:pPr>
        <w:pStyle w:val="SemEspaamento"/>
      </w:pPr>
      <w:r>
        <w:rPr>
          <w:rFonts w:ascii="Arial" w:hAnsi="Arial"/>
          <w:b w:val="0"/>
          <w:i w:val="0"/>
          <w:sz w:val="24"/>
        </w:rPr>
        <w:t>Assim, como o presente recurso aborda, pontualmente, essas duas questões de extrema relevância, resta comprovada a existência de repercussão geral e, portanto, deve ser admitido este reclamo constitucional.</w:t>
      </w:r>
    </w:p>
    <w:p>
      <w:pPr>
        <w:pStyle w:val="Ttulo"/>
        <w:spacing w:before="240" w:after="120"/>
      </w:pPr>
      <w:r>
        <w:rPr>
          <w:rFonts w:ascii="Arial" w:hAnsi="Arial"/>
        </w:rPr>
        <w:t>IV – RAZÕES JURÍDICAS DO RECURSO EXTRAORDINÁRIO (ART. 102, III, "A", DA CF)</w:t>
      </w:r>
    </w:p>
    <w:p>
      <w:pPr>
        <w:pStyle w:val="Ttulo"/>
        <w:spacing w:before="240" w:after="120"/>
      </w:pPr>
      <w:r>
        <w:rPr>
          <w:rFonts w:ascii="Arial" w:hAnsi="Arial"/>
        </w:rPr>
        <w:t>IV.1 – Violação ao art. 5º, LVII, da CF — Presunção de inocência como regra de julgamento e o standard probatório mínimo para condenação criminal</w:t>
      </w:r>
    </w:p>
    <w:p>
      <w:pPr>
        <w:pStyle w:val="SemEspaamento"/>
      </w:pPr>
      <w:r>
        <w:rPr>
          <w:rFonts w:ascii="Arial" w:hAnsi="Arial"/>
          <w:b w:val="0"/>
          <w:i w:val="0"/>
          <w:sz w:val="24"/>
        </w:rPr>
        <w:t>O acórdão recorrido, ao manter a condenação do recorrente pelo crime de porte ilegal de arma de fogo com numeração suprimida sem prova direta de autoria submetida ao contraditório judicial, violou frontalmente o art. 5º, LVII, da Constituição Federal, segundo o qual "ninguém será considerado culpado até o trânsito em julgado de sentença penal condenatória". A norma, como reiteradamente assentado pela jurisprudência dessa Colenda Suprema Corte, não se limita a garantir ao acusado o estado de inocência durante a persecução penal — funciona, sobretudo, como regra de julgamento, impondo ao Estado o ônus de produzir prova suficiente para afastar, com a certeza exigível em matéria criminal, a presunção de inocência que milita em favor do réu.</w:t>
      </w:r>
    </w:p>
    <w:p>
      <w:pPr>
        <w:pStyle w:val="SemEspaamento"/>
      </w:pPr>
      <w:r>
        <w:rPr>
          <w:rFonts w:ascii="Arial" w:hAnsi="Arial"/>
          <w:b w:val="0"/>
          <w:i w:val="0"/>
          <w:sz w:val="24"/>
        </w:rPr>
        <w:t>No caso concreto, a condenação do recorrente pelo referido crime repousa sobre dois pilares probatórios, ambos estruturalmente insuficientes para romper a presunção de inocência.</w:t>
      </w:r>
    </w:p>
    <w:p>
      <w:pPr>
        <w:pStyle w:val="SemEspaamento"/>
      </w:pPr>
      <w:r>
        <w:rPr>
          <w:rFonts w:ascii="Arial" w:hAnsi="Arial"/>
          <w:b w:val="0"/>
          <w:i w:val="0"/>
          <w:sz w:val="24"/>
        </w:rPr>
        <w:t>O primeiro pilar consiste no relato dos policiais militares que, em juízo, afirmaram que "populares" teriam indicado que o recorrente teria descartado uma arma de fogo durante a fuga. Ora, nenhum desses populares foi ouvido em juízo. Os policiais militares, por sua vez, foram categóricos em afirmar que não encontraram arma com o recorrente ou em seu veículo e não viram nenhuma arma sendo descartada pelo recorrente, como se extrai dos depoimentos transcritos pelo próprio acórdão recorrido (evento 22, p. 2/3). Portanto, o único elo entre o recorrente e a arma encontrada em via pública é um relato de ouvir dizer, oriundo de terceiros não identificados e jamais submetidos ao crivo do contraditório.</w:t>
      </w:r>
    </w:p>
    <w:p>
      <w:pPr>
        <w:pStyle w:val="SemEspaamento"/>
      </w:pPr>
      <w:r>
        <w:rPr>
          <w:rFonts w:ascii="Arial" w:hAnsi="Arial"/>
          <w:b w:val="0"/>
          <w:i w:val="0"/>
          <w:sz w:val="24"/>
        </w:rPr>
        <w:t>A arma, é bom que se diga, foi encontrada em local público — o Pátio do Chapão —, acessível a qualquer pessoa, sem que houvesse qualquer perícia, filmagem ou outro elemento que individualizasse o descarte ao recorrente. Atribuir a posse de uma arma encontrada em via pública a determinada pessoa, com base exclusiva no relato indireto de populares anônimos, é exercício de presunção incompatível com a certeza que o processo penal exige.</w:t>
      </w:r>
    </w:p>
    <w:p>
      <w:pPr>
        <w:pStyle w:val="SemEspaamento"/>
      </w:pPr>
      <w:r>
        <w:rPr>
          <w:rFonts w:ascii="Arial" w:hAnsi="Arial"/>
          <w:b w:val="0"/>
          <w:i w:val="0"/>
          <w:sz w:val="24"/>
        </w:rPr>
        <w:t>Mas não é só. O segundo pilar probatório consiste na confissão extrajudicial retratada em juízo. Com efeito, o recorrente, em seu interrogatório judicial (evento 143, VIDEO2), negou os fatos que lhe foram imputados, retratando a confissão que supostamente teria sido prestada na fase inquisitorial. A denominada "confissão extrajudicial" nada mais é do que o relato dos policiais de que o recorrente teria admitido ser dono da arma durante a abordagem — confissão informal, não documentada, reproduzida exclusivamente pela palavra dos agentes do Estado em juízo.</w:t>
      </w:r>
    </w:p>
    <w:p>
      <w:pPr>
        <w:pStyle w:val="SemEspaamento"/>
      </w:pPr>
      <w:r>
        <w:rPr>
          <w:rFonts w:ascii="Arial" w:hAnsi="Arial"/>
          <w:b w:val="0"/>
          <w:i w:val="0"/>
          <w:sz w:val="24"/>
        </w:rPr>
        <w:t>Diante desse quadro, a condenação se sustenta, na verdade, em dois elementos que, isolados ou somados, são constitucionalmente insuficientes para romper a presunção de inocência: o depoimento indireto (hearsay) dos policiais, que apenas reproduziram o que teriam ouvido de terceiros não identificados, e a confissão extrajudicial informal, retratada em juízo e reproduzida unicamente pela palavra dos policiais.</w:t>
      </w:r>
    </w:p>
    <w:p>
      <w:pPr>
        <w:pStyle w:val="SemEspaamento"/>
      </w:pPr>
      <w:r>
        <w:rPr>
          <w:rFonts w:ascii="Arial" w:hAnsi="Arial"/>
          <w:b w:val="0"/>
          <w:i w:val="0"/>
          <w:sz w:val="24"/>
        </w:rPr>
        <w:t>Cumpre registrar, Excelência, que o presente recurso não pretende o reexame do acervo fático-probatório, razão pela qual não incide a Súmula 279 dessa Colenda Suprema Corte. O que se demonstra é que o acórdão recorrido, ao manter a condenação com base nos elementos acima descritos — e somente neles —, violou frontalmente a presunção de inocência enquanto regra de julgamento, na medida em que não havia prova suficiente para afastar, com a certeza necessária, o estado de inocência do recorrente. A questão não é de peso ou valoração de provas, mas de inexistência de prova direta de autoria submetida ao contraditório judicial, o que constitui matéria eminentemente constitucional.</w:t>
      </w:r>
    </w:p>
    <w:p>
      <w:pPr>
        <w:pStyle w:val="SemEspaamento"/>
      </w:pPr>
      <w:r>
        <w:rPr>
          <w:rFonts w:ascii="Arial" w:hAnsi="Arial"/>
          <w:b w:val="0"/>
          <w:i w:val="0"/>
          <w:sz w:val="24"/>
        </w:rPr>
        <w:t>Aliás, a contradição interna do próprio acórdão recorrido evidencia a fragilidade do quadro probatório: o aresto afirmou que a comprovação da autoria "decorre dos depoimentos firmes e coerentes dos policiais militares" (evento 22, p. 5), mas, ao transcrever esses mesmos depoimentos, registrou que os policiais não encontraram arma com o recorrente nem em seu veículo e não o viram descartando qualquer armamento (evento 22, p. 2/3).</w:t>
      </w:r>
    </w:p>
    <w:p>
      <w:pPr>
        <w:pStyle w:val="SemEspaamento"/>
      </w:pPr>
      <w:r>
        <w:rPr>
          <w:rFonts w:ascii="Arial" w:hAnsi="Arial"/>
          <w:b w:val="0"/>
          <w:i w:val="0"/>
          <w:sz w:val="24"/>
        </w:rPr>
        <w:t>Em outras palavras, os próprios depoimentos que o acórdão invocou como prova de autoria demonstram, na realidade, a ausência de qualquer contato direto entre o recorrente e a arma de fogo. O que os policiais efetivamente presenciaram foi a fuga do recorrente e a abordagem subsequente — sem arma. Todo o restante é informação de segunda mão, oriunda de terceiros que jamais foram submetidos ao contraditório.</w:t>
      </w:r>
    </w:p>
    <w:p>
      <w:pPr>
        <w:pStyle w:val="SemEspaamento"/>
      </w:pPr>
      <w:r>
        <w:rPr>
          <w:rFonts w:ascii="Arial" w:hAnsi="Arial"/>
          <w:b w:val="0"/>
          <w:i w:val="0"/>
          <w:sz w:val="24"/>
        </w:rPr>
        <w:t>Portanto, Excelência, ao condenar o recorrente pelo crime de porte ilegal de arma de fogo sem prova direta de autoria, o acórdão recorrido violou frontalmente o art. 5º, LVII, da Constituição Federal, na medida em que não observou o standard probatório mínimo exigido para romper a presunção de inocência, impondo-se a absolvição do recorrente pelo referido crime.</w:t>
      </w:r>
    </w:p>
    <w:p>
      <w:pPr>
        <w:pStyle w:val="SemEspaamento"/>
      </w:pPr>
      <w:r>
        <w:rPr>
          <w:rFonts w:ascii="Arial" w:hAnsi="Arial"/>
          <w:b w:val="0"/>
          <w:i w:val="0"/>
          <w:sz w:val="24"/>
        </w:rPr>
        <w:t>Não fosse isso o suficiente, a condenação também afronta os arts. 5º, LIV e LV, da CF, porquanto o recorrente foi condenado com base em elementos probatórios que não foram submetidos ao crivo do contraditório judicial — os "populares" jamais foram ouvidos em juízo, e a confissão extrajudicial, por definição, não foi produzida sob o pálio das garantias do devido processo legal. Condenar com base em provas não submetidas ao contraditório é negar vigência ao núcleo essencial do devido processo legal e da ampla defesa, garantias constitucionais que se aplicam com redobrada intensidade no processo penal.</w:t>
      </w:r>
    </w:p>
    <w:p>
      <w:pPr>
        <w:pStyle w:val="Ttulo"/>
        <w:spacing w:before="240" w:after="120"/>
      </w:pPr>
      <w:r>
        <w:rPr>
          <w:rFonts w:ascii="Arial" w:hAnsi="Arial"/>
        </w:rPr>
        <w:t>IV.2 – Violação ao art. 93, IX, da CF — Motivação deficiente dos arestos recorridos</w:t>
      </w:r>
    </w:p>
    <w:p>
      <w:pPr>
        <w:pStyle w:val="SemEspaamento"/>
      </w:pPr>
      <w:r>
        <w:rPr>
          <w:rFonts w:ascii="Arial" w:hAnsi="Arial"/>
          <w:b w:val="0"/>
          <w:i w:val="0"/>
          <w:sz w:val="24"/>
        </w:rPr>
        <w:t>Em um segundo momento, Excelência, os arestos recorridos também incorreram em flagrante violação ao art. 93, IX, da Constituição Federal, que determina que todas as decisões do Poder Judiciário serão fundamentadas, sob pena de nulidade.</w:t>
      </w:r>
    </w:p>
    <w:p>
      <w:pPr>
        <w:pStyle w:val="SemEspaamento"/>
      </w:pPr>
      <w:r>
        <w:rPr>
          <w:rFonts w:ascii="Arial" w:hAnsi="Arial"/>
          <w:b w:val="0"/>
          <w:i w:val="0"/>
          <w:sz w:val="24"/>
        </w:rPr>
        <w:t>O acórdão que julgou a apelação (evento 22) utilizou como razões de decidir a transcrição de trechos da sentença recorrida, sem enfrentar as teses jurídicas centrais deduzidas nas razões recursais. Com efeito, a apelação sustentou, de forma detalhada, que a condenação pelo crime de porte ilegal de arma de fogo era inviável diante da ausência de prova direta de autoria, que o depoimento indireto dos policiais não era suficiente para judicializar o indício extrajudicial, e que a confissão retratada em juízo não poderia servir de fundamento exclusivo para a condenação. Nenhuma dessas teses — que constituem o cerne da defesa — foi enfrentada pelo acórdão com argumentação própria. A mera transcrição da sentença de primeiro grau não supre o dever de fundamentação que o art. 93, IX, da CF impõe ao Tribunal, sobretudo quando as teses recursais são distintas daquelas enfrentadas pelo juízo sentenciante.</w:t>
      </w:r>
    </w:p>
    <w:p>
      <w:pPr>
        <w:pStyle w:val="SemEspaamento"/>
      </w:pPr>
      <w:r>
        <w:rPr>
          <w:rFonts w:ascii="Arial" w:hAnsi="Arial"/>
          <w:b w:val="0"/>
          <w:i w:val="0"/>
          <w:sz w:val="24"/>
        </w:rPr>
        <w:t>Diante dessa omissão, foram opostos embargos de declaração (evento 29), nos quais o recorrente indicou, de forma pormenorizada, os vícios do acórdão: a omissão quanto à natureza de hearsay dos depoimentos policiais, a omissão quanto à insuficiência da confissão extrajudicial retratada, a omissão quanto ao fato incontroverso de que nenhuma testemunha viu o recorrente portando ou descartando a arma, e a contradição interna do aresto, que afirmou que os depoimentos policiais comprovavam a autoria mas registrou que esses mesmos policiais nada viram.</w:t>
      </w:r>
    </w:p>
    <w:p>
      <w:pPr>
        <w:pStyle w:val="SemEspaamento"/>
      </w:pPr>
      <w:r>
        <w:rPr>
          <w:rFonts w:ascii="Arial" w:hAnsi="Arial"/>
          <w:b w:val="0"/>
          <w:i w:val="0"/>
          <w:sz w:val="24"/>
        </w:rPr>
        <w:t>Ocorre, no entanto, que o acórdão que julgou os embargos de declaração (evento 46) rejeitou os aclaratórios, afirmando que os argumentos do embargante constituíam "mero inconformismo" e que "o julgador não está obrigado a analisar todos os argumentos expendidos pelas partes quando motiva seu decisum de modo a afastar, por consequência, aquelas alegações".</w:t>
      </w:r>
    </w:p>
    <w:p>
      <w:pPr>
        <w:pStyle w:val="SemEspaamento"/>
      </w:pPr>
      <w:r>
        <w:rPr>
          <w:rFonts w:ascii="Arial" w:hAnsi="Arial"/>
          <w:b w:val="0"/>
          <w:i w:val="0"/>
          <w:sz w:val="24"/>
        </w:rPr>
        <w:t>Com a devida vênia, Excelência, há uma diferença substancial entre argumentos periféricos — que podem ser afastados por implicação — e teses jurídicas centrais que, se acolhidas, conduzem necessariamente à reforma da decisão. A alegação de que a prova de autoria é exclusivamente indireta e de que a confissão extrajudicial foi retratada em juízo não é argumento acessório ou periférico: é a tese central da defesa, que possui o condão de derruir a conclusão condenatória. Omitir o enfrentamento dessa argumentação não configura exercício legítimo do livre convencimento — configura violação ao dever constitucional de fundamentação.</w:t>
      </w:r>
    </w:p>
    <w:p>
      <w:pPr>
        <w:pStyle w:val="SemEspaamento"/>
      </w:pPr>
      <w:r>
        <w:rPr>
          <w:rFonts w:ascii="Arial" w:hAnsi="Arial"/>
          <w:b w:val="0"/>
          <w:i w:val="0"/>
          <w:sz w:val="24"/>
        </w:rPr>
        <w:t>Aliás, essa Colenda Suprema Corte, no julgamento do RE n. 719.870, reconheceu a existência de repercussão geral e fixou a tese de que viola o art. 93, IX, da CF a decisão judicial que não enfrenta os fundamentos relevantes suscitados pelas partes. As teses omitidas no caso concreto não são meramente acessórias: são determinantes para o desfecho da causa, na medida em que questionam a própria existência de prova idônea para a condenação.</w:t>
      </w:r>
    </w:p>
    <w:p>
      <w:pPr>
        <w:pStyle w:val="SemEspaamento"/>
      </w:pPr>
      <w:r>
        <w:rPr>
          <w:rFonts w:ascii="Arial" w:hAnsi="Arial"/>
          <w:b w:val="0"/>
          <w:i w:val="0"/>
          <w:sz w:val="24"/>
        </w:rPr>
        <w:t>Portanto, ao não enfrentar as teses recursais centrais sobre a ausência de prova direta de autoria, tanto no acórdão da apelação (evento 22) quanto no acórdão dos embargos de declaração (evento 46), os arestos recorridos violaram frontalmente o art. 93, IX, da Constituição Federal, impondo-se a anulação do acórdão para que a Corte Local proceda ao devido enfrentamento das teses defensivas.</w:t>
      </w:r>
    </w:p>
    <w:p>
      <w:pPr>
        <w:pStyle w:val="Ttulo"/>
        <w:spacing w:before="240" w:after="120"/>
      </w:pPr>
      <w:r>
        <w:rPr>
          <w:rFonts w:ascii="Arial" w:hAnsi="Arial"/>
        </w:rPr>
        <w:t>V – REQUERIMENTOS</w:t>
      </w:r>
    </w:p>
    <w:p>
      <w:pPr>
        <w:spacing w:after="80"/>
        <w:jc w:val="left"/>
      </w:pPr>
      <w:r>
        <w:rPr>
          <w:rFonts w:ascii="Arial" w:hAnsi="Arial"/>
          <w:b w:val="0"/>
          <w:i w:val="0"/>
          <w:sz w:val="22"/>
        </w:rPr>
        <w:t>Ante o exposto, além da intimação da parte contrária para, querendo, apresentar contrarrazões, o recorrente requer o conhecimento e provimento do presente recurso extraordinário para:</w:t>
      </w:r>
    </w:p>
    <w:p>
      <w:pPr>
        <w:spacing w:after="80"/>
        <w:ind w:left="850"/>
        <w:jc w:val="both"/>
      </w:pPr>
      <w:r>
        <w:rPr>
          <w:rFonts w:ascii="Arial" w:hAnsi="Arial"/>
          <w:b w:val="0"/>
          <w:i w:val="0"/>
          <w:sz w:val="24"/>
        </w:rPr>
        <w:t>a) reconhecer a violação direta ao art. 5º, LVII, LIV e LV, da Constituição Federal, na medida em que a condenação pelo crime de porte ilegal de arma de fogo com numeração suprimida (art. 16, §1º, IV, da Lei n. 10.826/03) se fundou exclusivamente em prova indireta — depoimento de ouvir dizer e confissão extrajudicial retratada em juízo —, sem observância do standard probatório mínimo exigido pela presunção de inocência, com a consequente absolvição do recorrente pelo referido crime e o redimensionamento da pena e do regime prisional;</w:t>
      </w:r>
    </w:p>
    <w:p>
      <w:pPr>
        <w:spacing w:after="80"/>
        <w:ind w:left="850"/>
        <w:jc w:val="both"/>
      </w:pPr>
      <w:r>
        <w:rPr>
          <w:rFonts w:ascii="Arial" w:hAnsi="Arial"/>
          <w:b w:val="0"/>
          <w:i w:val="0"/>
          <w:sz w:val="24"/>
        </w:rPr>
        <w:t>b) subsidiariamente, reconhecer a violação ao art. 93, IX, da Constituição Federal, porquanto os arestos recorridos (eventos 22 e 46) não enfrentaram as teses recursais centrais sobre a ausência de prova direta de autoria, a natureza indireta dos depoimentos policiais e a insuficiência da confissão extrajudicial retratada, com a consequente anulação do acórdão e o retorno dos autos à Corte de origem para novo julgamento, com efetivo enfrentamento das teses defensivas.</w:t>
      </w:r>
    </w:p>
    <w:p>
      <w:pPr>
        <w:spacing w:after="80"/>
        <w:jc w:val="left"/>
      </w:pPr>
      <w:r>
        <w:rPr>
          <w:rFonts w:ascii="Arial" w:hAnsi="Arial"/>
          <w:b w:val="0"/>
          <w:i w:val="0"/>
          <w:sz w:val="22"/>
        </w:rPr>
        <w:t>Pleiteia, por fim, sejam todas as intimações doravante realizadas em nome do advogado Paulo Ekke Moukarzel Junior, inscrito na OAB/SC sob o nº 36.591, sob pena de nulidade (art. 272, §5º, do CPC).</w:t>
      </w:r>
    </w:p>
    <w:p>
      <w:pPr>
        <w:spacing w:before="0" w:after="120"/>
        <w:jc w:val="center"/>
      </w:pPr>
      <w:r>
        <w:rPr>
          <w:rFonts w:ascii="Arial" w:hAnsi="Arial"/>
          <w:b w:val="0"/>
          <w:i w:val="0"/>
          <w:sz w:val="24"/>
        </w:rPr>
        <w:t>Pede deferimento.</w:t>
      </w:r>
    </w:p>
    <w:p>
      <w:pPr>
        <w:spacing w:before="0" w:after="120"/>
        <w:jc w:val="center"/>
      </w:pPr>
      <w:r>
        <w:rPr>
          <w:rFonts w:ascii="Arial" w:hAnsi="Arial"/>
          <w:b w:val="0"/>
          <w:i w:val="0"/>
          <w:sz w:val="24"/>
        </w:rPr>
        <w:t>Florianópolis, 1 de abril de 2026.</w:t>
      </w:r>
    </w:p>
    <w:p>
      <w:pPr>
        <w:spacing w:before="0" w:after="120"/>
        <w:jc w:val="center"/>
      </w:pPr>
      <w:r>
        <w:rPr>
          <w:rFonts w:ascii="Arial" w:hAnsi="Arial"/>
          <w:b w:val="0"/>
          <w:i w:val="0"/>
          <w:sz w:val="24"/>
        </w:rPr>
        <w:t>Paulo Ekke Moukarzel Junior</w:t>
      </w:r>
    </w:p>
    <w:p>
      <w:pPr>
        <w:spacing w:before="0" w:after="120"/>
        <w:jc w:val="center"/>
      </w:pPr>
      <w:r>
        <w:rPr>
          <w:rFonts w:ascii="Arial" w:hAnsi="Arial"/>
          <w:b w:val="0"/>
          <w:i w:val="0"/>
          <w:sz w:val="24"/>
        </w:rPr>
        <w:t>OAB/SC 36.591</w:t>
      </w:r>
    </w:p>
    <w:sectPr w:rsidR="00131BEB" w:rsidRPr="000169F1" w:rsidSect="00DF5478">
      <w:headerReference w:type="default" r:id="rId8"/>
      <w:footerReference w:type="default" r:id="rId9"/>
      <w:pgSz w:w="11906" w:h="16838"/>
      <w:pgMar w:top="1843" w:right="1416" w:bottom="1418"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A3CAB" w14:textId="77777777" w:rsidR="00C0614C" w:rsidRDefault="00C0614C" w:rsidP="00943258">
      <w:pPr>
        <w:spacing w:after="0" w:line="240" w:lineRule="auto"/>
      </w:pPr>
      <w:r>
        <w:separator/>
      </w:r>
    </w:p>
  </w:endnote>
  <w:endnote w:type="continuationSeparator" w:id="0">
    <w:p w14:paraId="7270E997" w14:textId="77777777" w:rsidR="00C0614C" w:rsidRDefault="00C0614C"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409C6DD4"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35F5C524" wp14:editId="3098CC79">
              <wp:simplePos x="0" y="0"/>
              <wp:positionH relativeFrom="column">
                <wp:posOffset>1616528</wp:posOffset>
              </wp:positionH>
              <wp:positionV relativeFrom="paragraph">
                <wp:posOffset>34282</wp:posOffset>
              </wp:positionV>
              <wp:extent cx="2628900" cy="156648"/>
              <wp:effectExtent l="0" t="0" r="0" b="0"/>
              <wp:wrapNone/>
              <wp:docPr id="383002963" name="Imagem 38300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4C2E2F16"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50FB2" w14:textId="77777777" w:rsidR="00C0614C" w:rsidRDefault="00C0614C" w:rsidP="00943258">
      <w:pPr>
        <w:spacing w:after="0" w:line="240" w:lineRule="auto"/>
      </w:pPr>
      <w:r>
        <w:separator/>
      </w:r>
    </w:p>
  </w:footnote>
  <w:footnote w:type="continuationSeparator" w:id="0">
    <w:p w14:paraId="1A4B84FC" w14:textId="77777777" w:rsidR="00C0614C" w:rsidRDefault="00C0614C"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0CE1"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04DD837D" wp14:editId="7CFDAE44">
          <wp:simplePos x="0" y="0"/>
          <wp:positionH relativeFrom="page">
            <wp:posOffset>-21361</wp:posOffset>
          </wp:positionH>
          <wp:positionV relativeFrom="page">
            <wp:posOffset>-71063</wp:posOffset>
          </wp:positionV>
          <wp:extent cx="7612446" cy="1100138"/>
          <wp:effectExtent l="0" t="0" r="0" b="0"/>
          <wp:wrapNone/>
          <wp:docPr id="1532676564" name="Imagem 1532676564"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502CD719" w14:textId="77777777" w:rsidR="007C36DB" w:rsidRDefault="007C36DB" w:rsidP="00131BEB">
    <w:pPr>
      <w:pStyle w:val="Cabealho"/>
      <w:tabs>
        <w:tab w:val="clear" w:pos="4252"/>
        <w:tab w:val="clear" w:pos="8504"/>
        <w:tab w:val="left" w:pos="2685"/>
      </w:tabs>
    </w:pPr>
  </w:p>
  <w:p w14:paraId="6344BF3C" w14:textId="77777777" w:rsidR="007C36DB" w:rsidRDefault="007C36DB" w:rsidP="007C36DB">
    <w:pPr>
      <w:pStyle w:val="Cabealho"/>
      <w:tabs>
        <w:tab w:val="clear" w:pos="4252"/>
        <w:tab w:val="clear" w:pos="8504"/>
        <w:tab w:val="left" w:pos="6555"/>
      </w:tabs>
    </w:pPr>
  </w:p>
  <w:p w14:paraId="5F6942E0"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3A"/>
    <w:rsid w:val="00003F31"/>
    <w:rsid w:val="00015996"/>
    <w:rsid w:val="000169F1"/>
    <w:rsid w:val="0004298B"/>
    <w:rsid w:val="00097661"/>
    <w:rsid w:val="000D228C"/>
    <w:rsid w:val="00131BEB"/>
    <w:rsid w:val="001667B0"/>
    <w:rsid w:val="001761C0"/>
    <w:rsid w:val="00183BE2"/>
    <w:rsid w:val="001B2B98"/>
    <w:rsid w:val="001B2E75"/>
    <w:rsid w:val="001B575C"/>
    <w:rsid w:val="00201F45"/>
    <w:rsid w:val="00207BE4"/>
    <w:rsid w:val="00214E09"/>
    <w:rsid w:val="00272BFB"/>
    <w:rsid w:val="00291F6C"/>
    <w:rsid w:val="003739E5"/>
    <w:rsid w:val="00377A2E"/>
    <w:rsid w:val="003801CD"/>
    <w:rsid w:val="00385870"/>
    <w:rsid w:val="003E46B9"/>
    <w:rsid w:val="004949AD"/>
    <w:rsid w:val="004F2B78"/>
    <w:rsid w:val="004F384D"/>
    <w:rsid w:val="00501A18"/>
    <w:rsid w:val="005321DA"/>
    <w:rsid w:val="005B67EA"/>
    <w:rsid w:val="005E58E2"/>
    <w:rsid w:val="00673228"/>
    <w:rsid w:val="00693F8B"/>
    <w:rsid w:val="00696295"/>
    <w:rsid w:val="006A5E3A"/>
    <w:rsid w:val="006C0DFC"/>
    <w:rsid w:val="00722DF5"/>
    <w:rsid w:val="00795616"/>
    <w:rsid w:val="00797900"/>
    <w:rsid w:val="007C36DB"/>
    <w:rsid w:val="00810D34"/>
    <w:rsid w:val="008A0012"/>
    <w:rsid w:val="008C07EE"/>
    <w:rsid w:val="008E31FF"/>
    <w:rsid w:val="008E377D"/>
    <w:rsid w:val="008F2218"/>
    <w:rsid w:val="008F53CE"/>
    <w:rsid w:val="008F7B29"/>
    <w:rsid w:val="0090226D"/>
    <w:rsid w:val="00924163"/>
    <w:rsid w:val="00943258"/>
    <w:rsid w:val="00A049FC"/>
    <w:rsid w:val="00B14A81"/>
    <w:rsid w:val="00B6363E"/>
    <w:rsid w:val="00BA2544"/>
    <w:rsid w:val="00BC112E"/>
    <w:rsid w:val="00C03B4C"/>
    <w:rsid w:val="00C0456B"/>
    <w:rsid w:val="00C0614C"/>
    <w:rsid w:val="00CB5FC5"/>
    <w:rsid w:val="00D32740"/>
    <w:rsid w:val="00DE0162"/>
    <w:rsid w:val="00DE0552"/>
    <w:rsid w:val="00DF5478"/>
    <w:rsid w:val="00E05790"/>
    <w:rsid w:val="00E90F3C"/>
    <w:rsid w:val="00E968BB"/>
    <w:rsid w:val="00EB4346"/>
    <w:rsid w:val="00EE3903"/>
    <w:rsid w:val="00F11B2C"/>
    <w:rsid w:val="00F22B73"/>
    <w:rsid w:val="00FB3A3F"/>
    <w:rsid w:val="00FC63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6975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BC112E"/>
    <w:pPr>
      <w:spacing w:after="0" w:line="360" w:lineRule="auto"/>
      <w:contextualSpacing/>
      <w:jc w:val="both"/>
    </w:pPr>
    <w:rPr>
      <w:rFonts w:ascii="Arial" w:eastAsia="Calibri" w:hAnsi="Arial" w:cs="Times New Roman"/>
      <w:b/>
      <w:color w:val="4472C4" w:themeColor="accent1"/>
      <w:szCs w:val="24"/>
    </w:rPr>
  </w:style>
  <w:style w:type="character" w:customStyle="1" w:styleId="TtuloChar">
    <w:name w:val="Título Char"/>
    <w:aliases w:val="Tópico novo Char"/>
    <w:basedOn w:val="Fontepargpadro"/>
    <w:link w:val="Ttulo"/>
    <w:uiPriority w:val="10"/>
    <w:rsid w:val="00BC112E"/>
    <w:rPr>
      <w:rFonts w:ascii="Arial" w:eastAsia="Calibri" w:hAnsi="Arial" w:cs="Times New Roman"/>
      <w:b/>
      <w:color w:val="4472C4" w:themeColor="accent1"/>
      <w:szCs w:val="24"/>
    </w:rPr>
  </w:style>
  <w:style w:type="paragraph" w:styleId="SemEspaamento">
    <w:name w:val="No Spacing"/>
    <w:aliases w:val="Texto numerad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1</TotalTime>
  <Pages>2</Pages>
  <Words>161</Words>
  <Characters>874</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Cliente: MARCIO KLAUS MORAIS</dc:subject>
  <dc:creator>Paulo Ekke Moukarzel Junior</dc:creator>
  <cp:keywords/>
  <dc:description/>
  <cp:lastModifiedBy>Paulo Ekke Moukarzel Junior</cp:lastModifiedBy>
  <cp:revision>2</cp:revision>
  <cp:lastPrinted>2022-07-18T22:35:00Z</cp:lastPrinted>
  <dcterms:created xsi:type="dcterms:W3CDTF">2026-03-26T19:31:00Z</dcterms:created>
  <dcterms:modified xsi:type="dcterms:W3CDTF">2026-03-26T19:32:00Z</dcterms:modified>
</cp:coreProperties>
</file>