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Label"/>
        <w:spacing w:before="80" w:after="120"/>
      </w:pPr>
      <w:r>
        <w:rPr>
          <w:b/>
          <w:color w:val="EC7000"/>
          <w:sz w:val="22"/>
          <w:szCs w:val="22"/>
        </w:rPr>
        <w:t xml:space="preserve">Itaú AI Governance</w:t>
      </w:r>
    </w:p>
    <w:p>
      <w:pPr>
        <w:pStyle w:val="Title"/>
        <w:spacing w:before="80" w:after="180"/>
      </w:pPr>
      <w:r>
        <w:rPr>
          <w:b/>
          <w:color w:val="0A0F1C"/>
          <w:sz w:val="50"/>
          <w:szCs w:val="50"/>
        </w:rPr>
        <w:t xml:space="preserve">ServiceNow CSDM Architecture Blueprint</w:t>
      </w:r>
    </w:p>
    <w:p>
      <w:pPr>
        <w:pStyle w:val="BodyText"/>
        <w:spacing w:before="80" w:after="220"/>
      </w:pPr>
      <w:r>
        <w:rPr>
          <w:sz w:val="24"/>
          <w:szCs w:val="24"/>
        </w:rPr>
        <w:t xml:space="preserve">Reference Pack para alinhar Squad Gaia, Arquitetura, CMDB Owner e Governança: o problema não é escolher uma tabela, é desenhar onde cada agente vive, quem responde, qual serviço ele impacta e como AI Control Tower opera descoberta, risco e lifecycle.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Tese executiva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Architecture Blueprint, não cadastro de tabela.</w:t>
            </w:r>
          </w:p>
        </w:tc>
      </w:tr>
      <w:tr>
        <w:tc>
          <w:tcPr>
            <w:tcW w:w="2200" w:type="dxa"/>
            <w:shd w:fill="FFF1E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Decisão</w:t>
            </w:r>
          </w:p>
        </w:tc>
        <w:tc>
          <w:tcPr>
            <w:tcW w:w="2200" w:type="dxa"/>
            <w:shd w:fill="F1F7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Architecture Sprint com 3 a 5 agentes reais antes de carga em escala.</w:t>
            </w:r>
          </w:p>
        </w:tc>
      </w:tr>
      <w:tr>
        <w:tc>
          <w:tcPr>
            <w:tcW w:w="2200" w:type="dxa"/>
            <w:shd w:fill="FFF1E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Guardrail</w:t>
            </w:r>
          </w:p>
        </w:tc>
        <w:tc>
          <w:tcPr>
            <w:tcW w:w="2200" w:type="dxa"/>
            <w:shd w:fill="F1F7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Não tocar no Control Tower operacional; validar por diff, build, smoke e rota privada.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1. Tese Executiva</w:t>
      </w:r>
    </w:p>
    <w:p>
      <w:pPr>
        <w:pStyle w:val="BodyText"/>
        <w:spacing w:before="80" w:after="120"/>
      </w:pPr>
      <w:r>
        <w:rPr>
          <w:sz w:val="22"/>
          <w:szCs w:val="22"/>
        </w:rPr>
        <w:t xml:space="preserve">O Itaú não precisa apenas registrar agentes de IA. Precisa de um blueprint para governar ativo, runtime, serviço impactado, dados, ownership e mudança. Isso preserva CSDM, evita CMDB decorativa e prepara discovery enterprise via AI Control Tower.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Camada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Pergunta que responde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/ Product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Por que o agente existe e qual valor/risco cria?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Service Instance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Onde o impacto operacional aparece?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Digital Asset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Quem governa finalidade, risco, dados, modelo e lifecycle?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CI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Qual deployment real roda e precisa de incidente/change?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Control Tower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Como descobrir, observar, revisar e acionar workflows?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2. ServiceNow CSDM Reference Diagram</w:t>
      </w:r>
    </w:p>
    <w:p>
      <w:pPr>
        <w:pStyle w:val="Heading2"/>
        <w:spacing w:before="80" w:after="120"/>
      </w:pPr>
      <w:r>
        <w:rPr>
          <w:b/>
          <w:color w:val="EC7000"/>
          <w:sz w:val="24"/>
          <w:szCs w:val="24"/>
        </w:rPr>
        <w:t xml:space="preserve">Diagrama lógico para a conversa com o Itaú.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Camada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Registro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Decisão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Service / Offering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serviço de negócio impactado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explica consumo, valor, criticidade e linguagem executiva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Application / Digital Product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produto ou aplicação consumidora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conecta agente à jornada Itaú e ao benefício esperado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Service Instance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cmdb_ci_service_auto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ponto operacional para incident, change, health e suporte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Service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Digital Asset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alm_ai_system_digital_asset + cmdb_ai_system_product_model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governa finalidade, risco, dados, modelo, prompt e ciclo de vida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Governance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CI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cmdb_ci_function_ai ou cmdb_ci_appl_ai_application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representa runtime somente quando há deployment visível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Technical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Control Tower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inventory · discovery · risk · runtime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descobre, consolida, observa e aciona workflow de governança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Governance + Ops</w:t>
            </w:r>
          </w:p>
        </w:tc>
      </w:tr>
    </w:tbl>
    <w:p>
      <w:pPr>
        <w:pStyle w:val="BodyText"/>
        <w:spacing w:before="80" w:after="120"/>
      </w:pPr>
      <w:r>
        <w:rPr>
          <w:b/>
          <w:color w:val="EC7000"/>
          <w:sz w:val="22"/>
          <w:szCs w:val="22"/>
        </w:rPr>
        <w:t xml:space="preserve">Regra central: primeiro governar o ativo de IA; depois criar CI somente quando há deployment visível; sempre relacionar ao Service Instance e manter source_unique_id para IRE/AICT.</w:t>
      </w:r>
    </w:p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3. Modelo de Dados Mínimo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Grupo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Campos mínimos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Accountability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business_owner, technical_owner, support_group, data_steward, risk_owner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Risco e dado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risk_tier, data_classification, pii_handling, data_residency, decision_authority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Runtime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hosting_model, provider, environment, external_id, source_unique_id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Governança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review_cadence, kill_switch_owner, lifecycle, approval_state, evidence_url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Relações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cmdb_rel_asset_ci, Service Instance, Business Application, dependencies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4. Architecture Sprint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#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Etapa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Evidência esperada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1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Taxonomia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Fechar critério de classe: SaaS/cloud/terceiro versus Itaú-managed.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2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Intake mínimo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Owner, support_group, risk_tier, dados, provider, autonomy e source_unique_id.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3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Sandbox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Cadastrar 3 a 5 agentes reais sem contaminar produção.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4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CSDM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Relacionar Business Application, Service Instance, AI Digital Asset e AI CI.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5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AICT readiness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Preparar Service Graph Connectors, IRE e chaves externas para discovery.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6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Go/no-go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Medir completude, duplicidade, risco, owner coverage e cobertura por serviço.</w:t>
            </w:r>
          </w:p>
        </w:tc>
      </w:tr>
    </w:tbl>
    <w:p>
      <w:pPr>
        <w:pStyle w:val="BodyText"/>
        <w:spacing w:before="80" w:after="120"/>
      </w:pPr>
      <w:r>
        <w:rPr>
          <w:b/>
          <w:color w:val="EC7000"/>
          <w:sz w:val="22"/>
          <w:szCs w:val="22"/>
        </w:rPr>
        <w:t xml:space="preserve">Critério de go/no-go: cobertura de owner, risco, dados, service instance, source IDs, relação Asset-CI, prontidão para Service Graph Connectors/IRE e evidência de change/review.</w:t>
      </w:r>
    </w:p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5. Fontes e Guardrails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CMDB CI Class Models: cmdb_ci_function_ai e cmdb_ci_appl_ai_application dependem do tipo de deployment.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AI Control Tower: AI inventory cobre AI systems, models, prompts, datasets e MCP servers.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Enterprise AI discovery: Service Graph Connectors descobrem AI assets e enviam para CMDB/governança.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Asset-CI Relationship: cmdb_rel_asset_ci conecta AI Digital Asset ao CI quando runtime existe.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IRE: Identification and Reconciliation Engine evita duplicidade e governa fontes autoritativas.</w:t>
      </w:r>
    </w:p>
    <w:p>
      <w:pPr>
        <w:pStyle w:val="BodyText"/>
        <w:spacing w:before="80" w:after="120"/>
      </w:pPr>
      <w:r>
        <w:rPr>
          <w:b/>
          <w:color w:val="0A0F1C"/>
          <w:sz w:val="22"/>
          <w:szCs w:val="22"/>
        </w:rPr>
        <w:t xml:space="preserve">Guardrail de produção: este pacote e a página Itaú não alteram app/control_tower, app/api/control-tower ou lib/control-tower. Release exige diff limpo, testes de guard, build, smoke de /control_tower e smoke público pós-deploy.</w:t>
      </w:r>
    </w:p>
    <w:sectPr>
      <w:pgSz w:w="11906" w:h="16838"/>
      <w:pgMar w:top="900" w:right="820" w:bottom="900" w:left="82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BodyText">
    <w:name w:val="Body Text"/>
    <w:qFormat/>
    <w:pPr>
      <w:spacing w:line="300" w:lineRule="auto"/>
    </w:pPr>
    <w:rPr>
      <w:rFonts w:ascii="Aptos" w:hAnsi="Aptos"/>
      <w:sz w:val="21"/>
      <w:color w:val="283342"/>
    </w:rPr>
  </w:style>
  <w:style w:type="paragraph" w:styleId="Title">
    <w:name w:val="Title"/>
    <w:qFormat/>
    <w:rPr>
      <w:rFonts w:ascii="Aptos Display" w:hAnsi="Aptos Display"/>
      <w:b/>
      <w:sz w:val="50"/>
    </w:rPr>
  </w:style>
  <w:style w:type="paragraph" w:styleId="Heading1">
    <w:name w:val="heading 1"/>
    <w:basedOn w:val="BodyText"/>
    <w:next w:val="BodyText"/>
    <w:qFormat/>
    <w:rPr>
      <w:rFonts w:ascii="Aptos Display" w:hAnsi="Aptos Display"/>
      <w:b/>
      <w:sz w:val="34"/>
    </w:rPr>
  </w:style>
  <w:style w:type="paragraph" w:styleId="Heading2">
    <w:name w:val="heading 2"/>
    <w:basedOn w:val="BodyText"/>
    <w:next w:val="BodyText"/>
    <w:qFormat/>
    <w:rPr>
      <w:rFonts w:ascii="Aptos" w:hAnsi="Aptos"/>
      <w:b/>
      <w:sz w:val="24"/>
    </w:rPr>
  </w:style>
  <w:style w:type="paragraph" w:styleId="Label">
    <w:name w:val="Label"/>
    <w:basedOn w:val="BodyText"/>
    <w:qFormat/>
    <w:rPr>
      <w:rFonts w:ascii="Aptos" w:hAnsi="Aptos"/>
      <w:b/>
      <w:caps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Reference Builder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Itaú AI Governance Architecture Reference</dc:title>
  <dc:creator>Paulo Pierrondi / ServiceNow architecture reference</dc:creator>
  <cp:lastModifiedBy>Codex</cp:lastModifiedBy>
  <dcterms:created xsi:type="dcterms:W3CDTF">2026-06-02T02:34:31+00:00</dcterms:created>
  <dcterms:modified xsi:type="dcterms:W3CDTF">2026-06-02T02:34:31+00:00</dcterms:modified>
</cp:coreProperties>
</file>