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Label"/>
        <w:spacing w:before="80" w:after="120"/>
      </w:pPr>
      <w:r>
        <w:rPr>
          <w:b/>
          <w:color w:val="EC7000"/>
          <w:sz w:val="22"/>
          <w:szCs w:val="22"/>
        </w:rPr>
        <w:t xml:space="preserve">Itaú AI Governance</w:t>
      </w:r>
    </w:p>
    <w:p>
      <w:pPr>
        <w:pStyle w:val="Title"/>
        <w:spacing w:before="80" w:after="180"/>
      </w:pPr>
      <w:r>
        <w:rPr>
          <w:b/>
          <w:color w:val="0A0F1C"/>
          <w:sz w:val="50"/>
          <w:szCs w:val="50"/>
        </w:rPr>
        <w:t xml:space="preserve">ServiceNow Architectural Notation &amp; Target Architecture</w:t>
      </w:r>
    </w:p>
    <w:p>
      <w:pPr>
        <w:pStyle w:val="BodyText"/>
        <w:spacing w:before="80" w:after="220"/>
      </w:pPr>
      <w:r>
        <w:rPr>
          <w:sz w:val="24"/>
          <w:szCs w:val="24"/>
        </w:rPr>
        <w:t xml:space="preserve">Reference Pack para alinhar Squad Gaia, Arquitetura, CMDB Owner e Governança: o problema não é escolher uma tabela nem criar um efeito visual; é consolidar decisões de arquitetura sobre onde cada agente vive, quem responde, qual serviço ele impacta e como AI Control Tower opera descoberta, risco, runtime e lifecycle.</w:t>
      </w:r>
    </w:p>
    <w:tbl>
      <w:tblPr>
        <w:tblW w:w="0" w:type="auto"/>
        <w:tblBorders>
          <w:top w:val="single" w:sz="6" w:color="D8DEE8"/>
          <w:left w:val="single" w:sz="6" w:color="D8DEE8"/>
          <w:bottom w:val="single" w:sz="6" w:color="D8DEE8"/>
          <w:right w:val="single" w:sz="6" w:color="D8DEE8"/>
          <w:insideH w:val="single" w:sz="4" w:color="D8DEE8"/>
          <w:insideV w:val="single" w:sz="4" w:color="D8DEE8"/>
        </w:tblBorders>
      </w:tblPr>
      <w:tr>
        <w:tc>
          <w:tcPr>
            <w:tcW w:w="2200" w:type="dxa"/>
            <w:shd w:fill="F2F5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b/>
                <w:color w:val="162033"/>
                <w:sz w:val="20"/>
                <w:szCs w:val="20"/>
              </w:rPr>
              <w:t xml:space="preserve">Tese executiva</w:t>
            </w:r>
          </w:p>
        </w:tc>
        <w:tc>
          <w:tcPr>
            <w:tcW w:w="2200" w:type="dxa"/>
            <w:shd w:fill="F2F5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b/>
                <w:color w:val="162033"/>
                <w:sz w:val="20"/>
                <w:szCs w:val="20"/>
              </w:rPr>
              <w:t xml:space="preserve">Architectural Notation, não showcase 3D.</w:t>
            </w:r>
          </w:p>
        </w:tc>
      </w:tr>
      <w:tr>
        <w:tc>
          <w:tcPr>
            <w:tcW w:w="2200" w:type="dxa"/>
            <w:shd w:fill="FFF1E6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Decisão</w:t>
            </w:r>
          </w:p>
        </w:tc>
        <w:tc>
          <w:tcPr>
            <w:tcW w:w="2200" w:type="dxa"/>
            <w:shd w:fill="F1F7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Visão final: CSDM como sistema de registro; AI Control Tower como sistema de controle.</w:t>
            </w:r>
          </w:p>
        </w:tc>
      </w:tr>
      <w:tr>
        <w:tc>
          <w:tcPr>
            <w:tcW w:w="2200" w:type="dxa"/>
            <w:shd w:fill="FFF1E6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Guardrail</w:t>
            </w:r>
          </w:p>
        </w:tc>
        <w:tc>
          <w:tcPr>
            <w:tcW w:w="2200" w:type="dxa"/>
            <w:shd w:fill="F1F7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Não tocar no Control Tower operacional; validar por diff, build, smoke e rota privada.</w:t>
            </w:r>
          </w:p>
        </w:tc>
      </w:tr>
    </w:tbl>
    <w:p>
      <w:r>
        <w:br w:type="page"/>
      </w:r>
    </w:p>
    <w:p>
      <w:pPr>
        <w:pStyle w:val="Heading1"/>
        <w:spacing w:before="80" w:after="120"/>
      </w:pPr>
      <w:r>
        <w:rPr>
          <w:b/>
          <w:color w:val="0A0F1C"/>
          <w:sz w:val="34"/>
          <w:szCs w:val="34"/>
        </w:rPr>
        <w:t xml:space="preserve">1. Tese Executiva</w:t>
      </w:r>
    </w:p>
    <w:p>
      <w:pPr>
        <w:pStyle w:val="BodyText"/>
        <w:spacing w:before="80" w:after="120"/>
      </w:pPr>
      <w:r>
        <w:rPr>
          <w:sz w:val="22"/>
          <w:szCs w:val="22"/>
        </w:rPr>
        <w:t xml:space="preserve">O Itaú não precisa apenas registrar agentes de IA. Precisa de um blueprint para governar ativo, runtime, serviço impactado, dados, ownership e mudança. Isso preserva CSDM, evita CMDB decorativa e prepara discovery enterprise via AI Control Tower. A forma correta de apresentação é notação arquitetural: camadas, decisões, owners e relações, não uma visualização 3D difícil de explicar em reunião.</w:t>
      </w:r>
    </w:p>
    <w:tbl>
      <w:tblPr>
        <w:tblW w:w="0" w:type="auto"/>
        <w:tblBorders>
          <w:top w:val="single" w:sz="6" w:color="D8DEE8"/>
          <w:left w:val="single" w:sz="6" w:color="D8DEE8"/>
          <w:bottom w:val="single" w:sz="6" w:color="D8DEE8"/>
          <w:right w:val="single" w:sz="6" w:color="D8DEE8"/>
          <w:insideH w:val="single" w:sz="4" w:color="D8DEE8"/>
          <w:insideV w:val="single" w:sz="4" w:color="D8DEE8"/>
        </w:tblBorders>
      </w:tblPr>
      <w:tr>
        <w:tc>
          <w:tcPr>
            <w:tcW w:w="2200" w:type="dxa"/>
            <w:shd w:fill="F2F5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b/>
                <w:color w:val="162033"/>
                <w:sz w:val="20"/>
                <w:szCs w:val="20"/>
              </w:rPr>
              <w:t xml:space="preserve">Camada</w:t>
            </w:r>
          </w:p>
        </w:tc>
        <w:tc>
          <w:tcPr>
            <w:tcW w:w="2200" w:type="dxa"/>
            <w:shd w:fill="F2F5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b/>
                <w:color w:val="162033"/>
                <w:sz w:val="20"/>
                <w:szCs w:val="20"/>
              </w:rPr>
              <w:t xml:space="preserve">Pergunta que responde</w:t>
            </w:r>
          </w:p>
        </w:tc>
      </w:tr>
      <w:tr>
        <w:tc>
          <w:tcPr>
            <w:tcW w:w="2200" w:type="dxa"/>
            <w:shd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Business / Product</w:t>
            </w:r>
          </w:p>
        </w:tc>
        <w:tc>
          <w:tcPr>
            <w:tcW w:w="2200" w:type="dxa"/>
            <w:shd w:fill="F8FAFC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Por que o agente existe e qual valor/risco cria?</w:t>
            </w:r>
          </w:p>
        </w:tc>
      </w:tr>
      <w:tr>
        <w:tc>
          <w:tcPr>
            <w:tcW w:w="2200" w:type="dxa"/>
            <w:shd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Service Instance</w:t>
            </w:r>
          </w:p>
        </w:tc>
        <w:tc>
          <w:tcPr>
            <w:tcW w:w="2200" w:type="dxa"/>
            <w:shd w:fill="F8FAFC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Onde o impacto operacional aparece?</w:t>
            </w:r>
          </w:p>
        </w:tc>
      </w:tr>
      <w:tr>
        <w:tc>
          <w:tcPr>
            <w:tcW w:w="2200" w:type="dxa"/>
            <w:shd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AI Digital Asset</w:t>
            </w:r>
          </w:p>
        </w:tc>
        <w:tc>
          <w:tcPr>
            <w:tcW w:w="2200" w:type="dxa"/>
            <w:shd w:fill="F8FAFC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Quem governa finalidade, risco, dados, modelo e lifecycle?</w:t>
            </w:r>
          </w:p>
        </w:tc>
      </w:tr>
      <w:tr>
        <w:tc>
          <w:tcPr>
            <w:tcW w:w="2200" w:type="dxa"/>
            <w:shd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AI CI</w:t>
            </w:r>
          </w:p>
        </w:tc>
        <w:tc>
          <w:tcPr>
            <w:tcW w:w="2200" w:type="dxa"/>
            <w:shd w:fill="F8FAFC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Qual deployment real roda e precisa de incidente/change?</w:t>
            </w:r>
          </w:p>
        </w:tc>
      </w:tr>
      <w:tr>
        <w:tc>
          <w:tcPr>
            <w:tcW w:w="2200" w:type="dxa"/>
            <w:shd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AI Control Tower</w:t>
            </w:r>
          </w:p>
        </w:tc>
        <w:tc>
          <w:tcPr>
            <w:tcW w:w="2200" w:type="dxa"/>
            <w:shd w:fill="F8FAFC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Como descobrir, observar, revisar e acionar workflows?</w:t>
            </w:r>
          </w:p>
        </w:tc>
      </w:tr>
    </w:tbl>
    <w:p>
      <w:r>
        <w:br w:type="page"/>
      </w:r>
    </w:p>
    <w:p>
      <w:pPr>
        <w:pStyle w:val="Heading1"/>
        <w:spacing w:before="80" w:after="120"/>
      </w:pPr>
      <w:r>
        <w:rPr>
          <w:b/>
          <w:color w:val="0A0F1C"/>
          <w:sz w:val="34"/>
          <w:szCs w:val="34"/>
        </w:rPr>
        <w:t xml:space="preserve">2. ServiceNow Architectural Notation</w:t>
      </w:r>
    </w:p>
    <w:p>
      <w:pPr>
        <w:pStyle w:val="Heading2"/>
        <w:spacing w:before="80" w:after="120"/>
      </w:pPr>
      <w:r>
        <w:rPr>
          <w:b/>
          <w:color w:val="EC7000"/>
          <w:sz w:val="24"/>
          <w:szCs w:val="24"/>
        </w:rPr>
        <w:t xml:space="preserve">Diagrama lógico para a conversa com o Itaú.</w:t>
      </w:r>
    </w:p>
    <w:tbl>
      <w:tblPr>
        <w:tblW w:w="0" w:type="auto"/>
        <w:tblBorders>
          <w:top w:val="single" w:sz="6" w:color="D8DEE8"/>
          <w:left w:val="single" w:sz="6" w:color="D8DEE8"/>
          <w:bottom w:val="single" w:sz="6" w:color="D8DEE8"/>
          <w:right w:val="single" w:sz="6" w:color="D8DEE8"/>
          <w:insideH w:val="single" w:sz="4" w:color="D8DEE8"/>
          <w:insideV w:val="single" w:sz="4" w:color="D8DEE8"/>
        </w:tblBorders>
      </w:tblPr>
      <w:tr>
        <w:tc>
          <w:tcPr>
            <w:tcW w:w="2200" w:type="dxa"/>
            <w:shd w:fill="F2F5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b/>
                <w:color w:val="162033"/>
                <w:sz w:val="20"/>
                <w:szCs w:val="20"/>
              </w:rPr>
              <w:t xml:space="preserve">Camada</w:t>
            </w:r>
          </w:p>
        </w:tc>
        <w:tc>
          <w:tcPr>
            <w:tcW w:w="2200" w:type="dxa"/>
            <w:shd w:fill="F2F5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b/>
                <w:color w:val="162033"/>
                <w:sz w:val="20"/>
                <w:szCs w:val="20"/>
              </w:rPr>
              <w:t xml:space="preserve">Registro</w:t>
            </w:r>
          </w:p>
        </w:tc>
        <w:tc>
          <w:tcPr>
            <w:tcW w:w="2200" w:type="dxa"/>
            <w:shd w:fill="F2F5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b/>
                <w:color w:val="162033"/>
                <w:sz w:val="20"/>
                <w:szCs w:val="20"/>
              </w:rPr>
              <w:t xml:space="preserve">Decisão</w:t>
            </w:r>
          </w:p>
        </w:tc>
        <w:tc>
          <w:tcPr>
            <w:tcW w:w="2200" w:type="dxa"/>
            <w:shd w:fill="F2F5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b/>
                <w:color w:val="162033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Business Service / Offering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serviço de negócio impactado</w:t>
            </w:r>
          </w:p>
        </w:tc>
        <w:tc>
          <w:tcPr>
            <w:tcW w:w="2200" w:type="dxa"/>
            <w:shd w:fill="F2FBF6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explica consumo, valor, criticidade e linguagem executiva</w:t>
            </w:r>
          </w:p>
        </w:tc>
        <w:tc>
          <w:tcPr>
            <w:tcW w:w="2200" w:type="dxa"/>
            <w:shd w:fill="F8FAFC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Business Owner</w:t>
            </w:r>
          </w:p>
        </w:tc>
      </w:tr>
      <w:tr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Business Application / Digital Product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produto ou aplicação consumidora</w:t>
            </w:r>
          </w:p>
        </w:tc>
        <w:tc>
          <w:tcPr>
            <w:tcW w:w="2200" w:type="dxa"/>
            <w:shd w:fill="F2FBF6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conecta agente à jornada Itaú e ao benefício esperado</w:t>
            </w:r>
          </w:p>
        </w:tc>
        <w:tc>
          <w:tcPr>
            <w:tcW w:w="2200" w:type="dxa"/>
            <w:shd w:fill="F8FAFC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Product Owner</w:t>
            </w:r>
          </w:p>
        </w:tc>
      </w:tr>
      <w:tr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Service Instance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cmdb_ci_service_auto</w:t>
            </w:r>
          </w:p>
        </w:tc>
        <w:tc>
          <w:tcPr>
            <w:tcW w:w="2200" w:type="dxa"/>
            <w:shd w:fill="F2FBF6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ponto operacional para incident, change, health e suporte</w:t>
            </w:r>
          </w:p>
        </w:tc>
        <w:tc>
          <w:tcPr>
            <w:tcW w:w="2200" w:type="dxa"/>
            <w:shd w:fill="F8FAFC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Service Owner</w:t>
            </w:r>
          </w:p>
        </w:tc>
      </w:tr>
      <w:tr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AI Digital Asset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alm_ai_system_digital_asset + cmdb_ai_system_product_model</w:t>
            </w:r>
          </w:p>
        </w:tc>
        <w:tc>
          <w:tcPr>
            <w:tcW w:w="2200" w:type="dxa"/>
            <w:shd w:fill="F2FBF6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governa finalidade, risco, dados, modelo, prompt e ciclo de vida</w:t>
            </w:r>
          </w:p>
        </w:tc>
        <w:tc>
          <w:tcPr>
            <w:tcW w:w="2200" w:type="dxa"/>
            <w:shd w:fill="F8FAFC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AI Governance</w:t>
            </w:r>
          </w:p>
        </w:tc>
      </w:tr>
      <w:tr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AI CI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cmdb_ci_function_ai ou cmdb_ci_appl_ai_application</w:t>
            </w:r>
          </w:p>
        </w:tc>
        <w:tc>
          <w:tcPr>
            <w:tcW w:w="2200" w:type="dxa"/>
            <w:shd w:fill="F2FBF6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representa runtime somente quando há deployment visível</w:t>
            </w:r>
          </w:p>
        </w:tc>
        <w:tc>
          <w:tcPr>
            <w:tcW w:w="2200" w:type="dxa"/>
            <w:shd w:fill="F8FAFC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Technical Owner</w:t>
            </w:r>
          </w:p>
        </w:tc>
      </w:tr>
      <w:tr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AI Control Tower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AI inventory · discovery · risk · runtime</w:t>
            </w:r>
          </w:p>
        </w:tc>
        <w:tc>
          <w:tcPr>
            <w:tcW w:w="2200" w:type="dxa"/>
            <w:shd w:fill="F2FBF6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descobre, consolida, observa e aciona workflow de governança</w:t>
            </w:r>
          </w:p>
        </w:tc>
        <w:tc>
          <w:tcPr>
            <w:tcW w:w="2200" w:type="dxa"/>
            <w:shd w:fill="F8FAFC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Governance + Ops</w:t>
            </w:r>
          </w:p>
        </w:tc>
      </w:tr>
    </w:tbl>
    <w:p>
      <w:pPr>
        <w:pStyle w:val="BodyText"/>
        <w:spacing w:before="80" w:after="120"/>
      </w:pPr>
      <w:r>
        <w:rPr>
          <w:b/>
          <w:color w:val="EC7000"/>
          <w:sz w:val="22"/>
          <w:szCs w:val="22"/>
        </w:rPr>
        <w:t xml:space="preserve">Regra central: primeiro governar o ativo de IA; depois criar CI somente quando há deployment visível; sempre relacionar ao Service Instance e manter source_unique_id para IRE/AICT.</w:t>
      </w:r>
    </w:p>
    <w:p>
      <w:r>
        <w:br w:type="page"/>
      </w:r>
    </w:p>
    <w:p>
      <w:pPr>
        <w:pStyle w:val="Heading1"/>
        <w:spacing w:before="80" w:after="120"/>
      </w:pPr>
      <w:r>
        <w:rPr>
          <w:b/>
          <w:color w:val="0A0F1C"/>
          <w:sz w:val="34"/>
          <w:szCs w:val="34"/>
        </w:rPr>
        <w:t xml:space="preserve">3. Target Architecture + AI Control Tower Operating Model</w:t>
      </w:r>
    </w:p>
    <w:tbl>
      <w:tblPr>
        <w:tblW w:w="0" w:type="auto"/>
        <w:tblBorders>
          <w:top w:val="single" w:sz="6" w:color="D8DEE8"/>
          <w:left w:val="single" w:sz="6" w:color="D8DEE8"/>
          <w:bottom w:val="single" w:sz="6" w:color="D8DEE8"/>
          <w:right w:val="single" w:sz="6" w:color="D8DEE8"/>
          <w:insideH w:val="single" w:sz="4" w:color="D8DEE8"/>
          <w:insideV w:val="single" w:sz="4" w:color="D8DEE8"/>
        </w:tblBorders>
      </w:tblPr>
      <w:tr>
        <w:tc>
          <w:tcPr>
            <w:tcW w:w="2200" w:type="dxa"/>
            <w:shd w:fill="F2F5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b/>
                <w:color w:val="162033"/>
                <w:sz w:val="20"/>
                <w:szCs w:val="20"/>
              </w:rPr>
              <w:t xml:space="preserve">Decisão</w:t>
            </w:r>
          </w:p>
        </w:tc>
        <w:tc>
          <w:tcPr>
            <w:tcW w:w="2200" w:type="dxa"/>
            <w:shd w:fill="F2F5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b/>
                <w:color w:val="162033"/>
                <w:sz w:val="20"/>
                <w:szCs w:val="20"/>
              </w:rPr>
              <w:t xml:space="preserve">Arquitetura consolidada</w:t>
            </w:r>
          </w:p>
        </w:tc>
      </w:tr>
      <w:tr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Sistema de registro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CMDB/CSDM continua sendo a base de impacto, serviço, relacionamento e operação.</w:t>
            </w:r>
          </w:p>
        </w:tc>
      </w:tr>
      <w:tr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Sistema de controle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AI Control Tower governa inventário, descoberta, risco, runtime, valor e workflows.</w:t>
            </w:r>
          </w:p>
        </w:tc>
      </w:tr>
      <w:tr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Regra de CI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Sem deployment visível não há CI operacional; com deployment, classe depende do hosting model.</w:t>
            </w:r>
          </w:p>
        </w:tc>
      </w:tr>
      <w:tr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Correlação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source_unique_id/external_id é obrigatório para reconciliar runtime, CMDB e AICT.</w:t>
            </w:r>
          </w:p>
        </w:tc>
      </w:tr>
    </w:tbl>
    <w:p>
      <w:pPr>
        <w:pStyle w:val="Heading2"/>
        <w:spacing w:before="80" w:after="120"/>
      </w:pPr>
      <w:r>
        <w:rPr>
          <w:b/>
          <w:color w:val="EC7000"/>
          <w:sz w:val="24"/>
          <w:szCs w:val="24"/>
        </w:rPr>
        <w:t xml:space="preserve">Operating model para sustentar AI Control Tower.</w:t>
      </w:r>
    </w:p>
    <w:tbl>
      <w:tblPr>
        <w:tblW w:w="0" w:type="auto"/>
        <w:tblBorders>
          <w:top w:val="single" w:sz="6" w:color="D8DEE8"/>
          <w:left w:val="single" w:sz="6" w:color="D8DEE8"/>
          <w:bottom w:val="single" w:sz="6" w:color="D8DEE8"/>
          <w:right w:val="single" w:sz="6" w:color="D8DEE8"/>
          <w:insideH w:val="single" w:sz="4" w:color="D8DEE8"/>
          <w:insideV w:val="single" w:sz="4" w:color="D8DEE8"/>
        </w:tblBorders>
      </w:tblPr>
      <w:tr>
        <w:tc>
          <w:tcPr>
            <w:tcW w:w="2200" w:type="dxa"/>
            <w:shd w:fill="F2F5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b/>
                <w:color w:val="162033"/>
                <w:sz w:val="20"/>
                <w:szCs w:val="20"/>
              </w:rPr>
              <w:t xml:space="preserve">Fase</w:t>
            </w:r>
          </w:p>
        </w:tc>
        <w:tc>
          <w:tcPr>
            <w:tcW w:w="2200" w:type="dxa"/>
            <w:shd w:fill="F2F5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b/>
                <w:color w:val="162033"/>
                <w:sz w:val="20"/>
                <w:szCs w:val="20"/>
              </w:rPr>
              <w:t xml:space="preserve">Entrada</w:t>
            </w:r>
          </w:p>
        </w:tc>
        <w:tc>
          <w:tcPr>
            <w:tcW w:w="2200" w:type="dxa"/>
            <w:shd w:fill="F2F5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b/>
                <w:color w:val="162033"/>
                <w:sz w:val="20"/>
                <w:szCs w:val="20"/>
              </w:rPr>
              <w:t xml:space="preserve">Saída governada</w:t>
            </w:r>
          </w:p>
        </w:tc>
      </w:tr>
      <w:tr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Discover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Service Graph Connectors, Now Assist, hyperscalers, SaaS e esteira Itaú</w:t>
            </w:r>
          </w:p>
        </w:tc>
        <w:tc>
          <w:tcPr>
            <w:tcW w:w="2200" w:type="dxa"/>
            <w:shd w:fill="F2FBF6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AI systems, agents, models, prompts, datasets, tools e MCP servers entram no inventário.</w:t>
            </w:r>
          </w:p>
        </w:tc>
      </w:tr>
      <w:tr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Govern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Owner, risco, dados, lifecycle, approval state e managed/unmanaged</w:t>
            </w:r>
          </w:p>
        </w:tc>
        <w:tc>
          <w:tcPr>
            <w:tcW w:w="2200" w:type="dxa"/>
            <w:shd w:fill="F2FBF6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Steward review e política de governança deixam de ser planilha.</w:t>
            </w:r>
          </w:p>
        </w:tc>
      </w:tr>
      <w:tr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Relate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cmdb_rel_asset_ci, Service Instance, Business Application e source_unique_id</w:t>
            </w:r>
          </w:p>
        </w:tc>
        <w:tc>
          <w:tcPr>
            <w:tcW w:w="2200" w:type="dxa"/>
            <w:shd w:fill="F2FBF6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AI asset, CI, serviço e runtime ficam reconciliáveis por IRE e auditáveis.</w:t>
            </w:r>
          </w:p>
        </w:tc>
      </w:tr>
      <w:tr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Act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Mudança de modelo, prompt, permissão, dataset, postura ou runtime</w:t>
            </w:r>
          </w:p>
        </w:tc>
        <w:tc>
          <w:tcPr>
            <w:tcW w:w="2200" w:type="dxa"/>
            <w:shd w:fill="F2FBF6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Change, remediation, recertificação, exceção, kill switch ou decommission.</w:t>
            </w:r>
          </w:p>
        </w:tc>
      </w:tr>
    </w:tbl>
    <w:p>
      <w:r>
        <w:br w:type="page"/>
      </w:r>
    </w:p>
    <w:p>
      <w:pPr>
        <w:pStyle w:val="Heading1"/>
        <w:spacing w:before="80" w:after="120"/>
      </w:pPr>
      <w:r>
        <w:rPr>
          <w:b/>
          <w:color w:val="0A0F1C"/>
          <w:sz w:val="34"/>
          <w:szCs w:val="34"/>
        </w:rPr>
        <w:t xml:space="preserve">4. Modelo de Dados Mínimo</w:t>
      </w:r>
    </w:p>
    <w:tbl>
      <w:tblPr>
        <w:tblW w:w="0" w:type="auto"/>
        <w:tblBorders>
          <w:top w:val="single" w:sz="6" w:color="D8DEE8"/>
          <w:left w:val="single" w:sz="6" w:color="D8DEE8"/>
          <w:bottom w:val="single" w:sz="6" w:color="D8DEE8"/>
          <w:right w:val="single" w:sz="6" w:color="D8DEE8"/>
          <w:insideH w:val="single" w:sz="4" w:color="D8DEE8"/>
          <w:insideV w:val="single" w:sz="4" w:color="D8DEE8"/>
        </w:tblBorders>
      </w:tblPr>
      <w:tr>
        <w:tc>
          <w:tcPr>
            <w:tcW w:w="2200" w:type="dxa"/>
            <w:shd w:fill="F2F5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b/>
                <w:color w:val="162033"/>
                <w:sz w:val="20"/>
                <w:szCs w:val="20"/>
              </w:rPr>
              <w:t xml:space="preserve">Grupo</w:t>
            </w:r>
          </w:p>
        </w:tc>
        <w:tc>
          <w:tcPr>
            <w:tcW w:w="2200" w:type="dxa"/>
            <w:shd w:fill="F2F5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b/>
                <w:color w:val="162033"/>
                <w:sz w:val="20"/>
                <w:szCs w:val="20"/>
              </w:rPr>
              <w:t xml:space="preserve">Campos mínimos</w:t>
            </w:r>
          </w:p>
        </w:tc>
      </w:tr>
      <w:tr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Accountability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business_owner, technical_owner, support_group, data_steward, risk_owner</w:t>
            </w:r>
          </w:p>
        </w:tc>
      </w:tr>
      <w:tr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Risco e dado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risk_tier, data_classification, pii_handling, data_residency, decision_authority</w:t>
            </w:r>
          </w:p>
        </w:tc>
      </w:tr>
      <w:tr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Runtime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hosting_model, provider, environment, external_id, source_unique_id</w:t>
            </w:r>
          </w:p>
        </w:tc>
      </w:tr>
      <w:tr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Governança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review_cadence, kill_switch_owner, lifecycle, approval_state, evidence_url</w:t>
            </w:r>
          </w:p>
        </w:tc>
      </w:tr>
      <w:tr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Relações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cmdb_rel_asset_ci, Service Instance, Business Application, dependencies</w:t>
            </w:r>
          </w:p>
        </w:tc>
      </w:tr>
    </w:tbl>
    <w:p>
      <w:r>
        <w:br w:type="page"/>
      </w:r>
    </w:p>
    <w:p>
      <w:pPr>
        <w:pStyle w:val="Heading1"/>
        <w:spacing w:before="80" w:after="120"/>
      </w:pPr>
      <w:r>
        <w:rPr>
          <w:b/>
          <w:color w:val="0A0F1C"/>
          <w:sz w:val="34"/>
          <w:szCs w:val="34"/>
        </w:rPr>
        <w:t xml:space="preserve">5. Architecture Sprint</w:t>
      </w:r>
    </w:p>
    <w:tbl>
      <w:tblPr>
        <w:tblW w:w="0" w:type="auto"/>
        <w:tblBorders>
          <w:top w:val="single" w:sz="6" w:color="D8DEE8"/>
          <w:left w:val="single" w:sz="6" w:color="D8DEE8"/>
          <w:bottom w:val="single" w:sz="6" w:color="D8DEE8"/>
          <w:right w:val="single" w:sz="6" w:color="D8DEE8"/>
          <w:insideH w:val="single" w:sz="4" w:color="D8DEE8"/>
          <w:insideV w:val="single" w:sz="4" w:color="D8DEE8"/>
        </w:tblBorders>
      </w:tblPr>
      <w:tr>
        <w:tc>
          <w:tcPr>
            <w:tcW w:w="2200" w:type="dxa"/>
            <w:shd w:fill="F2F5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b/>
                <w:color w:val="162033"/>
                <w:sz w:val="20"/>
                <w:szCs w:val="20"/>
              </w:rPr>
              <w:t xml:space="preserve">#</w:t>
            </w:r>
          </w:p>
        </w:tc>
        <w:tc>
          <w:tcPr>
            <w:tcW w:w="2200" w:type="dxa"/>
            <w:shd w:fill="F2F5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b/>
                <w:color w:val="162033"/>
                <w:sz w:val="20"/>
                <w:szCs w:val="20"/>
              </w:rPr>
              <w:t xml:space="preserve">Etapa</w:t>
            </w:r>
          </w:p>
        </w:tc>
        <w:tc>
          <w:tcPr>
            <w:tcW w:w="2200" w:type="dxa"/>
            <w:shd w:fill="F2F5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b/>
                <w:color w:val="162033"/>
                <w:sz w:val="20"/>
                <w:szCs w:val="20"/>
              </w:rPr>
              <w:t xml:space="preserve">Evidência esperada</w:t>
            </w:r>
          </w:p>
        </w:tc>
      </w:tr>
      <w:tr>
        <w:tc>
          <w:tcPr>
            <w:tcW w:w="2200" w:type="dxa"/>
            <w:shd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1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Taxonomia</w:t>
            </w:r>
          </w:p>
        </w:tc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Fechar critério de classe: SaaS/cloud/terceiro versus Itaú-managed.</w:t>
            </w:r>
          </w:p>
        </w:tc>
      </w:tr>
      <w:tr>
        <w:tc>
          <w:tcPr>
            <w:tcW w:w="2200" w:type="dxa"/>
            <w:shd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2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Intake mínimo</w:t>
            </w:r>
          </w:p>
        </w:tc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Owner, support_group, risk_tier, dados, provider, autonomy e source_unique_id.</w:t>
            </w:r>
          </w:p>
        </w:tc>
      </w:tr>
      <w:tr>
        <w:tc>
          <w:tcPr>
            <w:tcW w:w="2200" w:type="dxa"/>
            <w:shd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3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Sandbox</w:t>
            </w:r>
          </w:p>
        </w:tc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Cadastrar 3 a 5 agentes reais sem contaminar produção.</w:t>
            </w:r>
          </w:p>
        </w:tc>
      </w:tr>
      <w:tr>
        <w:tc>
          <w:tcPr>
            <w:tcW w:w="2200" w:type="dxa"/>
            <w:shd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4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CSDM</w:t>
            </w:r>
          </w:p>
        </w:tc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Relacionar Business Application, Service Instance, AI Digital Asset e AI CI.</w:t>
            </w:r>
          </w:p>
        </w:tc>
      </w:tr>
      <w:tr>
        <w:tc>
          <w:tcPr>
            <w:tcW w:w="2200" w:type="dxa"/>
            <w:shd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5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AICT readiness</w:t>
            </w:r>
          </w:p>
        </w:tc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Preparar Service Graph Connectors, IRE e chaves externas para discovery.</w:t>
            </w:r>
          </w:p>
        </w:tc>
      </w:tr>
      <w:tr>
        <w:tc>
          <w:tcPr>
            <w:tcW w:w="2200" w:type="dxa"/>
            <w:shd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6</w:t>
            </w:r>
          </w:p>
        </w:tc>
        <w:tc>
          <w:tcPr>
            <w:tcW w:w="2200" w:type="dxa"/>
            <w:shd w:fill="FFF7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Go/no-go</w:t>
            </w:r>
          </w:p>
        </w:tc>
        <w:tc>
          <w:tcPr>
            <w:tcW w:w="2200" w:type="dxa"/>
            <w:shd w:fill="F6FAFF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spacing w:before="0" w:after="0"/>
            </w:pPr>
            <w:r>
              <w:rPr>
                <w:color w:val="283342"/>
                <w:sz w:val="19"/>
                <w:szCs w:val="19"/>
              </w:rPr>
              <w:t xml:space="preserve">Medir completude, duplicidade, risco, owner coverage e cobertura por serviço.</w:t>
            </w:r>
          </w:p>
        </w:tc>
      </w:tr>
    </w:tbl>
    <w:p>
      <w:pPr>
        <w:pStyle w:val="BodyText"/>
        <w:spacing w:before="80" w:after="120"/>
      </w:pPr>
      <w:r>
        <w:rPr>
          <w:b/>
          <w:color w:val="EC7000"/>
          <w:sz w:val="22"/>
          <w:szCs w:val="22"/>
        </w:rPr>
        <w:t xml:space="preserve">Critério de go/no-go: cobertura de owner, risco, dados, service instance, source IDs, relação Asset-CI, prontidão para Service Graph Connectors/IRE e evidência de change/review.</w:t>
      </w:r>
    </w:p>
    <w:p>
      <w:r>
        <w:br w:type="page"/>
      </w:r>
    </w:p>
    <w:p>
      <w:pPr>
        <w:pStyle w:val="Heading1"/>
        <w:spacing w:before="80" w:after="120"/>
      </w:pPr>
      <w:r>
        <w:rPr>
          <w:b/>
          <w:color w:val="0A0F1C"/>
          <w:sz w:val="34"/>
          <w:szCs w:val="34"/>
        </w:rPr>
        <w:t xml:space="preserve">6. Fontes e Guardrails</w:t>
      </w:r>
    </w:p>
    <w:p>
      <w:pPr>
        <w:pStyle w:val="BodyText"/>
        <w:spacing w:before="40" w:after="80"/>
      </w:pPr>
      <w:r>
        <w:rPr>
          <w:sz w:val="21"/>
          <w:szCs w:val="21"/>
        </w:rPr>
        <w:t xml:space="preserve">• CMDB CI Class Models: cmdb_ci_function_ai e cmdb_ci_appl_ai_application dependem do tipo de deployment.</w:t>
      </w:r>
    </w:p>
    <w:p>
      <w:pPr>
        <w:pStyle w:val="BodyText"/>
        <w:spacing w:before="40" w:after="80"/>
      </w:pPr>
      <w:r>
        <w:rPr>
          <w:sz w:val="21"/>
          <w:szCs w:val="21"/>
        </w:rPr>
        <w:t xml:space="preserve">• AI Control Tower: AI inventory cobre AI systems, models, prompts, datasets e MCP servers.</w:t>
      </w:r>
    </w:p>
    <w:p>
      <w:pPr>
        <w:pStyle w:val="BodyText"/>
        <w:spacing w:before="40" w:after="80"/>
      </w:pPr>
      <w:r>
        <w:rPr>
          <w:sz w:val="21"/>
          <w:szCs w:val="21"/>
        </w:rPr>
        <w:t xml:space="preserve">• Enterprise AI discovery: Service Graph Connectors descobrem AI assets e enviam para CMDB/governança.</w:t>
      </w:r>
    </w:p>
    <w:p>
      <w:pPr>
        <w:pStyle w:val="BodyText"/>
        <w:spacing w:before="40" w:after="80"/>
      </w:pPr>
      <w:r>
        <w:rPr>
          <w:sz w:val="21"/>
          <w:szCs w:val="21"/>
        </w:rPr>
        <w:t xml:space="preserve">• Asset-CI Relationship: cmdb_rel_asset_ci conecta AI Digital Asset ao CI quando runtime existe.</w:t>
      </w:r>
    </w:p>
    <w:p>
      <w:pPr>
        <w:pStyle w:val="BodyText"/>
        <w:spacing w:before="40" w:after="80"/>
      </w:pPr>
      <w:r>
        <w:rPr>
          <w:sz w:val="21"/>
          <w:szCs w:val="21"/>
        </w:rPr>
        <w:t xml:space="preserve">• IRE: Identification and Reconciliation Engine evita duplicidade e governa fontes autoritativas.</w:t>
      </w:r>
    </w:p>
    <w:p>
      <w:pPr>
        <w:pStyle w:val="BodyText"/>
        <w:spacing w:before="80" w:after="120"/>
      </w:pPr>
      <w:r>
        <w:rPr>
          <w:b/>
          <w:color w:val="0A0F1C"/>
          <w:sz w:val="22"/>
          <w:szCs w:val="22"/>
        </w:rPr>
        <w:t xml:space="preserve">Guardrail de produção: este pacote e a página Itaú não alteram app/control_tower, app/api/control-tower ou lib/control-tower. Release exige diff limpo, testes de guard, build, smoke de /control_tower e smoke público pós-deploy.</w:t>
      </w:r>
    </w:p>
    <w:sectPr>
      <w:pgSz w:w="11906" w:h="16838"/>
      <w:pgMar w:top="900" w:right="820" w:bottom="900" w:left="820" w:header="450" w:footer="450" w:gutter="0"/>
    </w:sectPr>
  </w:body>
</w:document>
</file>

<file path=word/styles.xml><?xml version="1.0" encoding="utf-8"?>
<w:styles xmlns:w="http://schemas.openxmlformats.org/wordprocessingml/2006/main">
  <w:style w:type="paragraph" w:default="1" w:styleId="BodyText">
    <w:name w:val="Body Text"/>
    <w:qFormat/>
    <w:pPr>
      <w:spacing w:line="300" w:lineRule="auto"/>
    </w:pPr>
    <w:rPr>
      <w:rFonts w:ascii="Aptos" w:hAnsi="Aptos"/>
      <w:sz w:val="21"/>
      <w:color w:val="283342"/>
    </w:rPr>
  </w:style>
  <w:style w:type="paragraph" w:styleId="Title">
    <w:name w:val="Title"/>
    <w:qFormat/>
    <w:rPr>
      <w:rFonts w:ascii="Aptos Display" w:hAnsi="Aptos Display"/>
      <w:b/>
      <w:sz w:val="50"/>
    </w:rPr>
  </w:style>
  <w:style w:type="paragraph" w:styleId="Heading1">
    <w:name w:val="heading 1"/>
    <w:basedOn w:val="BodyText"/>
    <w:next w:val="BodyText"/>
    <w:qFormat/>
    <w:rPr>
      <w:rFonts w:ascii="Aptos Display" w:hAnsi="Aptos Display"/>
      <w:b/>
      <w:sz w:val="34"/>
    </w:rPr>
  </w:style>
  <w:style w:type="paragraph" w:styleId="Heading2">
    <w:name w:val="heading 2"/>
    <w:basedOn w:val="BodyText"/>
    <w:next w:val="BodyText"/>
    <w:qFormat/>
    <w:rPr>
      <w:rFonts w:ascii="Aptos" w:hAnsi="Aptos"/>
      <w:b/>
      <w:sz w:val="24"/>
    </w:rPr>
  </w:style>
  <w:style w:type="paragraph" w:styleId="Label">
    <w:name w:val="Label"/>
    <w:basedOn w:val="BodyText"/>
    <w:qFormat/>
    <w:rPr>
      <w:rFonts w:ascii="Aptos" w:hAnsi="Aptos"/>
      <w:b/>
      <w:caps/>
      <w:sz w:val="2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 OOXML Reference Builder</Application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Itaú AI Governance Architectural Notation Reference</dc:title>
  <dc:creator>Paulo Pierrondi / ServiceNow architecture reference</dc:creator>
  <cp:lastModifiedBy>Codex</cp:lastModifiedBy>
  <dcterms:created xsi:type="dcterms:W3CDTF">2026-06-02T11:13:31+00:00</dcterms:created>
  <dcterms:modified xsi:type="dcterms:W3CDTF">2026-06-02T11:13:31+00:00</dcterms:modified>
</cp:coreProperties>
</file>