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Determinantes</w:t>
      </w:r>
      <w:r>
        <w:t xml:space="preserve"> </w:t>
      </w:r>
      <w:r>
        <w:t xml:space="preserve">Sociais</w:t>
      </w:r>
      <w:r>
        <w:t xml:space="preserve"> </w:t>
      </w:r>
      <w:r>
        <w:t xml:space="preserve">e</w:t>
      </w:r>
      <w:r>
        <w:t xml:space="preserve"> </w:t>
      </w:r>
      <w:r>
        <w:t xml:space="preserve">Espaciais</w:t>
      </w:r>
      <w:r>
        <w:t xml:space="preserve"> </w:t>
      </w:r>
      <w:r>
        <w:t xml:space="preserve">da</w:t>
      </w:r>
      <w:r>
        <w:t xml:space="preserve"> </w:t>
      </w:r>
      <w:r>
        <w:t xml:space="preserve">Doença</w:t>
      </w:r>
      <w:r>
        <w:t xml:space="preserve"> </w:t>
      </w:r>
      <w:r>
        <w:t xml:space="preserve">Renal</w:t>
      </w:r>
      <w:r>
        <w:t xml:space="preserve"> </w:t>
      </w:r>
      <w:r>
        <w:t xml:space="preserve">Crônica:</w:t>
      </w:r>
      <w:r>
        <w:t xml:space="preserve"> </w:t>
      </w:r>
      <w:r>
        <w:t xml:space="preserve">Uma</w:t>
      </w:r>
      <w:r>
        <w:t xml:space="preserve"> </w:t>
      </w:r>
      <w:r>
        <w:t xml:space="preserve">Perspectiva</w:t>
      </w:r>
      <w:r>
        <w:t xml:space="preserve"> </w:t>
      </w:r>
      <w:r>
        <w:t xml:space="preserve">Espacial</w:t>
      </w:r>
    </w:p>
    <w:p>
      <w:pPr>
        <w:pStyle w:val="Author"/>
      </w:pPr>
      <w:r>
        <w:t xml:space="preserve">Paulo</w:t>
      </w:r>
      <w:r>
        <w:t xml:space="preserve"> </w:t>
      </w:r>
      <w:r>
        <w:t xml:space="preserve">Henrique</w:t>
      </w:r>
      <w:r>
        <w:t xml:space="preserve"> </w:t>
      </w:r>
      <w:r>
        <w:t xml:space="preserve">de</w:t>
      </w:r>
      <w:r>
        <w:t xml:space="preserve"> </w:t>
      </w:r>
      <w:r>
        <w:t xml:space="preserve">Almeida</w:t>
      </w:r>
      <w:r>
        <w:t xml:space="preserve"> </w:t>
      </w:r>
      <w:r>
        <w:t xml:space="preserve">Soares</w:t>
      </w:r>
      <w:r>
        <w:t xml:space="preserve"> </w:t>
      </w:r>
      <w:r>
        <w:t xml:space="preserve">Pimenta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19,</w:t>
      </w:r>
      <w:r>
        <w:t xml:space="preserve"> </w:t>
      </w:r>
      <w:r>
        <w:t xml:space="preserve">2026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A doença renal crônica (DRC) afeta mais de 850 milhões de pessoas mundialmente e está projetada para se tornar a quinta causa de morte global até 2050. Embora o diabetes e a hipertensão sejam as causas principais em países de alta renda, a DRC é considerada uma doença arquetípica da desigualdade, afetando desproporcionalmente populações em condições de privação socioeconômica. Em países de baixa e média renda (LMICs), a urbanização não planejada e a transição nutricional têm acelerado a prevalência da doença.</w:t>
      </w:r>
    </w:p>
    <w:bookmarkEnd w:id="20"/>
    <w:bookmarkStart w:id="21" w:name="perguntas-de-pesquisa-hipóteses"/>
    <w:p>
      <w:pPr>
        <w:pStyle w:val="Heading2"/>
      </w:pPr>
      <w:r>
        <w:t xml:space="preserve">Perguntas de pesquisa / Hipóteses</w:t>
      </w:r>
    </w:p>
    <w:p>
      <w:pPr>
        <w:pStyle w:val="FirstParagraph"/>
      </w:pPr>
      <w:r>
        <w:t xml:space="preserve">Este estudo tem como objetivo investigar a associação longitudinal entre espaços territoriais e o declínio da função renal. Nossa hipótese é que determinadas regiões possuem características específicas relacionadas as variáveis socioconomicas, demográficas ambientais, demográficas e espaciais que são associadas a uma menor taxa de filtração glomerular estimada (eGFR) no momento basal e a um declínio mais acelerado da função renal ao longo do tempo. Além disso, esperamos que essa associação permaneça significativa mesmo após o ajuste para outros fatores, como características clínicas e comportamentais, e que varie entre subgrupos clínicos, como indivíduos com hipertensão arterial, diabetes mellitus e obesidade.</w:t>
      </w:r>
    </w:p>
    <w:p>
      <w:pPr>
        <w:pStyle w:val="BodyText"/>
      </w:pPr>
      <w:r>
        <w:t xml:space="preserve">Alguns fatores importantes foram levantados como:</w:t>
      </w:r>
    </w:p>
    <w:p>
      <w:pPr>
        <w:numPr>
          <w:ilvl w:val="0"/>
          <w:numId w:val="1001"/>
        </w:numPr>
      </w:pPr>
      <w:r>
        <w:t xml:space="preserve">Como os fatores do ambiente construído (caminhabilidade, espaços verdes) influenciam o surgimento e a progressão da DRC.</w:t>
      </w:r>
    </w:p>
    <w:p>
      <w:pPr>
        <w:numPr>
          <w:ilvl w:val="0"/>
          <w:numId w:val="1001"/>
        </w:numPr>
      </w:pPr>
      <w:r>
        <w:t xml:space="preserve">Pacientes com DRC e vulnerabilidade socioeconomicam tendem a apresentar piores desfechos clínicos (progressão para falência renal e mortalidade) do que aqueles de status elevado.</w:t>
      </w:r>
    </w:p>
    <w:p>
      <w:pPr>
        <w:numPr>
          <w:ilvl w:val="0"/>
          <w:numId w:val="1001"/>
        </w:numPr>
      </w:pPr>
      <w:r>
        <w:t xml:space="preserve">A segregação residencial e a pobreza do bairro tendem a ser preditores independentes de falência renal, além dos riscos individuais.</w:t>
      </w:r>
    </w:p>
    <w:bookmarkEnd w:id="21"/>
    <w:bookmarkStart w:id="22" w:name="análise-estatística"/>
    <w:p>
      <w:pPr>
        <w:pStyle w:val="Heading2"/>
      </w:pPr>
      <w:r>
        <w:t xml:space="preserve">Análise estatística</w:t>
      </w:r>
    </w:p>
    <w:p>
      <w:pPr>
        <w:pStyle w:val="FirstParagraph"/>
      </w:pPr>
      <w:r>
        <w:t xml:space="preserve">Modelos Lineares de Efeitos Mistos serão utilizados para avaliar a associação longitudinal entre a variabilidade regional, com dados expresso como percentual da ingestão energética total, e as trajetórias da taxa de filtração glomerular estimada (eGFR) ao longo das ondas do ELSA-Brasil. Os modelos incluirão interceptos e inclinações aleatórios no nível individual, permitindo capturar a heterogeneidade interindividual tanto na função renal basal quanto na taxa de declínio da função renal. Serão ajustados modelos brutos e modelos multivariados ajustados, controlando para idade, sexo, renda, índice de massa corporal, hipertensão arterial, diabetes mellitus, dislipidemia, tabagismo, consumo de álcool e nível de atividade física. A adequação dos modelos será avaliada por meio de critérios de informação e da análise dos resíduos.</w:t>
      </w:r>
    </w:p>
    <w:p>
      <w:pPr>
        <w:pStyle w:val="BodyText"/>
      </w:pPr>
      <w:r>
        <w:t xml:space="preserve">Além disso serão incluídos metodologias variadas para medir associações, tais como:</w:t>
      </w:r>
    </w:p>
    <w:p>
      <w:pPr>
        <w:numPr>
          <w:ilvl w:val="0"/>
          <w:numId w:val="1002"/>
        </w:numPr>
      </w:pPr>
      <w:r>
        <w:t xml:space="preserve">Modelos de riscos proporcionais de Cox e Razão de Riscos Ajustada (aHR) para avaliar mortalidade e progressão para falência renal (ESKD).</w:t>
      </w:r>
    </w:p>
    <w:p>
      <w:pPr>
        <w:numPr>
          <w:ilvl w:val="0"/>
          <w:numId w:val="1002"/>
        </w:numPr>
      </w:pPr>
      <w:r>
        <w:t xml:space="preserve">Meta-análises para agregar riscos relativos (RR) entre diferentes populações.</w:t>
      </w:r>
    </w:p>
    <w:p>
      <w:pPr>
        <w:numPr>
          <w:ilvl w:val="0"/>
          <w:numId w:val="1002"/>
        </w:numPr>
      </w:pPr>
      <w:r>
        <w:t xml:space="preserve">Pareamento por escore de propensão em estudos de coortes baseados em registros eletrônicos de saúde (EHR) para reduzir vieses de seleção.</w:t>
      </w:r>
    </w:p>
    <w:p>
      <w:pPr>
        <w:numPr>
          <w:ilvl w:val="0"/>
          <w:numId w:val="1002"/>
        </w:numPr>
      </w:pPr>
      <w:r>
        <w:t xml:space="preserve">Modelos espaciais e temporais para estimar a exposição à poluição (PM2.5).</w:t>
      </w:r>
    </w:p>
    <w:bookmarkEnd w:id="22"/>
    <w:bookmarkStart w:id="27" w:name="variáveis"/>
    <w:p>
      <w:pPr>
        <w:pStyle w:val="Heading2"/>
      </w:pPr>
      <w:r>
        <w:t xml:space="preserve">Variáveis</w:t>
      </w:r>
    </w:p>
    <w:p>
      <w:pPr>
        <w:pStyle w:val="FirstParagraph"/>
      </w:pPr>
      <w:r>
        <w:t xml:space="preserve">Os desfechos incluem a taxa de filtração glomerular estimada (eGFR), a creatinina sérica e a razão albumina-creatinina urinária (RAC). As covariáveis abrangem características sociodemográficas, antropométricas, clínicas e relacionadas ao estilo de vida.</w:t>
      </w:r>
    </w:p>
    <w:bookmarkStart w:id="23" w:name="variáveis-clínicas"/>
    <w:p>
      <w:pPr>
        <w:pStyle w:val="Heading3"/>
      </w:pPr>
      <w:r>
        <w:t xml:space="preserve">Variáveis Clínicas</w:t>
      </w:r>
    </w:p>
    <w:p>
      <w:pPr>
        <w:pStyle w:val="FirstParagraph"/>
      </w:pPr>
      <w:r>
        <w:t xml:space="preserve">As variáveis clínicas foram obtidas por meio de exames médicos padronizados, testes laboratoriais e questionários validados. A função renal foi avaliada pela taxa de filtração glomerular estimada (eGFR), calculada com base nos níveis de creatinina sérica, idade e sexo, utilizando a equação CKD-EPI (2021). A doença renal crônica (DRC) foi definida por</w:t>
      </w:r>
      <w:r>
        <w:t xml:space="preserve"> </w:t>
      </w:r>
      <m:oMath>
        <m:r>
          <m:rPr>
            <m:sty m:val="p"/>
          </m:rPr>
          <m:t>&lt;</m:t>
        </m:r>
        <m:r>
          <m:t>60</m:t>
        </m:r>
      </m:oMath>
      <w:r>
        <w:t xml:space="preserve"> </w:t>
      </w:r>
      <w:r>
        <w:t xml:space="preserve">mL/min/1.73 m² ou razão albumina-creatinina urinária (RAC) elevada.</w:t>
      </w:r>
    </w:p>
    <w:p>
      <w:pPr>
        <w:pStyle w:val="BodyText"/>
      </w:pPr>
      <w:r>
        <w:t xml:space="preserve">A creatinina sérica (CrS) foi mensurada em amostras de sangue obtidas após jejum, por meio de métodos laboratoriais padronizados, e as alterações da função renal foram avaliadas longitudinalmente. A razão albumina-creatinina urinária (RAC) foi obtida a partir de amostras de urina noturna coletadas por métodos validados, sendo considerada elevada quando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30 mg/g.</w:t>
      </w:r>
    </w:p>
    <w:p>
      <w:pPr>
        <w:pStyle w:val="BodyText"/>
      </w:pPr>
      <w:r>
        <w:t xml:space="preserve">As comorbidades clínicas consideradas fatores de risco para DRC incluíram hipertensão arterial (pressão arterial sistólica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140 mmHg, pressão arterial diastólica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90 mmHg ou uso de medicamentos anti-hipertensivos), diabetes mellitus (diagnóstico prévio, uso de medicamentos antidiabéticos, glicemia de jejum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126 mg/dL, glicemia de 2 horas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200 mg/dL ou hemoglobina glicada [HbA1c]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6,5%), dislipidemia (colesterol LDL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130 mg/dL ou uso de medicamentos hipolipemiantes) e doença cardiovascular.</w:t>
      </w:r>
    </w:p>
    <w:p>
      <w:pPr>
        <w:pStyle w:val="BodyText"/>
      </w:pPr>
      <w:r>
        <w:t xml:space="preserve">As variáveis clínicas relacionadas ao estilo de vida incluíram o tabagismo, o consumo de bebidas alcoólicas e o nível de atividade física, avaliados por meio de instrumentos validados, incluindo o Questionário Internacional de Atividade Física (IPAQ).</w:t>
      </w:r>
    </w:p>
    <w:p>
      <w:pPr>
        <w:numPr>
          <w:ilvl w:val="0"/>
          <w:numId w:val="1003"/>
        </w:numPr>
      </w:pPr>
      <w:r>
        <w:t xml:space="preserve">Função Renal: Taxa de filtração glomerular estimada (eGFR) e níveis de creatinina sérica</w:t>
      </w:r>
    </w:p>
    <w:p>
      <w:pPr>
        <w:numPr>
          <w:ilvl w:val="0"/>
          <w:numId w:val="1003"/>
        </w:numPr>
      </w:pPr>
      <w:r>
        <w:t xml:space="preserve">Dano Renal: Presença de albuminúria ou proteinúria</w:t>
      </w:r>
    </w:p>
    <w:p>
      <w:pPr>
        <w:numPr>
          <w:ilvl w:val="0"/>
          <w:numId w:val="1003"/>
        </w:numPr>
      </w:pPr>
      <w:r>
        <w:t xml:space="preserve">Comorbidades: Presença de diabetes mellitus, hipertensão e doenças cardiovasculares</w:t>
      </w:r>
    </w:p>
    <w:p>
      <w:pPr>
        <w:numPr>
          <w:ilvl w:val="0"/>
          <w:numId w:val="1003"/>
        </w:numPr>
      </w:pPr>
      <w:r>
        <w:t xml:space="preserve">Desfechos: Falência renal terminal (ESKD), necessidade de diálise e mortalidade por todas as causas</w:t>
      </w:r>
    </w:p>
    <w:bookmarkEnd w:id="23"/>
    <w:bookmarkStart w:id="24" w:name="variáveis-sociodemográficas"/>
    <w:p>
      <w:pPr>
        <w:pStyle w:val="Heading3"/>
      </w:pPr>
      <w:r>
        <w:t xml:space="preserve">Variáveis Sociodemográficas</w:t>
      </w:r>
    </w:p>
    <w:p>
      <w:pPr>
        <w:pStyle w:val="FirstParagraph"/>
      </w:pPr>
      <w:r>
        <w:t xml:space="preserve">As características sociodemográficas foram obtidas por meio de entrevistas padronizadas realizadas como parte do protocolo do ELSA-Brasil. A idade foi tratada como uma variável contínua e expressa em anos na linha de base. O sexo foi analisado como uma variável categórica (masculino/feminino) e também foi utilizado na estimativa da função renal. Essas variáveis foram consideradas potenciais fatores de confusão essenciais em todos os modelos analíticos destinados a avaliar o declínio da função renal.</w:t>
      </w:r>
    </w:p>
    <w:p>
      <w:pPr>
        <w:numPr>
          <w:ilvl w:val="0"/>
          <w:numId w:val="1004"/>
        </w:numPr>
      </w:pPr>
      <w:r>
        <w:t xml:space="preserve">Renda e Pobreza: Renda familiar anual e níveis de pobreza do bairro</w:t>
      </w:r>
    </w:p>
    <w:p>
      <w:pPr>
        <w:numPr>
          <w:ilvl w:val="0"/>
          <w:numId w:val="1004"/>
        </w:numPr>
      </w:pPr>
      <w:r>
        <w:t xml:space="preserve">Escolaridade: Nível educacional alcançado (fundamental, médio ou superior)</w:t>
      </w:r>
    </w:p>
    <w:p>
      <w:pPr>
        <w:numPr>
          <w:ilvl w:val="0"/>
          <w:numId w:val="1004"/>
        </w:numPr>
      </w:pPr>
      <w:r>
        <w:t xml:space="preserve">Ocupação: Tipo de emprego (especializado vs. não especializado) e status de desemprego</w:t>
      </w:r>
    </w:p>
    <w:p>
      <w:pPr>
        <w:numPr>
          <w:ilvl w:val="0"/>
          <w:numId w:val="1004"/>
        </w:numPr>
      </w:pPr>
      <w:r>
        <w:t xml:space="preserve">Raça/Etnia: Identificação étnica e seu cruzamento com a privação</w:t>
      </w:r>
    </w:p>
    <w:p>
      <w:pPr>
        <w:numPr>
          <w:ilvl w:val="0"/>
          <w:numId w:val="1004"/>
        </w:numPr>
      </w:pPr>
      <w:r>
        <w:t xml:space="preserve">Habitação: Instabilidade habitacional e situação de rua</w:t>
      </w:r>
    </w:p>
    <w:bookmarkEnd w:id="24"/>
    <w:bookmarkStart w:id="25" w:name="variáveis-antropométricas"/>
    <w:p>
      <w:pPr>
        <w:pStyle w:val="Heading3"/>
      </w:pPr>
      <w:r>
        <w:t xml:space="preserve">Variáveis Antropométricas</w:t>
      </w:r>
    </w:p>
    <w:p>
      <w:pPr>
        <w:pStyle w:val="FirstParagraph"/>
      </w:pPr>
      <w:r>
        <w:t xml:space="preserve">As medidas antropométricas foram obtidas por meio de procedimentos padronizados. O índice de massa corporal (IMC) foi calculado pela razão entre o peso corporal, em quilogramas, e a altura, em metros, ao quadrado (kg/m²). O IMC foi classificado de acordo com os critérios da Organização Mundial da Saúde em baixo peso (</w:t>
      </w:r>
      <m:oMath>
        <m:r>
          <m:rPr>
            <m:sty m:val="p"/>
          </m:rPr>
          <m:t>&lt;</m:t>
        </m:r>
        <m:r>
          <m:t>18.5</m:t>
        </m:r>
      </m:oMath>
      <w:r>
        <w:t xml:space="preserve"> </w:t>
      </w:r>
      <w:r>
        <w:t xml:space="preserve">kg/m²), eutrofia (18,5–24,9 kg/m²), sobrepeso (25,0–29,9 kg/m²) e obesidade graus I (30,0–34,9 kg/m²), II (35,0–39,9 kg/m²) e III (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40,0 kg/m²).</w:t>
      </w:r>
    </w:p>
    <w:p>
      <w:pPr>
        <w:pStyle w:val="BodyText"/>
      </w:pPr>
      <w:r>
        <w:t xml:space="preserve">Adicionalmente, a excreção urinária de sódio e de potássio foi incluída como biomarcador relacionado à ingestão alimentar e à função renal, fornecendo informações complementares sobre o equilíbrio eletrolítico e a saúde renal.</w:t>
      </w:r>
    </w:p>
    <w:p>
      <w:pPr>
        <w:numPr>
          <w:ilvl w:val="0"/>
          <w:numId w:val="1005"/>
        </w:numPr>
        <w:pStyle w:val="Compact"/>
      </w:pPr>
      <w:r>
        <w:t xml:space="preserve">Índice de Massa Corporal (IMC): Utilizado para avaliar a relação entre obesidade, ambiente de vizinhança e risco de DRC.</w:t>
      </w:r>
    </w:p>
    <w:bookmarkEnd w:id="25"/>
    <w:bookmarkStart w:id="26" w:name="variáveis-de-exposição-dietética"/>
    <w:p>
      <w:pPr>
        <w:pStyle w:val="Heading3"/>
      </w:pPr>
      <w:r>
        <w:t xml:space="preserve">Variáveis de Exposição Dietética</w:t>
      </w:r>
    </w:p>
    <w:p>
      <w:pPr>
        <w:pStyle w:val="FirstParagraph"/>
      </w:pPr>
      <w:r>
        <w:t xml:space="preserve">A exposição alimentar foi avaliada por meio de um questionário de frequência alimentar (QFA) semiquantitativo validado. O consumo de alimentos foi classificado de acordo com o sistema de classificação NOVA e expresso como o percentual da ingestão energética diária total proveniente de alimentos. As estimativas de ingestão de nutrientes foram ajustadas pela ingestão energética total utilizando o método dos resíduos. Índices de qualidade da dieta e padrões alimentares também foram derivados e incluídos nos modelos multivariados, quando apropriado.</w:t>
      </w:r>
    </w:p>
    <w:p>
      <w:pPr>
        <w:pStyle w:val="BodyText"/>
      </w:pPr>
      <w:r>
        <w:t xml:space="preserve">Durante a pesquisa será analisada como em cada região se comporta o padrão dietético e como o mesmo se relaciona aos hábitos e as variáveis socioeconomicas e demográficas, para tal serão investigadas algumas variáveis como:</w:t>
      </w:r>
    </w:p>
    <w:p>
      <w:pPr>
        <w:numPr>
          <w:ilvl w:val="0"/>
          <w:numId w:val="1006"/>
        </w:numPr>
      </w:pPr>
      <w:r>
        <w:t xml:space="preserve">Insegurança Alimentar: Disponibilidade incerta de alimentos nutritivos e seguros.</w:t>
      </w:r>
    </w:p>
    <w:p>
      <w:pPr>
        <w:numPr>
          <w:ilvl w:val="0"/>
          <w:numId w:val="1006"/>
        </w:numPr>
      </w:pPr>
      <w:r>
        <w:t xml:space="preserve">Ambiente Alimentar: Proximidade de supermercados versus densidade de restaurantes de fast-food (</w:t>
      </w:r>
      <w:r>
        <w:t xml:space="preserve">“</w:t>
      </w:r>
      <w:r>
        <w:t xml:space="preserve">desertos alimentares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</w:pPr>
      <w:r>
        <w:t xml:space="preserve">Consumo de Nutrientes: Ingestão de sódio, proteína animal e alimentos ultraprocessados.</w:t>
      </w:r>
    </w:p>
    <w:p>
      <w:pPr>
        <w:numPr>
          <w:ilvl w:val="0"/>
          <w:numId w:val="1006"/>
        </w:numPr>
      </w:pPr>
      <w:r>
        <w:t xml:space="preserve">Consumo de Álcool: Padrões de uso regular ou episódico excessivo.</w:t>
      </w:r>
    </w:p>
    <w:bookmarkEnd w:id="26"/>
    <w:bookmarkEnd w:id="27"/>
    <w:bookmarkStart w:id="28" w:name="relevância-esperada"/>
    <w:p>
      <w:pPr>
        <w:pStyle w:val="Heading2"/>
      </w:pPr>
      <w:r>
        <w:t xml:space="preserve">Relevância esperada</w:t>
      </w:r>
    </w:p>
    <w:p>
      <w:pPr>
        <w:pStyle w:val="FirstParagraph"/>
      </w:pPr>
      <w:r>
        <w:t xml:space="preserve">A síntese dessas variáveis visa identificar fatores modificáveis no nível da comunidade para intervenções baseadas no lugar (place-based). Compreender os determinantes sociais permite que políticas públicas foquem na prevenção primária e no diagnóstico precoce em populações vulneráveis, reduzindo o custo econômico e humano da falência renal terminal</w:t>
      </w:r>
    </w:p>
    <w:bookmarkEnd w:id="28"/>
    <w:bookmarkStart w:id="2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Kim, B., et al. (2025). Built Environment and Chronic Kidney Disease: Current State and Future Directions. Curr Opin Nephrol Hypertens.</w:t>
      </w:r>
    </w:p>
    <w:p>
      <w:pPr>
        <w:pStyle w:val="BodyText"/>
      </w:pPr>
      <w:r>
        <w:t xml:space="preserve">Grant, C. H., et al. (2023). Deprivation and chronic kidney disease—a review of the evidence. Clinical Kidney Journal.</w:t>
      </w:r>
    </w:p>
    <w:p>
      <w:pPr>
        <w:pStyle w:val="BodyText"/>
      </w:pPr>
      <w:r>
        <w:t xml:space="preserve">Zhang, L., et al. (2026). Effects of social determinants of health on the landscape of kidney disease. Nature Reviews Nephrology.</w:t>
      </w:r>
    </w:p>
    <w:p>
      <w:pPr>
        <w:pStyle w:val="BodyText"/>
      </w:pPr>
      <w:r>
        <w:t xml:space="preserve">Vanholder, R., et al. (2023). Inequities in kidney health and kidney care. Nature Reviews Nephrology.</w:t>
      </w:r>
    </w:p>
    <w:p>
      <w:pPr>
        <w:pStyle w:val="BodyText"/>
      </w:pPr>
      <w:r>
        <w:t xml:space="preserve">Crews, D. C., &amp; Novick, T. (2019). Social Determinants of CKD Hotspots. Seminars in Nephrology.</w:t>
      </w:r>
    </w:p>
    <w:p>
      <w:pPr>
        <w:pStyle w:val="BodyText"/>
      </w:pPr>
      <w:r>
        <w:t xml:space="preserve">Moosa, M. R., &amp; Norris, K. C. (2020). Sustainable social development: tackling poverty to achieve kidney health equity. Nature Reviews Nephrology.</w:t>
      </w:r>
    </w:p>
    <w:p>
      <w:pPr>
        <w:pStyle w:val="BodyText"/>
      </w:pPr>
      <w:r>
        <w:t xml:space="preserve">Lapedis, C. J., et al. (2020). Understanding the Link between Neighborhoods and Kidney Disease. Kidney360.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Determinantes Sociais e Espaciais da Doença Renal Crônica: Uma Perspectiva Espacial</dc:title>
  <dc:creator>Paulo Henrique de Almeida Soares Pimenta</dc:creator>
  <cp:keywords/>
  <dcterms:created xsi:type="dcterms:W3CDTF">2026-06-19T20:27:28Z</dcterms:created>
  <dcterms:modified xsi:type="dcterms:W3CDTF">2026-06-19T20:27:28Z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19, 2026</vt:lpwstr>
  </property>
  <property fmtid="{D5CDD505-2E9C-101B-9397-08002B2CF9AE}" pid="3" name="output">
    <vt:lpwstr/>
  </property>
</Properties>
</file>