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Consumo de alimentos ultraprocessados e função renal: análise da taxa de filtração glomerular no Estudo Longitudinal de Saúde do Adulto (ELSA-Brasil)</w:t>
      </w:r>
    </w:p>
    <w:p>
      <w:pPr>
        <w:pStyle w:val="Author"/>
      </w:pPr>
      <w:r>
        <w:t xml:space="preserve">Paulo Henrique de Almeida Soares Pimenta</w:t>
      </w:r>
    </w:p>
    <w:p>
      <w:pPr>
        <w:pStyle w:val="Date"/>
      </w:pPr>
      <w:r>
        <w:t xml:space="preserve">01 de fevereiro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çã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Introdução</w:t>
      </w:r>
    </w:p>
    <w:p>
      <w:pPr>
        <w:pStyle w:val="FirstParagraph"/>
      </w:pPr>
      <w:r>
        <w:t xml:space="preserve">A função renal desempenha um papel crucial na manutenção da homeostase</w:t>
      </w:r>
      <w:r>
        <w:t xml:space="preserve"> </w:t>
      </w:r>
      <w:r>
        <w:t xml:space="preserve">do organismo, sendo a taxa de filtração glomerular (TFG) o principal</w:t>
      </w:r>
      <w:r>
        <w:t xml:space="preserve"> </w:t>
      </w:r>
      <w:r>
        <w:t xml:space="preserve">indicador clínico para sua avaliação. A doença renal crônica (DRC)</w:t>
      </w:r>
      <w:r>
        <w:t xml:space="preserve"> </w:t>
      </w:r>
      <w:r>
        <w:t xml:space="preserve">emerge como um grave problema de saúde pública global, caracterizada por</w:t>
      </w:r>
      <w:r>
        <w:t xml:space="preserve"> </w:t>
      </w:r>
      <w:r>
        <w:t xml:space="preserve">elevada morbimortalidade, significativo impacto econômico e uma</w:t>
      </w:r>
      <w:r>
        <w:t xml:space="preserve"> </w:t>
      </w:r>
      <w:r>
        <w:t xml:space="preserve">prevalência crescente tanto no Brasil quanto internacionalmente</w:t>
      </w:r>
      <w:r>
        <w:t xml:space="preserve"> </w:t>
      </w:r>
      <w:r>
        <w:t xml:space="preserve">(He et al., 2024; Rey-Garcı́a et al., 2021; Srour et al., 2019)</w:t>
      </w:r>
      <w:r>
        <w:t xml:space="preserve">.</w:t>
      </w:r>
    </w:p>
    <w:p>
      <w:pPr>
        <w:pStyle w:val="BodyText"/>
      </w:pPr>
      <w:r>
        <w:t xml:space="preserve">O padrão dietético moderno tem sido marcado por uma crescente</w:t>
      </w:r>
      <w:r>
        <w:t xml:space="preserve"> </w:t>
      </w:r>
      <w:r>
        <w:t xml:space="preserve">substituição de alimentos</w:t>
      </w:r>
      <w:r>
        <w:t xml:space="preserve"> </w:t>
      </w:r>
      <w:r>
        <w:rPr>
          <w:i/>
          <w:iCs/>
        </w:rPr>
        <w:t xml:space="preserve">in natura</w:t>
      </w:r>
      <w:r>
        <w:t xml:space="preserve"> </w:t>
      </w:r>
      <w:r>
        <w:t xml:space="preserve">ou minimamente processados por</w:t>
      </w:r>
      <w:r>
        <w:t xml:space="preserve"> </w:t>
      </w:r>
      <w:r>
        <w:t xml:space="preserve">Alimentos Ultraprocessados (AUPs), conforme a classificação NOVA</w:t>
      </w:r>
      <w:r>
        <w:t xml:space="preserve"> </w:t>
      </w:r>
      <w:r>
        <w:t xml:space="preserve">(Monteiro et al., 2019)</w:t>
      </w:r>
      <w:r>
        <w:t xml:space="preserve">, cujo consumo já corresponde a mais da metade da</w:t>
      </w:r>
      <w:r>
        <w:t xml:space="preserve"> </w:t>
      </w:r>
      <w:r>
        <w:t xml:space="preserve">energia dietética total em países de alta renda e entre um quinto e um</w:t>
      </w:r>
      <w:r>
        <w:t xml:space="preserve"> </w:t>
      </w:r>
      <w:r>
        <w:t xml:space="preserve">terço em países de renda média, como o Brasil</w:t>
      </w:r>
      <w:r>
        <w:t xml:space="preserve"> </w:t>
      </w:r>
      <w:r>
        <w:t xml:space="preserve">(Canhada et al., 2020; Monteiro et al., 2019)</w:t>
      </w:r>
      <w:r>
        <w:t xml:space="preserve">. Estes produtos, resultantes de formulações</w:t>
      </w:r>
      <w:r>
        <w:t xml:space="preserve"> </w:t>
      </w:r>
      <w:r>
        <w:t xml:space="preserve">industriais complexas que incluem ingredientes refinados, aditivos e</w:t>
      </w:r>
      <w:r>
        <w:t xml:space="preserve"> </w:t>
      </w:r>
      <w:r>
        <w:t xml:space="preserve">alta densidade energética, têm sido consistentemente associados a um</w:t>
      </w:r>
      <w:r>
        <w:t xml:space="preserve"> </w:t>
      </w:r>
      <w:r>
        <w:t xml:space="preserve">risco elevado de obesidade, doenças metabólicas, cardiovasculares e</w:t>
      </w:r>
      <w:r>
        <w:t xml:space="preserve"> </w:t>
      </w:r>
      <w:r>
        <w:t xml:space="preserve">renais.</w:t>
      </w:r>
    </w:p>
    <w:p>
      <w:pPr>
        <w:pStyle w:val="BodyText"/>
      </w:pPr>
      <w:r>
        <w:t xml:space="preserve">Evidências de estudos internacionais, como revisões sistemáticas e</w:t>
      </w:r>
      <w:r>
        <w:t xml:space="preserve"> </w:t>
      </w:r>
      <w:r>
        <w:t xml:space="preserve">meta-análises, indicam que padrões dietéticos com alta ingestão de</w:t>
      </w:r>
      <w:r>
        <w:t xml:space="preserve"> </w:t>
      </w:r>
      <w:r>
        <w:t xml:space="preserve">ultraprocessados podem estar relacionados ao declínio da TFG e ao</w:t>
      </w:r>
      <w:r>
        <w:t xml:space="preserve"> </w:t>
      </w:r>
      <w:r>
        <w:t xml:space="preserve">aumento do risco de progressão para DRC</w:t>
      </w:r>
      <w:r>
        <w:t xml:space="preserve"> </w:t>
      </w:r>
      <w:r>
        <w:t xml:space="preserve">(Cecchini et al., 2025; He et al., 2024)</w:t>
      </w:r>
      <w:r>
        <w:t xml:space="preserve">. Um aumento de 10% no consumo de AUPs foi associado a</w:t>
      </w:r>
      <w:r>
        <w:t xml:space="preserve"> </w:t>
      </w:r>
      <w:r>
        <w:t xml:space="preserve">um risco 7% maior de DRC</w:t>
      </w:r>
      <w:r>
        <w:t xml:space="preserve"> </w:t>
      </w:r>
      <w:r>
        <w:t xml:space="preserve">(He et al., 2024)</w:t>
      </w:r>
      <w:r>
        <w:t xml:space="preserve"> </w:t>
      </w:r>
      <w:r>
        <w:t xml:space="preserve">e o alto consumo está associado</w:t>
      </w:r>
      <w:r>
        <w:t xml:space="preserve"> </w:t>
      </w:r>
      <w:r>
        <w:t xml:space="preserve">a um declínio da função renal, particularmente em idosos</w:t>
      </w:r>
      <w:r>
        <w:t xml:space="preserve"> </w:t>
      </w:r>
      <w:r>
        <w:t xml:space="preserve">(Leonberg et al., 2025; Rey-Garcı́a et al., 2021)</w:t>
      </w:r>
      <w:r>
        <w:t xml:space="preserve">.</w:t>
      </w:r>
    </w:p>
    <w:p>
      <w:pPr>
        <w:pStyle w:val="BodyText"/>
      </w:pPr>
      <w:r>
        <w:t xml:space="preserve">A relevância do tema no Brasil é sublinhada pelo aumento do consumo de</w:t>
      </w:r>
      <w:r>
        <w:t xml:space="preserve"> </w:t>
      </w:r>
      <w:r>
        <w:t xml:space="preserve">AUPs e pela necessidade de ferramentas de rastreamento, como evidenciado</w:t>
      </w:r>
      <w:r>
        <w:t xml:space="preserve"> </w:t>
      </w:r>
      <w:r>
        <w:t xml:space="preserve">pela classificação NOVA apresentada na</w:t>
      </w:r>
      <w:r>
        <w:t xml:space="preserve"> </w:t>
      </w:r>
      <w:r>
        <w:rPr>
          <w:b/>
          <w:bCs/>
        </w:rPr>
        <w:t xml:space="preserve">Tabela 1</w:t>
      </w:r>
      <w:r>
        <w:t xml:space="preserve">. Inicialmente, esse</w:t>
      </w:r>
      <w:r>
        <w:t xml:space="preserve"> </w:t>
      </w:r>
      <w:r>
        <w:t xml:space="preserve">sistema estabeleceu um questionário eletrônico de autorrelato</w:t>
      </w:r>
      <w:r>
        <w:t xml:space="preserve"> </w:t>
      </w:r>
      <w:r>
        <w:t xml:space="preserve">(Costa et al., 2021)</w:t>
      </w:r>
      <w:r>
        <w:t xml:space="preserve">; contudo, no contexto brasileiro, ainda há uma lacuna</w:t>
      </w:r>
      <w:r>
        <w:t xml:space="preserve"> </w:t>
      </w:r>
      <w:r>
        <w:t xml:space="preserve">de estudos longitudinais que investiguem essa associação de forma</w:t>
      </w:r>
      <w:r>
        <w:t xml:space="preserve"> </w:t>
      </w:r>
      <w:r>
        <w:t xml:space="preserve">aprofundada.</w:t>
      </w:r>
    </w:p>
    <w:p>
      <w:pPr>
        <w:pStyle w:val="BodyText"/>
      </w:pPr>
      <w:r>
        <w:t xml:space="preserve">Diante deste impacto crescente referente ao aumento significativo da</w:t>
      </w:r>
      <w:r>
        <w:t xml:space="preserve"> </w:t>
      </w:r>
      <w:r>
        <w:t xml:space="preserve">DRC, suas consequências e das necessidades de estratégia de prevenção</w:t>
      </w:r>
      <w:r>
        <w:t xml:space="preserve"> </w:t>
      </w:r>
      <w:r>
        <w:t xml:space="preserve">primária</w:t>
      </w:r>
      <w:r>
        <w:t xml:space="preserve"> </w:t>
      </w:r>
      <w:r>
        <w:t xml:space="preserve">(Avesani et al., 2023)</w:t>
      </w:r>
      <w:r>
        <w:t xml:space="preserve"> </w:t>
      </w:r>
      <w:r>
        <w:t xml:space="preserve">é importante avaliar o impacto dos</w:t>
      </w:r>
      <w:r>
        <w:t xml:space="preserve"> </w:t>
      </w:r>
      <w:r>
        <w:t xml:space="preserve">AUP nas doenças renais em Sao Paulo. Para isso o Estudo Longitudinal de</w:t>
      </w:r>
      <w:r>
        <w:t xml:space="preserve"> </w:t>
      </w:r>
      <w:r>
        <w:t xml:space="preserve">Saúde do Adulto (ELSA-Brasil) representa a maior coorte nacional,</w:t>
      </w:r>
      <w:r>
        <w:t xml:space="preserve"> </w:t>
      </w:r>
      <w:r>
        <w:t xml:space="preserve">dispondo de dados abrangentes sobre dieta, exames laboratoriais e</w:t>
      </w:r>
      <w:r>
        <w:t xml:space="preserve"> </w:t>
      </w:r>
      <w:r>
        <w:t xml:space="preserve">medidas clínicas</w:t>
      </w:r>
      <w:r>
        <w:t xml:space="preserve"> </w:t>
      </w:r>
      <w:r>
        <w:t xml:space="preserve">(Canhada et al., 2020)</w:t>
      </w:r>
      <w:r>
        <w:t xml:space="preserve">. Este vasto conjunto de informações</w:t>
      </w:r>
      <w:r>
        <w:t xml:space="preserve"> </w:t>
      </w:r>
      <w:r>
        <w:t xml:space="preserve">oferece uma oportunidade ímpar para investigar a relação entre o consumo</w:t>
      </w:r>
      <w:r>
        <w:t xml:space="preserve"> </w:t>
      </w:r>
      <w:r>
        <w:t xml:space="preserve">de alimentos ultraprocessados e a função renal na população brasileira o</w:t>
      </w:r>
      <w:r>
        <w:t xml:space="preserve"> </w:t>
      </w:r>
      <w:r>
        <w:t xml:space="preserve">qual este projeto propõe avaliar através de métodos estatísticos e</w:t>
      </w:r>
      <w:r>
        <w:t xml:space="preserve"> </w:t>
      </w:r>
      <w:r>
        <w:t xml:space="preserve">revisões sistemáticas.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970"/>
        <w:gridCol w:w="27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Exemplos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 natura ou minimamente processados</w:t>
            </w:r>
          </w:p>
        </w:tc>
        <w:tc>
          <w:tcPr/>
          <w:p>
            <w:pPr>
              <w:pStyle w:val="Compact"/>
            </w:pPr>
            <w:r>
              <w:t xml:space="preserve">Alimentos obtidos diretamente da natureza, submetidos apenas a processos simples como lavagem, refrigeração, moagem, secagem, fermentação simples ou pasteurização,</w:t>
            </w:r>
            <w:r>
              <w:t xml:space="preserve"> </w:t>
            </w:r>
            <w:r>
              <w:rPr>
                <w:b/>
                <w:bCs/>
              </w:rPr>
              <w:t xml:space="preserve">sem aditivos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Frutas, legumes, verduras, carnes frescas, ovos, arroz, feijão, leite.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Ingredientes culinários processados</w:t>
            </w:r>
          </w:p>
        </w:tc>
        <w:tc>
          <w:tcPr/>
          <w:p>
            <w:pPr>
              <w:pStyle w:val="Compact"/>
            </w:pPr>
            <w:r>
              <w:t xml:space="preserve">Substâncias extraídas do grupo 1 ou da natureza e usadas para temperar, cozinhar ou preparar alimentos. Geralmente passam por processos como prensagem, refino, moagem ou extração.</w:t>
            </w:r>
          </w:p>
        </w:tc>
        <w:tc>
          <w:tcPr/>
          <w:p>
            <w:pPr>
              <w:pStyle w:val="Compact"/>
            </w:pPr>
            <w:r>
              <w:t xml:space="preserve">Óleos vegetais, manteiga, açúcar, sal, mel.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Processados</w:t>
            </w:r>
          </w:p>
        </w:tc>
        <w:tc>
          <w:tcPr/>
          <w:p>
            <w:pPr>
              <w:pStyle w:val="Compact"/>
            </w:pPr>
            <w:r>
              <w:t xml:space="preserve">Produtos feitos com adição de ingredientes do grupo 2 a alimentos do grupo 1, para maior durabilidade ou modificação moderada de sabor. Normalmente têm poucos ingredientes.</w:t>
            </w:r>
          </w:p>
        </w:tc>
        <w:tc>
          <w:tcPr/>
          <w:p>
            <w:pPr>
              <w:pStyle w:val="Compact"/>
            </w:pPr>
            <w:r>
              <w:t xml:space="preserve">Pães caseiros, queijos, conservas de vegetais ou frutas.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Ultraprocessados</w:t>
            </w:r>
          </w:p>
        </w:tc>
        <w:tc>
          <w:tcPr/>
          <w:p>
            <w:pPr>
              <w:pStyle w:val="Compact"/>
            </w:pPr>
            <w:r>
              <w:t xml:space="preserve">Formulações industriais com</w:t>
            </w:r>
            <w:r>
              <w:t xml:space="preserve"> </w:t>
            </w:r>
            <w:r>
              <w:rPr>
                <w:b/>
                <w:bCs/>
              </w:rPr>
              <w:t xml:space="preserve">ingredientes exclusivos do uso industrial</w:t>
            </w:r>
            <w:r>
              <w:t xml:space="preserve">, como corantes, aromatizantes, emulsificantes e outros aditivos; frequentemente incluem técnicas que descaracterizam a matriz alimentar original.</w:t>
            </w:r>
          </w:p>
        </w:tc>
        <w:tc>
          <w:tcPr/>
          <w:p>
            <w:pPr>
              <w:pStyle w:val="Compact"/>
            </w:pPr>
            <w:r>
              <w:t xml:space="preserve">Refrigerantes, embutidos, salgadinhos, biscoitos recheados, cereais matinais, refeições prontas.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Tabela 1:</w:t>
      </w:r>
      <w:r>
        <w:t xml:space="preserve"> </w:t>
      </w:r>
      <w:r>
        <w:t xml:space="preserve">Classificação NOVA adaptada de Monteiro et al. (2019).</w:t>
      </w:r>
      <w:r>
        <w:t xml:space="preserve"> </w:t>
      </w:r>
      <w:r>
        <w:t xml:space="preserve">Fonte: Monteiro, C.A. et al. (2019). Ultra-processed foods: what they</w:t>
      </w:r>
      <w:r>
        <w:t xml:space="preserve"> </w:t>
      </w:r>
      <w:r>
        <w:t xml:space="preserve">are and how to identify them. Public Health Nutrition, 22(5), 936–941.</w:t>
      </w:r>
      <w:r>
        <w:t xml:space="preserve"> </w:t>
      </w:r>
      <w:r>
        <w:t xml:space="preserve">DOI: 10.1017/S1368980018003762.</w:t>
      </w:r>
    </w:p>
    <w:bookmarkEnd w:id="20"/>
    <w:bookmarkStart w:id="21" w:name="justificativ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Justificativa</w:t>
      </w:r>
    </w:p>
    <w:p>
      <w:pPr>
        <w:pStyle w:val="FirstParagraph"/>
      </w:pPr>
      <w:r>
        <w:t xml:space="preserve">Diante da crescente prevalência da Doença Renal Crônica (DRC) e do</w:t>
      </w:r>
      <w:r>
        <w:t xml:space="preserve"> </w:t>
      </w:r>
      <w:r>
        <w:t xml:space="preserve">seuimpacto significativo na saúde pública e nos sistemas de saúde,</w:t>
      </w:r>
      <w:r>
        <w:t xml:space="preserve"> </w:t>
      </w:r>
      <w:r>
        <w:t xml:space="preserve">torna-se imperativo investigar fatores modificáveis que possam</w:t>
      </w:r>
      <w:r>
        <w:t xml:space="preserve"> </w:t>
      </w:r>
      <w:r>
        <w:t xml:space="preserve">influenciar sua progressão. O consumo de alimentos ultraprocessados, um</w:t>
      </w:r>
      <w:r>
        <w:t xml:space="preserve"> </w:t>
      </w:r>
      <w:r>
        <w:t xml:space="preserve">padrão alimentar em ascensão globalmente, tem sido apontado como um</w:t>
      </w:r>
      <w:r>
        <w:t xml:space="preserve"> </w:t>
      </w:r>
      <w:r>
        <w:t xml:space="preserve">potencial contribuinte para diversas condições crônicas, incluindo a</w:t>
      </w:r>
      <w:r>
        <w:t xml:space="preserve"> </w:t>
      </w:r>
      <w:r>
        <w:t xml:space="preserve">DRC. A relevância deste estudo é multifacetada e se fundamenta em pontos</w:t>
      </w:r>
      <w:r>
        <w:t xml:space="preserve"> </w:t>
      </w:r>
      <w:r>
        <w:t xml:space="preserve">cruciais: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Impacto da DRC:</w:t>
      </w:r>
      <w:r>
        <w:t xml:space="preserve"> </w:t>
      </w:r>
      <w:r>
        <w:t xml:space="preserve">A DRC continua a ser uma condição de saúde</w:t>
      </w:r>
      <w:r>
        <w:t xml:space="preserve"> </w:t>
      </w:r>
      <w:r>
        <w:t xml:space="preserve">pública com custos elevados para o Sistema Único de Saúde (SUS) no</w:t>
      </w:r>
      <w:r>
        <w:t xml:space="preserve"> </w:t>
      </w:r>
      <w:r>
        <w:t xml:space="preserve">Brasil, demandando estratégias eficazes de prevenção e manejo.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Fator Modificável:</w:t>
      </w:r>
      <w:r>
        <w:t xml:space="preserve"> </w:t>
      </w:r>
      <w:r>
        <w:t xml:space="preserve">A dieta, e em particular o consumo de</w:t>
      </w:r>
      <w:r>
        <w:t xml:space="preserve"> </w:t>
      </w:r>
      <w:r>
        <w:t xml:space="preserve">alimentos ultraprocessados, representa um fator modificável que pode</w:t>
      </w:r>
      <w:r>
        <w:t xml:space="preserve"> </w:t>
      </w:r>
      <w:r>
        <w:t xml:space="preserve">ser alvo de intervenções de saúde pública. Compreender essa</w:t>
      </w:r>
      <w:r>
        <w:t xml:space="preserve"> </w:t>
      </w:r>
      <w:r>
        <w:t xml:space="preserve">associação é fundamental para o desenvolvimento de estratégias de</w:t>
      </w:r>
      <w:r>
        <w:t xml:space="preserve"> </w:t>
      </w:r>
      <w:r>
        <w:t xml:space="preserve">prevenção primária e secundária da DRC.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Dados Longitudinais do ELSA-Brasil:</w:t>
      </w:r>
      <w:r>
        <w:t xml:space="preserve"> </w:t>
      </w:r>
      <w:r>
        <w:t xml:space="preserve">O Estudo Longitudinal de</w:t>
      </w:r>
      <w:r>
        <w:t xml:space="preserve"> </w:t>
      </w:r>
      <w:r>
        <w:t xml:space="preserve">saúde do Adulto (ELSA-Brasil) oferece uma base de dados robusta e</w:t>
      </w:r>
      <w:r>
        <w:t xml:space="preserve"> </w:t>
      </w:r>
      <w:r>
        <w:t xml:space="preserve">representativa da população adulta brasileira, com informações</w:t>
      </w:r>
      <w:r>
        <w:t xml:space="preserve"> </w:t>
      </w:r>
      <w:r>
        <w:t xml:space="preserve">detalhadas sobre hábitos alimentares e marcadores de saúde renal. A</w:t>
      </w:r>
      <w:r>
        <w:t xml:space="preserve"> </w:t>
      </w:r>
      <w:r>
        <w:t xml:space="preserve">natureza longitudinal do ELSA-Brasil permite investigar relações de</w:t>
      </w:r>
      <w:r>
        <w:t xml:space="preserve"> </w:t>
      </w:r>
      <w:r>
        <w:t xml:space="preserve">causa e efeito e o declínio da função renal ao longo do tempo, o que</w:t>
      </w:r>
      <w:r>
        <w:t xml:space="preserve"> </w:t>
      </w:r>
      <w:r>
        <w:t xml:space="preserve">é escasso na literatura nacional.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Contribuição Científica e Política Pública:</w:t>
      </w:r>
      <w:r>
        <w:t xml:space="preserve"> </w:t>
      </w:r>
      <w:r>
        <w:t xml:space="preserve">Os resultados deste</w:t>
      </w:r>
      <w:r>
        <w:t xml:space="preserve"> </w:t>
      </w:r>
      <w:r>
        <w:t xml:space="preserve">estudo têm o potencial de gerar evidências científicas inéditas</w:t>
      </w:r>
      <w:r>
        <w:t xml:space="preserve"> </w:t>
      </w:r>
      <w:r>
        <w:t xml:space="preserve">sobre a associação entre o consumo de ultraprocessados e a TFG no</w:t>
      </w:r>
      <w:r>
        <w:t xml:space="preserve"> </w:t>
      </w:r>
      <w:r>
        <w:t xml:space="preserve">Brasil. Tais achados poderão subsidiar a formulação de políticas</w:t>
      </w:r>
      <w:r>
        <w:t xml:space="preserve"> </w:t>
      </w:r>
      <w:r>
        <w:t xml:space="preserve">públicas de alimentação e nutrição, bem como diretrizes clínicas</w:t>
      </w:r>
      <w:r>
        <w:t xml:space="preserve"> </w:t>
      </w:r>
      <w:r>
        <w:t xml:space="preserve">para a prevenção e o controle da DRC, promovendo uma alimentação</w:t>
      </w:r>
      <w:r>
        <w:t xml:space="preserve"> </w:t>
      </w:r>
      <w:r>
        <w:t xml:space="preserve">mais saudável e sustentável para a população.</w:t>
      </w:r>
    </w:p>
    <w:bookmarkEnd w:id="21"/>
    <w:bookmarkStart w:id="24" w:name="objetiv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Objetivos</w:t>
      </w:r>
    </w:p>
    <w:bookmarkStart w:id="22" w:name="objetivo-geral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Objetivo Geral</w:t>
      </w:r>
    </w:p>
    <w:p>
      <w:pPr>
        <w:pStyle w:val="FirstParagraph"/>
      </w:pPr>
      <w:r>
        <w:t xml:space="preserve">Avaliar a associação longitudinal entre o consumo de alimentos</w:t>
      </w:r>
      <w:r>
        <w:t xml:space="preserve"> </w:t>
      </w:r>
      <w:r>
        <w:t xml:space="preserve">ultraprocessados (AUP) e a taxa de declínio da função renal em</w:t>
      </w:r>
      <w:r>
        <w:t xml:space="preserve"> </w:t>
      </w:r>
      <w:r>
        <w:t xml:space="preserve">participanntes do Estudo Longitudinal de Saúde do Adulto (ELSA-Brasil),</w:t>
      </w:r>
      <w:r>
        <w:t xml:space="preserve"> </w:t>
      </w:r>
      <w:r>
        <w:t xml:space="preserve">avaliar os riscos causados oriundos desta mesma diminuição de função</w:t>
      </w:r>
      <w:r>
        <w:t xml:space="preserve"> </w:t>
      </w:r>
      <w:r>
        <w:t xml:space="preserve">renal e o desenvolvimento da doença renal crônica através dos modelos</w:t>
      </w:r>
      <w:r>
        <w:t xml:space="preserve"> </w:t>
      </w:r>
      <w:r>
        <w:t xml:space="preserve">lineares mistos.</w:t>
      </w:r>
    </w:p>
    <w:bookmarkEnd w:id="22"/>
    <w:bookmarkStart w:id="23" w:name="objetivos-específic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Objetivos Específicos</w:t>
      </w:r>
    </w:p>
    <w:p>
      <w:pPr>
        <w:pStyle w:val="FirstParagraph"/>
      </w:pPr>
      <w:r>
        <w:t xml:space="preserve">Para alcançar o objetivo geral, serão desenvolvidos os seguintes</w:t>
      </w:r>
      <w:r>
        <w:t xml:space="preserve"> </w:t>
      </w:r>
      <w:r>
        <w:t xml:space="preserve">objetivos específicos:</w:t>
      </w:r>
    </w:p>
    <w:p>
      <w:pPr>
        <w:pStyle w:val="Compact"/>
        <w:numPr>
          <w:ilvl w:val="0"/>
          <w:numId w:val="1002"/>
        </w:numPr>
      </w:pPr>
      <w:r>
        <w:t xml:space="preserve">Estimar o consumo de AUP (% do Valor Energético Total - VET) nos</w:t>
      </w:r>
      <w:r>
        <w:t xml:space="preserve"> </w:t>
      </w:r>
      <w:r>
        <w:t xml:space="preserve">diferentes momentos de coleta do ELSA-Brasil.</w:t>
      </w:r>
    </w:p>
    <w:p>
      <w:pPr>
        <w:pStyle w:val="Compact"/>
        <w:numPr>
          <w:ilvl w:val="0"/>
          <w:numId w:val="1002"/>
        </w:numPr>
      </w:pPr>
      <w:r>
        <w:t xml:space="preserve">Descrever e modelar os perfis individuais e médios da eGFR (taxa de</w:t>
      </w:r>
      <w:r>
        <w:t xml:space="preserve"> </w:t>
      </w:r>
      <w:r>
        <w:t xml:space="preserve">filtração glomerular estimada) ao longo do período de acompanhamento</w:t>
      </w:r>
      <w:r>
        <w:t xml:space="preserve"> </w:t>
      </w:r>
      <w:r>
        <w:t xml:space="preserve">do estudo</w:t>
      </w:r>
      <w:r>
        <w:t xml:space="preserve"> </w:t>
      </w:r>
      <w:r>
        <w:t xml:space="preserve">(Singer &amp; Andrade, 1986)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Aplicar Modelos Lineares Mistos (MLM) para estimar o efeito do</w:t>
      </w:r>
      <w:r>
        <w:t xml:space="preserve"> </w:t>
      </w:r>
      <w:r>
        <w:t xml:space="preserve">consumo de AUP na interceptação (valor basal esperado) e na</w:t>
      </w:r>
      <w:r>
        <w:t xml:space="preserve"> </w:t>
      </w:r>
      <w:r>
        <w:t xml:space="preserve">inclinação (taxa de declínio) da eGFR, controlando para variáveis</w:t>
      </w:r>
      <w:r>
        <w:t xml:space="preserve"> </w:t>
      </w:r>
      <w:r>
        <w:t xml:space="preserve">sociodemográficas e clínicas</w:t>
      </w:r>
      <w:r>
        <w:t xml:space="preserve"> </w:t>
      </w:r>
      <w:r>
        <w:t xml:space="preserve">(Leonberg et al., 2025; Singer &amp; Andrade, 1986)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Utilizar técnicas de diagnóstico (análise de resíduos e pontos</w:t>
      </w:r>
      <w:r>
        <w:t xml:space="preserve"> </w:t>
      </w:r>
      <w:r>
        <w:t xml:space="preserve">alavancagem) para avaliar a qualidade e as suposições subjacentes ao</w:t>
      </w:r>
      <w:r>
        <w:t xml:space="preserve"> </w:t>
      </w:r>
      <w:r>
        <w:t xml:space="preserve">ajuste do MLM</w:t>
      </w:r>
      <w:r>
        <w:t xml:space="preserve"> </w:t>
      </w:r>
      <w:r>
        <w:t xml:space="preserve">(Singer &amp; Andrade, 1986)</w:t>
      </w:r>
      <w:r>
        <w:t xml:space="preserve">.</w:t>
      </w:r>
    </w:p>
    <w:bookmarkEnd w:id="23"/>
    <w:bookmarkEnd w:id="24"/>
    <w:bookmarkStart w:id="25" w:name="hipótes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Hipótese</w:t>
      </w:r>
    </w:p>
    <w:p>
      <w:pPr>
        <w:pStyle w:val="FirstParagraph"/>
      </w:pPr>
      <w:r>
        <w:t xml:space="preserve">Nossa hipótese central é que indivíduos com um padrão de maior consumo</w:t>
      </w:r>
      <w:r>
        <w:t xml:space="preserve"> </w:t>
      </w:r>
      <w:r>
        <w:t xml:space="preserve">de alimentos ultraprocessados apresentarão uma menor taxa de filtração</w:t>
      </w:r>
      <w:r>
        <w:t xml:space="preserve"> </w:t>
      </w:r>
      <w:r>
        <w:t xml:space="preserve">glomerular (TFG) e um risco elevado de declínio da função renal ao longo</w:t>
      </w:r>
      <w:r>
        <w:t xml:space="preserve"> </w:t>
      </w:r>
      <w:r>
        <w:t xml:space="preserve">do tempo, mesmo após o ajuste para fatores de confusão relevantes, como</w:t>
      </w:r>
      <w:r>
        <w:t xml:space="preserve"> </w:t>
      </w:r>
      <w:r>
        <w:t xml:space="preserve">idade, sexo, comorbidades e estilo de vida. Esta hipótese é embasada por</w:t>
      </w:r>
      <w:r>
        <w:t xml:space="preserve"> </w:t>
      </w:r>
      <w:r>
        <w:t xml:space="preserve">estudos prévios que demonstraram a associação entre dietas ricas em</w:t>
      </w:r>
      <w:r>
        <w:t xml:space="preserve"> </w:t>
      </w:r>
      <w:r>
        <w:t xml:space="preserve">ultraprocessados e desfechos adversos na saúde renal.</w:t>
      </w:r>
    </w:p>
    <w:bookmarkEnd w:id="25"/>
    <w:bookmarkStart w:id="57" w:name="metodologia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Metodologia</w:t>
      </w:r>
    </w:p>
    <w:bookmarkStart w:id="26" w:name="X566bc5b09089ca6ebb6f53adb02600a5b8b69c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Descrição do ELSA-Brasil (Estudo Longitudinal de Saúde do Adulto)</w:t>
      </w:r>
    </w:p>
    <w:p>
      <w:pPr>
        <w:pStyle w:val="FirstParagraph"/>
      </w:pPr>
      <w:r>
        <w:t xml:space="preserve">O ELSA-Brasil é um estudo longitudinal, multicêntrico, recrutou 15.105</w:t>
      </w:r>
      <w:r>
        <w:t xml:space="preserve"> </w:t>
      </w:r>
      <w:r>
        <w:t xml:space="preserve">servidores públicos de instituições de ensino e pesquisa em seis cidades</w:t>
      </w:r>
      <w:r>
        <w:t xml:space="preserve"> </w:t>
      </w:r>
      <w:r>
        <w:t xml:space="preserve">(Belo Horizonte, Porto Alegre, Rio de Janeiro, Salvador, São Paulo e</w:t>
      </w:r>
      <w:r>
        <w:t xml:space="preserve"> </w:t>
      </w:r>
      <w:r>
        <w:t xml:space="preserve">Vitória) em três diferentes regiões do Brasil. O estudo foi criado a</w:t>
      </w:r>
      <w:r>
        <w:t xml:space="preserve"> </w:t>
      </w:r>
      <w:r>
        <w:t xml:space="preserve">partir de uma chamada pública lançada, em 2005, pelo Ministério da Saúde</w:t>
      </w:r>
      <w:r>
        <w:t xml:space="preserve"> </w:t>
      </w:r>
      <w:r>
        <w:t xml:space="preserve">e pelo Ministério da Ciência e Tecnologia. Além disso, é a maior</w:t>
      </w:r>
      <w:r>
        <w:t xml:space="preserve"> </w:t>
      </w:r>
      <w:r>
        <w:t xml:space="preserve">pesquisa multicêntrica de coorte realizada por um país fora do eixo dos</w:t>
      </w:r>
      <w:r>
        <w:t xml:space="preserve"> </w:t>
      </w:r>
      <w:r>
        <w:t xml:space="preserve">países desenvolvidos. Participam do ELSA-Brasil: a Universidade Federal</w:t>
      </w:r>
      <w:r>
        <w:t xml:space="preserve"> </w:t>
      </w:r>
      <w:r>
        <w:t xml:space="preserve">da Bahia (UFBA), a Universidade Federal de Minas Gerais (UFMG), a</w:t>
      </w:r>
      <w:r>
        <w:t xml:space="preserve"> </w:t>
      </w:r>
      <w:r>
        <w:t xml:space="preserve">Universidade Federal do Espírito Santo (UFES), a Fundação Oswaldo Cruz</w:t>
      </w:r>
      <w:r>
        <w:t xml:space="preserve"> </w:t>
      </w:r>
      <w:r>
        <w:t xml:space="preserve">(Fiocruz, Rio de Janeiro), a Universidade de São Paulo (USP) e a</w:t>
      </w:r>
      <w:r>
        <w:t xml:space="preserve"> </w:t>
      </w:r>
      <w:r>
        <w:t xml:space="preserve">Universidade Federal do Rio Grande do Sul (UFRGS).</w:t>
      </w:r>
    </w:p>
    <w:p>
      <w:pPr>
        <w:pStyle w:val="BodyText"/>
      </w:pPr>
      <w:r>
        <w:t xml:space="preserve">Os funcionários e docentes participaram de questionários abrangendo</w:t>
      </w:r>
      <w:r>
        <w:t xml:space="preserve"> </w:t>
      </w:r>
      <w:r>
        <w:t xml:space="preserve">condições gerais de saúde, histórico familiar de doenças, uso de</w:t>
      </w:r>
      <w:r>
        <w:t xml:space="preserve"> </w:t>
      </w:r>
      <w:r>
        <w:t xml:space="preserve">medicamentos, saúde mental, entre outros tópicos relevantes.</w:t>
      </w:r>
      <w:r>
        <w:t xml:space="preserve"> </w:t>
      </w:r>
      <w:r>
        <w:t xml:space="preserve">Adicionalmente, foram submetidos a uma bateria de exames laboratoriais e</w:t>
      </w:r>
      <w:r>
        <w:t xml:space="preserve"> </w:t>
      </w:r>
      <w:r>
        <w:t xml:space="preserve">avaliações físicas. A coorte foi originalmente concebida para investigar</w:t>
      </w:r>
      <w:r>
        <w:t xml:space="preserve"> </w:t>
      </w:r>
      <w:r>
        <w:t xml:space="preserve">a incidência de diabetes e doenças cardiovasculares na população</w:t>
      </w:r>
      <w:r>
        <w:t xml:space="preserve"> </w:t>
      </w:r>
      <w:r>
        <w:t xml:space="preserve">brasileira, bem como seus determinantes biológicos e sociais</w:t>
      </w:r>
      <w:r>
        <w:t xml:space="preserve"> </w:t>
      </w:r>
      <w:r>
        <w:t xml:space="preserve">(Silva, 2017, 2021)</w:t>
      </w:r>
      <w:r>
        <w:t xml:space="preserve">.</w:t>
      </w:r>
    </w:p>
    <w:p>
      <w:pPr>
        <w:pStyle w:val="BodyText"/>
      </w:pPr>
      <w:r>
        <w:t xml:space="preserve">O estudo recebeu significativo financiamento governamental, sendo</w:t>
      </w:r>
      <w:r>
        <w:t xml:space="preserve"> </w:t>
      </w:r>
      <w:r>
        <w:t xml:space="preserve">apoiado pelo Ministério da Saúde do Brasil (Departamento de Ciência e</w:t>
      </w:r>
      <w:r>
        <w:t xml:space="preserve"> </w:t>
      </w:r>
      <w:r>
        <w:t xml:space="preserve">Tecnologia) e pelo Ministério da Ciência, Tecnologia e Inovação (FINEP,</w:t>
      </w:r>
      <w:r>
        <w:t xml:space="preserve"> </w:t>
      </w:r>
      <w:r>
        <w:t xml:space="preserve">Financiadora de Estudos e Projetos), além do CNPq (Conselho Nacional de</w:t>
      </w:r>
      <w:r>
        <w:t xml:space="preserve"> </w:t>
      </w:r>
      <w:r>
        <w:t xml:space="preserve">Desenvolvimento Científico e Tecnológico)</w:t>
      </w:r>
      <w:r>
        <w:t xml:space="preserve"> </w:t>
      </w:r>
      <w:r>
        <w:t xml:space="preserve">(Schmidt et al., 2015)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População: Foram recrutados 15.105 servidores públicos (ativos e</w:t>
      </w:r>
      <w:r>
        <w:t xml:space="preserve"> </w:t>
      </w:r>
      <w:r>
        <w:t xml:space="preserve">aposentados). Os participantes eram homens e mulheres, com idade</w:t>
      </w:r>
      <w:r>
        <w:t xml:space="preserve"> </w:t>
      </w:r>
      <w:r>
        <w:t xml:space="preserve">entre 35 e 74 anos na linha de base.</w:t>
      </w:r>
    </w:p>
    <w:p>
      <w:pPr>
        <w:pStyle w:val="Compact"/>
        <w:numPr>
          <w:ilvl w:val="0"/>
          <w:numId w:val="1003"/>
        </w:numPr>
      </w:pPr>
      <w:r>
        <w:t xml:space="preserve">Centros de Pesquisa: O estudo foi realizado em seis capitais</w:t>
      </w:r>
      <w:r>
        <w:t xml:space="preserve"> </w:t>
      </w:r>
      <w:r>
        <w:t xml:space="preserve">brasileiras, em instituições públicas de ensino superior e pesquisa:</w:t>
      </w:r>
      <w:r>
        <w:t xml:space="preserve"> </w:t>
      </w:r>
      <w:r>
        <w:t xml:space="preserve">Salvador, Belo Horizonte, Rio de Janeiro, São Paulo, Vitória e Porto</w:t>
      </w:r>
      <w:r>
        <w:t xml:space="preserve"> </w:t>
      </w:r>
      <w:r>
        <w:t xml:space="preserve">Alegre.</w:t>
      </w:r>
    </w:p>
    <w:p>
      <w:pPr>
        <w:pStyle w:val="Compact"/>
        <w:numPr>
          <w:ilvl w:val="0"/>
          <w:numId w:val="1003"/>
        </w:numPr>
      </w:pPr>
      <w:r>
        <w:t xml:space="preserve">Fases de Coleta (Ondas): A linha de base (Onda 1) foi coletada entre</w:t>
      </w:r>
      <w:r>
        <w:t xml:space="preserve"> </w:t>
      </w:r>
      <w:r>
        <w:t xml:space="preserve">agosto de 2008 e dezembro de 2010. O estudo é longitudinal, com</w:t>
      </w:r>
      <w:r>
        <w:t xml:space="preserve"> </w:t>
      </w:r>
      <w:r>
        <w:t xml:space="preserve">acompanhamentos subsequentes, incluindo a Onda 2 (2012–2014) e a</w:t>
      </w:r>
      <w:r>
        <w:t xml:space="preserve"> </w:t>
      </w:r>
      <w:r>
        <w:t xml:space="preserve">Onda 3 (2017–2019). O rigor metodológico do ELSA-Brasil é garantido</w:t>
      </w:r>
      <w:r>
        <w:t xml:space="preserve"> </w:t>
      </w:r>
      <w:r>
        <w:t xml:space="preserve">pelo protocolo de entrevistas e exames padronizados e por um rígido</w:t>
      </w:r>
      <w:r>
        <w:t xml:space="preserve"> </w:t>
      </w:r>
      <w:r>
        <w:t xml:space="preserve">controle de qualidade.</w:t>
      </w:r>
    </w:p>
    <w:p>
      <w:pPr>
        <w:pStyle w:val="Compact"/>
        <w:numPr>
          <w:ilvl w:val="0"/>
          <w:numId w:val="1003"/>
        </w:numPr>
      </w:pPr>
      <w:r>
        <w:t xml:space="preserve">Desfechos Principais: Embora o foco inicial fosse a incidência de</w:t>
      </w:r>
      <w:r>
        <w:t xml:space="preserve"> </w:t>
      </w:r>
      <w:r>
        <w:t xml:space="preserve">diabetes e DCV, o ELSA-Brasil também coleta informações detalhadas</w:t>
      </w:r>
      <w:r>
        <w:t xml:space="preserve"> </w:t>
      </w:r>
      <w:r>
        <w:t xml:space="preserve">sobre DRC, dependentes de valores laboratoriais e medidas clínicas</w:t>
      </w:r>
      <w:r>
        <w:t xml:space="preserve"> </w:t>
      </w:r>
      <w:r>
        <w:t xml:space="preserve">sofisticadas, preenchendo uma lacuna importante em estudos</w:t>
      </w:r>
      <w:r>
        <w:t xml:space="preserve"> </w:t>
      </w:r>
      <w:r>
        <w:t xml:space="preserve">brasileiros.</w:t>
      </w:r>
    </w:p>
    <w:bookmarkEnd w:id="26"/>
    <w:bookmarkStart w:id="35" w:name="variáveis-de-desfecho-função-renal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Variáveis de desfecho (função renal)</w:t>
      </w:r>
    </w:p>
    <w:p>
      <w:pPr>
        <w:pStyle w:val="FirstParagraph"/>
      </w:pPr>
      <w:r>
        <w:t xml:space="preserve">A diminuição da função renal é avaliada através de variáveis sanguíneas,</w:t>
      </w:r>
      <w:r>
        <w:t xml:space="preserve"> </w:t>
      </w:r>
      <w:r>
        <w:t xml:space="preserve">urinárias (que descrevem a capacidade de filtração e o dano renal) e</w:t>
      </w:r>
      <w:r>
        <w:t xml:space="preserve"> </w:t>
      </w:r>
      <w:r>
        <w:t xml:space="preserve">variáveis coletadas através do QFA (questionário de frequência</w:t>
      </w:r>
      <w:r>
        <w:t xml:space="preserve"> </w:t>
      </w:r>
      <w:r>
        <w:t xml:space="preserve">alimentar).</w:t>
      </w:r>
    </w:p>
    <w:bookmarkStart w:id="29" w:name="X71764aa4099b706fbedf86e9bf924809a8526d7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Taxa de Filtração Glomerular Estimada (TFGe)</w:t>
      </w:r>
    </w:p>
    <w:p>
      <w:pPr>
        <w:pStyle w:val="FirstParagraph"/>
      </w:pPr>
      <w:r>
        <w:t xml:space="preserve">A TFGe é uma ferramenta vital para decisões clínicas, rastreamento</w:t>
      </w:r>
      <w:r>
        <w:t xml:space="preserve"> </w:t>
      </w:r>
      <w:r>
        <w:t xml:space="preserve">populacional e fins regulatórios</w:t>
      </w:r>
      <w:r>
        <w:t xml:space="preserve"> </w:t>
      </w:r>
      <w:r>
        <w:t xml:space="preserve">(Leonberg et al., 2025)</w:t>
      </w:r>
    </w:p>
    <w:p>
      <w:pPr>
        <w:pStyle w:val="Compact"/>
        <w:numPr>
          <w:ilvl w:val="0"/>
          <w:numId w:val="1004"/>
        </w:numPr>
      </w:pPr>
      <w:r>
        <w:t xml:space="preserve">Descrição e Definição: A TFGe estima o volume de filtrado pelos rins</w:t>
      </w:r>
      <w:r>
        <w:t xml:space="preserve"> </w:t>
      </w:r>
      <w:r>
        <w:t xml:space="preserve">por unidade de tempo. A DRC é definida, entre outros critérios, por</w:t>
      </w:r>
      <w:r>
        <w:t xml:space="preserve"> </w:t>
      </w:r>
      <w:r>
        <w:t xml:space="preserve">uma TFGe estimada inferior a 60 mL/min/1,73m²</w:t>
      </w:r>
      <w:r>
        <w:t xml:space="preserve"> </w:t>
      </w:r>
      <w:r>
        <w:t xml:space="preserve">(Avesani et al., 2023; He et al., 2024)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Declínio da Função Renal: O declínio da função renal pode ser</w:t>
      </w:r>
      <w:r>
        <w:t xml:space="preserve"> </w:t>
      </w:r>
      <w:r>
        <w:t xml:space="preserve">definido como uma diminuição da TFGe além do esperado para a idade</w:t>
      </w:r>
      <w:r>
        <w:t xml:space="preserve"> </w:t>
      </w:r>
      <w:r>
        <w:t xml:space="preserve">(Rey-Garcı́a et al., 2021)</w:t>
      </w:r>
      <w:r>
        <w:t xml:space="preserve">.</w:t>
      </w:r>
    </w:p>
    <w:bookmarkStart w:id="27" w:name="creatinina-sérica-scr"/>
    <w:p>
      <w:pPr>
        <w:pStyle w:val="Heading4"/>
      </w:pPr>
      <w:r>
        <w:rPr>
          <w:rStyle w:val="SectionNumber"/>
        </w:rPr>
        <w:t xml:space="preserve">5.2.1.1</w:t>
      </w:r>
      <w:r>
        <w:tab/>
      </w:r>
      <w:r>
        <w:t xml:space="preserve">Creatinina Sérica (SCr)</w:t>
      </w:r>
    </w:p>
    <w:p>
      <w:pPr>
        <w:pStyle w:val="FirstParagraph"/>
      </w:pPr>
      <w:r>
        <w:t xml:space="preserve">A creatinina sérica é um marcador importante usado para estimar a TFGe e</w:t>
      </w:r>
      <w:r>
        <w:t xml:space="preserve"> </w:t>
      </w:r>
      <w:r>
        <w:t xml:space="preserve">avaliar a função renal</w:t>
      </w:r>
      <w:r>
        <w:t xml:space="preserve"> </w:t>
      </w:r>
      <w:r>
        <w:t xml:space="preserve">(Leonberg et al., 2025; Rey-Garcı́a et al., 2021)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Descrição e Definição: Níveis de SCr são utilizados no cálculo da</w:t>
      </w:r>
      <w:r>
        <w:t xml:space="preserve"> </w:t>
      </w:r>
      <w:r>
        <w:t xml:space="preserve">TFGe. Um critério para o declínio da função renal é um aumento da</w:t>
      </w:r>
      <w:r>
        <w:t xml:space="preserve"> </w:t>
      </w:r>
      <w:r>
        <w:t xml:space="preserve">SCr</w:t>
      </w:r>
      <w:r>
        <w:t xml:space="preserve"> </w:t>
      </w:r>
      <w:r>
        <w:t xml:space="preserve">(Leonberg et al., 2025; Rey-Garcı́a et al., 2021)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Critério de Disfunção Renal Específico: Em estudos clínicos, a</w:t>
      </w:r>
      <w:r>
        <w:t xml:space="preserve"> </w:t>
      </w:r>
      <w:r>
        <w:t xml:space="preserve">ocorrência de disfunção renal pode ser definida como o momento em</w:t>
      </w:r>
      <w:r>
        <w:t xml:space="preserve"> </w:t>
      </w:r>
      <w:r>
        <w:t xml:space="preserve">que o nível de creatinina sérica tem um valor 15% maior do que o</w:t>
      </w:r>
      <w:r>
        <w:t xml:space="preserve"> </w:t>
      </w:r>
      <w:r>
        <w:t xml:space="preserve">valor basal correspondente</w:t>
      </w:r>
      <w:r>
        <w:t xml:space="preserve"> </w:t>
      </w:r>
      <w:r>
        <w:t xml:space="preserve">(Singer &amp; Andrade, 1986)</w:t>
      </w:r>
      <w:r>
        <w:t xml:space="preserve">.</w:t>
      </w:r>
    </w:p>
    <w:bookmarkEnd w:id="27"/>
    <w:bookmarkStart w:id="28" w:name="razão-albumina-creatinina-na-urina-uacr"/>
    <w:p>
      <w:pPr>
        <w:pStyle w:val="Heading4"/>
      </w:pPr>
      <w:r>
        <w:rPr>
          <w:rStyle w:val="SectionNumber"/>
        </w:rPr>
        <w:t xml:space="preserve">5.2.1.2</w:t>
      </w:r>
      <w:r>
        <w:tab/>
      </w:r>
      <w:r>
        <w:t xml:space="preserve">Razão Albumina-Creatinina na Urina (UACR)</w:t>
      </w:r>
    </w:p>
    <w:p>
      <w:pPr>
        <w:pStyle w:val="FirstParagraph"/>
      </w:pPr>
      <w:r>
        <w:t xml:space="preserve">A UACR é um marcador de lesão renal, particularmente de albuminúria</w:t>
      </w:r>
      <w:r>
        <w:t xml:space="preserve"> </w:t>
      </w:r>
      <w:r>
        <w:t xml:space="preserve">(He et al., 2024)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Descrição e Definição: O critério para a DRC inclui uma razão</w:t>
      </w:r>
      <w:r>
        <w:t xml:space="preserve"> </w:t>
      </w:r>
      <w:r>
        <w:t xml:space="preserve">albumina-creatinina ≥ 30 mg/g</w:t>
      </w:r>
      <w:r>
        <w:t xml:space="preserve"> </w:t>
      </w:r>
      <w:r>
        <w:t xml:space="preserve">(He et al., 2024)</w:t>
      </w:r>
      <w:r>
        <w:t xml:space="preserve">. No Estudo Longitudinal</w:t>
      </w:r>
      <w:r>
        <w:t xml:space="preserve"> </w:t>
      </w:r>
      <w:r>
        <w:t xml:space="preserve">de Saúde do Adulto (ELSA-Brasil), a razão albumina-creatinina na</w:t>
      </w:r>
      <w:r>
        <w:t xml:space="preserve"> </w:t>
      </w:r>
      <w:r>
        <w:t xml:space="preserve">urina (UACR) foi utilizada para definir</w:t>
      </w:r>
      <w:r>
        <w:t xml:space="preserve"> </w:t>
      </w:r>
      <w:r>
        <w:t xml:space="preserve">“UACR Elevada”</w:t>
      </w:r>
      <w:r>
        <w:t xml:space="preserve"> </w:t>
      </w:r>
      <w:r>
        <w:t xml:space="preserve">como ≥ 3,4</w:t>
      </w:r>
      <w:r>
        <w:t xml:space="preserve"> </w:t>
      </w:r>
      <w:r>
        <w:t xml:space="preserve">mg/mmol (30 mg/g), a partir de coleta noturna validada</w:t>
      </w:r>
      <w:r>
        <w:t xml:space="preserve"> </w:t>
      </w:r>
      <w:r>
        <w:t xml:space="preserve">(Schmidt et al., 2015)</w:t>
      </w:r>
      <w:r>
        <w:t xml:space="preserve">.</w:t>
      </w:r>
    </w:p>
    <w:bookmarkEnd w:id="28"/>
    <w:bookmarkEnd w:id="29"/>
    <w:bookmarkStart w:id="33" w:name="X37548ce704285dda5aa4a6f9a0ef1a043aabe89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Variáveis de Exposição e Avaliação Dietética</w:t>
      </w:r>
    </w:p>
    <w:bookmarkStart w:id="30" w:name="Xfdb9cd13460871ce1454aa99fb208603abfa091"/>
    <w:p>
      <w:pPr>
        <w:pStyle w:val="Heading4"/>
      </w:pPr>
      <w:r>
        <w:rPr>
          <w:rStyle w:val="SectionNumber"/>
        </w:rPr>
        <w:t xml:space="preserve">5.2.2.1</w:t>
      </w:r>
      <w:r>
        <w:tab/>
      </w:r>
      <w:r>
        <w:t xml:space="preserve">Variável de Desfecho: Função Renal (CKD-EPI)</w:t>
      </w:r>
    </w:p>
    <w:p>
      <w:pPr>
        <w:pStyle w:val="FirstParagraph"/>
      </w:pPr>
      <w:r>
        <w:t xml:space="preserve">A função renal será avaliada através da Taxa de Filtração Glomerular</w:t>
      </w:r>
      <w:r>
        <w:t xml:space="preserve"> </w:t>
      </w:r>
      <w:r>
        <w:t xml:space="preserve">estimada (TFGe), que é considerada uma ferramenta vital para o</w:t>
      </w:r>
      <w:r>
        <w:t xml:space="preserve"> </w:t>
      </w:r>
      <w:r>
        <w:t xml:space="preserve">rastreamento populacional, decisões clínicas e monitoramento da</w:t>
      </w:r>
      <w:r>
        <w:t xml:space="preserve"> </w:t>
      </w:r>
      <w:r>
        <w:t xml:space="preserve">progressão da Doença Renal Crônica (DRC)</w:t>
      </w:r>
      <w:r>
        <w:t xml:space="preserve"> </w:t>
      </w:r>
      <w:r>
        <w:t xml:space="preserve">(Leonberg et al., 2025)</w:t>
      </w:r>
      <w:r>
        <w:t xml:space="preserve">.</w:t>
      </w:r>
    </w:p>
    <w:p>
      <w:pPr>
        <w:pStyle w:val="BodyText"/>
      </w:pPr>
      <w:r>
        <w:t xml:space="preserve">Método de Cálculo: A TFGe será calculada a partir da creatinina sérica</w:t>
      </w:r>
      <w:r>
        <w:t xml:space="preserve"> </w:t>
      </w:r>
      <w:r>
        <w:t xml:space="preserve">(SCr), idade e sexo, utilizando a equação do consórcio CKD-EPI (2021).</w:t>
      </w:r>
      <w:r>
        <w:t xml:space="preserve"> </w:t>
      </w:r>
      <w:r>
        <w:t xml:space="preserve">Esta equação é preferencial por sua precisão em diferentes níveis de</w:t>
      </w:r>
      <w:r>
        <w:t xml:space="preserve"> </w:t>
      </w:r>
      <w:r>
        <w:t xml:space="preserve">função renal e por não incluir correções baseadas em raça, evitando</w:t>
      </w:r>
      <w:r>
        <w:t xml:space="preserve"> </w:t>
      </w:r>
      <w:r>
        <w:t xml:space="preserve">disparidades em decisões clínicas.</w:t>
      </w:r>
      <w:r>
        <w:t xml:space="preserve"> </w:t>
      </w:r>
      <w:r>
        <w:t xml:space="preserve">(He et al., 2024; Leonberg et al., 2025)</w:t>
      </w:r>
      <w:r>
        <w:t xml:space="preserve">.</w:t>
      </w:r>
    </w:p>
    <w:p>
      <w:pPr>
        <w:pStyle w:val="BodyText"/>
      </w:pPr>
      <w:r>
        <w:t xml:space="preserve">A fórmula matemática seguirá a estimativa da fórmula: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F</m:t>
          </m:r>
          <m:r>
            <m:t>G</m:t>
          </m:r>
          <m:r>
            <m:t>e</m:t>
          </m:r>
          <m:r>
            <m:rPr>
              <m:sty m:val="p"/>
            </m:rPr>
            <m:t>=</m:t>
          </m:r>
          <m:r>
            <m:t>142</m:t>
          </m:r>
          <m:r>
            <m:rPr>
              <m:sty m:val="p"/>
            </m:rPr>
            <m:t>×</m:t>
          </m:r>
          <m:r>
            <m:rPr>
              <m:sty m:val="p"/>
            </m:rPr>
            <m:t>min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S</m:t>
                      </m:r>
                      <m:r>
                        <m:t>C</m:t>
                      </m:r>
                      <m:r>
                        <m:t>r</m:t>
                      </m:r>
                    </m:num>
                    <m:den>
                      <m:r>
                        <m:t>k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  <m:sup>
              <m:r>
                <m:t>α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max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S</m:t>
                      </m:r>
                      <m:r>
                        <m:t>C</m:t>
                      </m:r>
                      <m:r>
                        <m:t>r</m:t>
                      </m:r>
                    </m:num>
                    <m:den>
                      <m:r>
                        <m:t>k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1.2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0.9938</m:t>
              </m:r>
            </m:e>
            <m:sup>
              <m:r>
                <m:rPr>
                  <m:nor/>
                  <m:sty m:val="p"/>
                </m:rPr>
                <m:t>Idade</m:t>
              </m:r>
            </m:sup>
          </m:sSup>
        </m:oMath>
      </m:oMathPara>
    </w:p>
    <w:p>
      <w:pPr>
        <w:pStyle w:val="FirstParagraph"/>
      </w:pPr>
      <w:r>
        <w:t xml:space="preserve">Onde k é 0.7 para mulheres e 0.9 para homens; α é -0.241 para mulheres e</w:t>
      </w:r>
      <w:r>
        <w:t xml:space="preserve"> </w:t>
      </w:r>
      <w:r>
        <w:t xml:space="preserve">-0.302 para homens; e o fator_sexo é 1.012 para mulheres e 1 para homens</w:t>
      </w:r>
      <w:r>
        <w:t xml:space="preserve"> </w:t>
      </w:r>
      <w:r>
        <w:t xml:space="preserve">(He et al., 2024; Leonberg et al., 2025)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Coleta da Creatinina: A creatinina sérica será determinada através</w:t>
      </w:r>
      <w:r>
        <w:t xml:space="preserve"> </w:t>
      </w:r>
      <w:r>
        <w:t xml:space="preserve">de amostras de sangue coletadas após jejum noturno de 12 horas,</w:t>
      </w:r>
      <w:r>
        <w:t xml:space="preserve"> </w:t>
      </w:r>
      <w:r>
        <w:t xml:space="preserve">processadas e analisadas por métodos laboratoriais padronizados,</w:t>
      </w:r>
      <w:r>
        <w:t xml:space="preserve"> </w:t>
      </w:r>
      <w:r>
        <w:t xml:space="preserve">como a reação cinética de Jaffé (picrato alcalino).</w:t>
      </w:r>
      <w:r>
        <w:t xml:space="preserve"> </w:t>
      </w:r>
      <w:r>
        <w:t xml:space="preserve">(Rey-Garcı́a et al., 2021)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Critérios de Definição de DRC: Indivíduos com TFGe &lt; 60</w:t>
      </w:r>
      <w:r>
        <w:t xml:space="preserve"> </w:t>
      </w:r>
      <w:r>
        <w:t xml:space="preserve">mL/min/1,73m² serão classificados como portadores de disfunção renal</w:t>
      </w:r>
      <w:r>
        <w:t xml:space="preserve"> </w:t>
      </w:r>
      <w:r>
        <w:t xml:space="preserve">persistente (Estágio G3a ou superior)</w:t>
      </w:r>
      <w:r>
        <w:t xml:space="preserve"> </w:t>
      </w:r>
      <w:r>
        <w:t xml:space="preserve">(Leonberg et al., 2025; Rey-Garcı́a et al., 2021; Schmidt et al., 2015)</w:t>
      </w:r>
      <w:r>
        <w:t xml:space="preserve">.</w:t>
      </w:r>
    </w:p>
    <w:bookmarkEnd w:id="30"/>
    <w:bookmarkStart w:id="31" w:name="questionário-de-frequência-alimentar-qfa"/>
    <w:p>
      <w:pPr>
        <w:pStyle w:val="Heading4"/>
      </w:pPr>
      <w:r>
        <w:rPr>
          <w:rStyle w:val="SectionNumber"/>
        </w:rPr>
        <w:t xml:space="preserve">5.2.2.2</w:t>
      </w:r>
      <w:r>
        <w:tab/>
      </w:r>
      <w:r>
        <w:t xml:space="preserve">Questionário de Frequência Alimentar (QFA)</w:t>
      </w:r>
    </w:p>
    <w:p>
      <w:pPr>
        <w:pStyle w:val="FirstParagraph"/>
      </w:pPr>
      <w:r>
        <w:t xml:space="preserve">O QFA é o principal instrumento utilizado em grandes estudos de coorte</w:t>
      </w:r>
      <w:r>
        <w:t xml:space="preserve"> </w:t>
      </w:r>
      <w:r>
        <w:t xml:space="preserve">para avaliar a ingestão alimentar habitual dos participantes</w:t>
      </w:r>
      <w:r>
        <w:t xml:space="preserve"> </w:t>
      </w:r>
      <w:r>
        <w:t xml:space="preserve">(Silva, 2021)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Descrição e Coleta: O QFA utilizado no Estudo Longitudinal de Saúde</w:t>
      </w:r>
      <w:r>
        <w:t xml:space="preserve"> </w:t>
      </w:r>
      <w:r>
        <w:t xml:space="preserve">do Adulto (ELSA-Brasil) é semi-quantitativo e foi previamente</w:t>
      </w:r>
      <w:r>
        <w:t xml:space="preserve"> </w:t>
      </w:r>
      <w:r>
        <w:t xml:space="preserve">desenvolvido e validado para a população do estudo. Ele consiste em</w:t>
      </w:r>
      <w:r>
        <w:t xml:space="preserve"> </w:t>
      </w:r>
      <w:r>
        <w:t xml:space="preserve">uma lista de 114 alimentos/preparações</w:t>
      </w:r>
      <w:r>
        <w:t xml:space="preserve"> </w:t>
      </w:r>
      <w:r>
        <w:t xml:space="preserve">(Canhada et al., 2020; Silva, 2021)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Os participantes são questionados sobre a frequência do consumo</w:t>
      </w:r>
      <w:r>
        <w:t xml:space="preserve"> </w:t>
      </w:r>
      <w:r>
        <w:t xml:space="preserve">de uma porção padrão de cada alimento nos últimos 12 meses</w:t>
      </w:r>
      <w:r>
        <w:t xml:space="preserve"> </w:t>
      </w:r>
      <w:r>
        <w:t xml:space="preserve">(Silva, 2021)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 coleta visa estimar o hábito alimentar dos participantes,</w:t>
      </w:r>
      <w:r>
        <w:t xml:space="preserve"> </w:t>
      </w:r>
      <w:r>
        <w:t xml:space="preserve">considerando variações no consumo entre as estações do ano</w:t>
      </w:r>
      <w:r>
        <w:t xml:space="preserve"> </w:t>
      </w:r>
      <w:r>
        <w:t xml:space="preserve">(Silva, 2021)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O questionário possui oito opções de resposta para frequência,</w:t>
      </w:r>
      <w:r>
        <w:t xml:space="preserve"> </w:t>
      </w:r>
      <w:r>
        <w:t xml:space="preserve">desde</w:t>
      </w:r>
      <w:r>
        <w:t xml:space="preserve"> </w:t>
      </w:r>
      <w:r>
        <w:t xml:space="preserve">“mais de 3 vezes ao dia”</w:t>
      </w:r>
      <w:r>
        <w:t xml:space="preserve"> </w:t>
      </w:r>
      <w:r>
        <w:t xml:space="preserve">até</w:t>
      </w:r>
      <w:r>
        <w:t xml:space="preserve"> </w:t>
      </w:r>
      <w:r>
        <w:t xml:space="preserve">“nunca/quase nunca”</w:t>
      </w:r>
      <w:r>
        <w:t xml:space="preserve"> </w:t>
      </w:r>
      <w:r>
        <w:t xml:space="preserve">(Naud, 2019)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 reprodutibilidade e a validade relativa do QFA no ELSA-Brasil</w:t>
      </w:r>
      <w:r>
        <w:t xml:space="preserve"> </w:t>
      </w:r>
      <w:r>
        <w:t xml:space="preserve">foram avaliadas por meio do coeficiente de correlação</w:t>
      </w:r>
      <w:r>
        <w:t xml:space="preserve"> </w:t>
      </w:r>
      <w:r>
        <w:t xml:space="preserve">intraclasse (ICC), mostrando confiabilidade satisfatória para</w:t>
      </w:r>
      <w:r>
        <w:t xml:space="preserve"> </w:t>
      </w:r>
      <w:r>
        <w:t xml:space="preserve">todos os nutrientes e validade relativa aceitável para energia,</w:t>
      </w:r>
      <w:r>
        <w:t xml:space="preserve"> </w:t>
      </w:r>
      <w:r>
        <w:t xml:space="preserve">macronutrientes, cálcio, potássio e vitaminas E e C</w:t>
      </w:r>
      <w:r>
        <w:t xml:space="preserve"> </w:t>
      </w:r>
      <w:r>
        <w:t xml:space="preserve">(Cacau et al., 2025; Canhada et al., 2020; Naud, 2019; Silva, 2021)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Para quantificar o consumo diário, o número de porções</w:t>
      </w:r>
      <w:r>
        <w:t xml:space="preserve"> </w:t>
      </w:r>
      <w:r>
        <w:t xml:space="preserve">consumidas por dia é multiplicado pelo peso da porção padrão e</w:t>
      </w:r>
      <w:r>
        <w:t xml:space="preserve"> </w:t>
      </w:r>
      <w:r>
        <w:t xml:space="preserve">pelo peso da frequência de consumo</w:t>
      </w:r>
      <w:r>
        <w:t xml:space="preserve"> </w:t>
      </w:r>
      <w:r>
        <w:t xml:space="preserve">(Canhada et al., 2020; Naud, 2019; Silva, 2021)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Valores extremos de consumo energético (por exemplo, abaixo de</w:t>
      </w:r>
      <w:r>
        <w:t xml:space="preserve"> </w:t>
      </w:r>
      <w:r>
        <w:t xml:space="preserve">500 Kcal/dia ou acima de 4.000 Kcal/dia) são frequentemente</w:t>
      </w:r>
      <w:r>
        <w:t xml:space="preserve"> </w:t>
      </w:r>
      <w:r>
        <w:t xml:space="preserve">excluídos para garantir a plausibilidade dos dados</w:t>
      </w:r>
      <w:r>
        <w:t xml:space="preserve"> </w:t>
      </w:r>
      <w:r>
        <w:t xml:space="preserve">(Canhada et al., 2020; Silva, 2021)</w:t>
      </w:r>
      <w:r>
        <w:t xml:space="preserve">.</w:t>
      </w:r>
    </w:p>
    <w:bookmarkEnd w:id="31"/>
    <w:bookmarkStart w:id="32" w:name="X76554848f2eee5a6c49a6e8dce54e1cb1134f3a"/>
    <w:p>
      <w:pPr>
        <w:pStyle w:val="Heading4"/>
      </w:pPr>
      <w:r>
        <w:rPr>
          <w:rStyle w:val="SectionNumber"/>
        </w:rPr>
        <w:t xml:space="preserve">5.2.2.3</w:t>
      </w:r>
      <w:r>
        <w:tab/>
      </w:r>
      <w:r>
        <w:t xml:space="preserve">Variáveis Dietéticas Derivadas do QFA e sua Relação com a Função Renal</w:t>
      </w:r>
    </w:p>
    <w:p>
      <w:pPr>
        <w:pStyle w:val="FirstParagraph"/>
      </w:pPr>
      <w:r>
        <w:t xml:space="preserve">A partir do QFA, diversas variáveis de consumo podem ser calculadas e</w:t>
      </w:r>
      <w:r>
        <w:t xml:space="preserve"> </w:t>
      </w:r>
      <w:r>
        <w:t xml:space="preserve">adicionadas aos modelos de função renal:</w:t>
      </w:r>
    </w:p>
    <w:p>
      <w:pPr>
        <w:numPr>
          <w:ilvl w:val="0"/>
          <w:numId w:val="1010"/>
        </w:numPr>
      </w:pPr>
      <w:r>
        <w:t xml:space="preserve">Ingestão de Nutrientes e Energia: O QFA permite estimar a ingestão</w:t>
      </w:r>
      <w:r>
        <w:t xml:space="preserve"> </w:t>
      </w:r>
      <w:r>
        <w:t xml:space="preserve">energética diária (em quilocalorias) e a ingestão de macronutrientes</w:t>
      </w:r>
      <w:r>
        <w:t xml:space="preserve"> </w:t>
      </w:r>
      <w:r>
        <w:t xml:space="preserve">(carboidratos, proteínas, lipídios) e ácidos graxos (saturados,</w:t>
      </w:r>
      <w:r>
        <w:t xml:space="preserve"> </w:t>
      </w:r>
      <w:r>
        <w:t xml:space="preserve">monoinsaturados, poli-insaturados). A ingestão de nutrientes é</w:t>
      </w:r>
      <w:r>
        <w:t xml:space="preserve"> </w:t>
      </w:r>
      <w:r>
        <w:t xml:space="preserve">tipicamente ajustada pelo valor energético total (VET), utilizando o</w:t>
      </w:r>
      <w:r>
        <w:t xml:space="preserve"> </w:t>
      </w:r>
      <w:r>
        <w:t xml:space="preserve">método residual, em análises epidemiológicas</w:t>
      </w:r>
      <w:r>
        <w:t xml:space="preserve"> </w:t>
      </w:r>
      <w:r>
        <w:t xml:space="preserve">(Naud, 2019)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Consumo de Alimentos Ultraprocessados (UPF):</w:t>
      </w:r>
    </w:p>
    <w:p>
      <w:pPr>
        <w:pStyle w:val="Compact"/>
        <w:numPr>
          <w:ilvl w:val="1"/>
          <w:numId w:val="1011"/>
        </w:numPr>
      </w:pPr>
      <w:r>
        <w:t xml:space="preserve">O consumo de UPFs classificado utilizando o sistema NOVA, que</w:t>
      </w:r>
      <w:r>
        <w:t xml:space="preserve"> </w:t>
      </w:r>
      <w:r>
        <w:t xml:space="preserve">categoriza alimentos com base na extensão e propósito do</w:t>
      </w:r>
      <w:r>
        <w:t xml:space="preserve"> </w:t>
      </w:r>
      <w:r>
        <w:t xml:space="preserve">processamento industrial</w:t>
      </w:r>
      <w:r>
        <w:t xml:space="preserve"> </w:t>
      </w:r>
      <w:r>
        <w:t xml:space="preserve">(Avesani et al., 2023; Costa et al., 2021; He et al., 2024; Rey-Garcı́a et al., 2021)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O consumo de UPFs, geralmente expresso como a porcentagem da</w:t>
      </w:r>
      <w:r>
        <w:t xml:space="preserve"> </w:t>
      </w:r>
      <w:r>
        <w:t xml:space="preserve">energia total diária ingerida proveniente desses alimentos</w:t>
      </w:r>
      <w:r>
        <w:t xml:space="preserve"> </w:t>
      </w:r>
      <w:r>
        <w:t xml:space="preserve">(UPFc), tem sido associado ao risco aumentado de diversas DCNT,</w:t>
      </w:r>
      <w:r>
        <w:t xml:space="preserve"> </w:t>
      </w:r>
      <w:r>
        <w:t xml:space="preserve">incluindo o declínio da função renal (CKD)</w:t>
      </w:r>
      <w:r>
        <w:t xml:space="preserve"> </w:t>
      </w:r>
      <w:r>
        <w:t xml:space="preserve">(Costa et al., 2021; He et al., 2024)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Padrões Dietéticos:</w:t>
      </w:r>
    </w:p>
    <w:p>
      <w:pPr>
        <w:pStyle w:val="Compact"/>
        <w:numPr>
          <w:ilvl w:val="1"/>
          <w:numId w:val="1012"/>
        </w:numPr>
      </w:pPr>
      <w:r>
        <w:t xml:space="preserve">A análise de padrões dietéticos, como a dieta ocidental (rica em</w:t>
      </w:r>
      <w:r>
        <w:t xml:space="preserve"> </w:t>
      </w:r>
      <w:r>
        <w:t xml:space="preserve">alimentos ultraprocessados) versus dietas mais saudáveis (ricas</w:t>
      </w:r>
      <w:r>
        <w:t xml:space="preserve"> </w:t>
      </w:r>
      <w:r>
        <w:t xml:space="preserve">em frutas, vegetais e grãos integrais), pode ser realizada</w:t>
      </w:r>
      <w:r>
        <w:t xml:space="preserve"> </w:t>
      </w:r>
      <w:r>
        <w:t xml:space="preserve">utilizando técnicas como análise fatorial ou análise de</w:t>
      </w:r>
      <w:r>
        <w:t xml:space="preserve"> </w:t>
      </w:r>
      <w:r>
        <w:t xml:space="preserve">componentes principais</w:t>
      </w:r>
      <w:r>
        <w:t xml:space="preserve"> </w:t>
      </w:r>
      <w:r>
        <w:t xml:space="preserve">(Naud, 2019; Silva, 2021)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Esses padrões podem ser associados à função renal, fornecendo</w:t>
      </w:r>
      <w:r>
        <w:t xml:space="preserve"> </w:t>
      </w:r>
      <w:r>
        <w:t xml:space="preserve">uma visão mais abrangente do impacto dietético na saúde renal.</w:t>
      </w:r>
    </w:p>
    <w:p>
      <w:pPr>
        <w:numPr>
          <w:ilvl w:val="0"/>
          <w:numId w:val="1010"/>
        </w:numPr>
      </w:pPr>
      <w:r>
        <w:t xml:space="preserve">Índices de qualidade de dieta:</w:t>
      </w:r>
    </w:p>
    <w:p>
      <w:pPr>
        <w:pStyle w:val="Compact"/>
        <w:numPr>
          <w:ilvl w:val="1"/>
          <w:numId w:val="1013"/>
        </w:numPr>
      </w:pPr>
      <w:r>
        <w:t xml:space="preserve">Índices como o de Índice de Qualidade de Dieta revisado (IQD-R)</w:t>
      </w:r>
      <w:r>
        <w:t xml:space="preserve"> </w:t>
      </w:r>
      <w:r>
        <w:t xml:space="preserve">ou escores baseados m dietas saudáveis tais como o Planetary</w:t>
      </w:r>
      <w:r>
        <w:t xml:space="preserve"> </w:t>
      </w:r>
      <w:r>
        <w:t xml:space="preserve">Health Diet Index (PHDI). Tais índices fornecem uma pontuação</w:t>
      </w:r>
      <w:r>
        <w:t xml:space="preserve"> </w:t>
      </w:r>
      <w:r>
        <w:t xml:space="preserve">única relativa a qualidade geral da dieta, que pode ser</w:t>
      </w:r>
      <w:r>
        <w:t xml:space="preserve"> </w:t>
      </w:r>
      <w:r>
        <w:t xml:space="preserve">correlacionada com a função renal</w:t>
      </w:r>
      <w:r>
        <w:t xml:space="preserve"> </w:t>
      </w:r>
      <w:r>
        <w:t xml:space="preserve">(Naud, 2019; Silva, 2017)</w:t>
      </w:r>
      <w:r>
        <w:t xml:space="preserve">.</w:t>
      </w:r>
    </w:p>
    <w:bookmarkEnd w:id="32"/>
    <w:bookmarkEnd w:id="33"/>
    <w:bookmarkStart w:id="34" w:name="dados-antropométricos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Dados Antropométricos</w:t>
      </w:r>
    </w:p>
    <w:p>
      <w:pPr>
        <w:pStyle w:val="Compact"/>
        <w:numPr>
          <w:ilvl w:val="0"/>
          <w:numId w:val="1014"/>
        </w:numPr>
      </w:pPr>
      <w:r>
        <w:t xml:space="preserve">Índice de Massa Corporal (IMC) (kg/m²): Foi utilizado como indicador</w:t>
      </w:r>
      <w:r>
        <w:t xml:space="preserve"> </w:t>
      </w:r>
      <w:r>
        <w:t xml:space="preserve">do estado nutricional dos participantes, sendo calculado pela razão</w:t>
      </w:r>
      <w:r>
        <w:t xml:space="preserve"> </w:t>
      </w:r>
      <w:r>
        <w:t xml:space="preserve">entre o peso corporal, em quilogramas, e o quadrado da altura, em</w:t>
      </w:r>
      <w:r>
        <w:t xml:space="preserve"> </w:t>
      </w:r>
      <w:r>
        <w:t xml:space="preserve">metros (kg/m²), conforme a seguinte expressão: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t>M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e</m:t>
              </m:r>
              <m:r>
                <m:t>s</m:t>
              </m:r>
              <m:r>
                <m:t>o</m:t>
              </m:r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g</m:t>
                  </m:r>
                </m:e>
              </m:d>
            </m:num>
            <m:den>
              <m:r>
                <m:t>a</m:t>
              </m:r>
              <m:r>
                <m:t>l</m:t>
              </m:r>
              <m:r>
                <m:t>t</m:t>
              </m:r>
              <m:r>
                <m:t>u</m:t>
              </m:r>
              <m:r>
                <m:t>r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A classificação do IMC seguiu os critérios estabelecidos pela</w:t>
      </w:r>
      <w:r>
        <w:t xml:space="preserve"> </w:t>
      </w:r>
      <w:r>
        <w:t xml:space="preserve">Organização Mundial da Saúde (OMS), sendo categorizada da seguinte</w:t>
      </w:r>
      <w:r>
        <w:t xml:space="preserve"> </w:t>
      </w:r>
      <w:r>
        <w:t xml:space="preserve">forma: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Baixo peso:</w:t>
      </w:r>
      <w:r>
        <w:t xml:space="preserve"> </w:t>
      </w:r>
      <w:r>
        <w:t xml:space="preserve">IMC &lt; 18,5 kg/m²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Eutrofia:</w:t>
      </w:r>
      <w:r>
        <w:t xml:space="preserve"> </w:t>
      </w:r>
      <w:r>
        <w:t xml:space="preserve">IMC ≥ 18,5 e &lt; 25,0 kg/m²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Sobrepeso:</w:t>
      </w:r>
      <w:r>
        <w:t xml:space="preserve"> </w:t>
      </w:r>
      <w:r>
        <w:t xml:space="preserve">IMC ≥ 25,0 e &lt; 30,0 kg/m²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Obesidade grau I:</w:t>
      </w:r>
      <w:r>
        <w:t xml:space="preserve"> </w:t>
      </w:r>
      <w:r>
        <w:t xml:space="preserve">IMC ≥ 30,0 e &lt; 35,0 kg/m²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Obesidade grau II:</w:t>
      </w:r>
      <w:r>
        <w:t xml:space="preserve"> </w:t>
      </w:r>
      <w:r>
        <w:t xml:space="preserve">IMC ≥ 35,0 e &lt; 40,0 kg/m²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Obesidade grau III:</w:t>
      </w:r>
      <w:r>
        <w:t xml:space="preserve"> </w:t>
      </w:r>
      <w:r>
        <w:t xml:space="preserve">IMC ≥ 40,0 kg/m²</w:t>
      </w:r>
    </w:p>
    <w:p>
      <w:pPr>
        <w:pStyle w:val="FirstParagraph"/>
      </w:pPr>
      <w:r>
        <w:t xml:space="preserve">Essa classificação permite avaliar o excesso de peso e a obesidade,</w:t>
      </w:r>
      <w:r>
        <w:t xml:space="preserve"> </w:t>
      </w:r>
      <w:r>
        <w:t xml:space="preserve">condições reconhecidas como fatores de risco para alterações</w:t>
      </w:r>
      <w:r>
        <w:t xml:space="preserve"> </w:t>
      </w:r>
      <w:r>
        <w:t xml:space="preserve">metabólicas, inflamatórias e hemodinâmicas, associadas ao</w:t>
      </w:r>
      <w:r>
        <w:t xml:space="preserve"> </w:t>
      </w:r>
      <w:r>
        <w:t xml:space="preserve">desenvolvimento e à progressão da Doença Renal Crônica (DRC).</w:t>
      </w:r>
    </w:p>
    <w:p>
      <w:pPr>
        <w:pStyle w:val="Compact"/>
        <w:numPr>
          <w:ilvl w:val="0"/>
          <w:numId w:val="1016"/>
        </w:numPr>
      </w:pPr>
      <w:r>
        <w:t xml:space="preserve">Concentração de sódio e potássio (excreção urinária)</w:t>
      </w:r>
    </w:p>
    <w:p>
      <w:pPr>
        <w:pStyle w:val="Compact"/>
        <w:numPr>
          <w:ilvl w:val="0"/>
          <w:numId w:val="1016"/>
        </w:numPr>
      </w:pPr>
      <w:r>
        <w:t xml:space="preserve">Condições Clínicas e Comorbidades (Fatores de Risco para DRC):</w:t>
      </w:r>
      <w:r>
        <w:t xml:space="preserve"> </w:t>
      </w:r>
      <w:r>
        <w:t xml:space="preserve">Dislipidemia (LDL ≥130 mg/dL ou uso de hipolipemiantes), Hipertensão</w:t>
      </w:r>
      <w:r>
        <w:t xml:space="preserve"> </w:t>
      </w:r>
      <w:r>
        <w:t xml:space="preserve">Arterial Sistêmica (HAS) (pressão sistólica ≥ 140 mm Hg, pressão</w:t>
      </w:r>
      <w:r>
        <w:t xml:space="preserve"> </w:t>
      </w:r>
      <w:r>
        <w:t xml:space="preserve">diastólica ≥ 90 mm Hg ou tratamento com anti-hipertensivo), Diabetes</w:t>
      </w:r>
      <w:r>
        <w:t xml:space="preserve"> </w:t>
      </w:r>
      <w:r>
        <w:t xml:space="preserve">Mellitus (DM) (diagnóstico prévio, uso de medicação, glicose</w:t>
      </w:r>
      <w:r>
        <w:t xml:space="preserve"> </w:t>
      </w:r>
      <w:r>
        <w:t xml:space="preserve">sanguínea ≥ 126 mg/dL, glicose 2h ≥200 mg/dL ou HbA1C ≥ 6,5%), e</w:t>
      </w:r>
      <w:r>
        <w:t xml:space="preserve"> </w:t>
      </w:r>
      <w:r>
        <w:t xml:space="preserve">Doença Cardiovascular</w:t>
      </w:r>
      <w:r>
        <w:t xml:space="preserve"> </w:t>
      </w:r>
      <w:r>
        <w:t xml:space="preserve">(Silva, 2021)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Hábitos de Vida: Tabagismo, nível de atividade física (IPAC),</w:t>
      </w:r>
      <w:r>
        <w:t xml:space="preserve"> </w:t>
      </w:r>
      <w:r>
        <w:t xml:space="preserve">consumo de álcool</w:t>
      </w:r>
      <w:r>
        <w:t xml:space="preserve"> </w:t>
      </w:r>
      <w:r>
        <w:t xml:space="preserve">(Silva, 2021)</w:t>
      </w:r>
      <w:r>
        <w:t xml:space="preserve">.</w:t>
      </w:r>
    </w:p>
    <w:p>
      <w:pPr>
        <w:pStyle w:val="FirstParagraph"/>
      </w:pPr>
      <w:r>
        <w:t xml:space="preserve">A associação entre TFGe e fatores de risco modificáveis, como o consumo</w:t>
      </w:r>
      <w:r>
        <w:t xml:space="preserve"> </w:t>
      </w:r>
      <w:r>
        <w:t xml:space="preserve">de alimentos ultraprocessados (AUPF), tem sido consistentemente</w:t>
      </w:r>
      <w:r>
        <w:t xml:space="preserve"> </w:t>
      </w:r>
      <w:r>
        <w:t xml:space="preserve">investigada, visto que o aumento de 10% no consumo de AUPF foi associado</w:t>
      </w:r>
      <w:r>
        <w:t xml:space="preserve"> </w:t>
      </w:r>
      <w:r>
        <w:t xml:space="preserve">a um risco 7% maior de DRC (RR = 1,07). O consumo de AUPF, que é um</w:t>
      </w:r>
      <w:r>
        <w:t xml:space="preserve"> </w:t>
      </w:r>
      <w:r>
        <w:t xml:space="preserve">fator de risco modificável para doenças crônicas, tem sido</w:t>
      </w:r>
      <w:r>
        <w:t xml:space="preserve"> </w:t>
      </w:r>
      <w:r>
        <w:t xml:space="preserve">consistentemente associado à diminuição da função renal</w:t>
      </w:r>
      <w:r>
        <w:t xml:space="preserve"> </w:t>
      </w:r>
      <w:r>
        <w:t xml:space="preserve">(Avesani et al., 2023; He et al., 2024)</w:t>
      </w:r>
      <w:r>
        <w:t xml:space="preserve">.</w:t>
      </w:r>
    </w:p>
    <w:bookmarkEnd w:id="34"/>
    <w:bookmarkEnd w:id="35"/>
    <w:bookmarkStart w:id="37" w:name="Xdbb224c4e6f3aeab71eaced62cd4f1b96ef618f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Coleta das Variáveis Relacionadas à Função Renal</w:t>
      </w:r>
    </w:p>
    <w:p>
      <w:pPr>
        <w:pStyle w:val="FirstParagraph"/>
      </w:pPr>
      <w:r>
        <w:t xml:space="preserve">As metodologias de coleta e análise dessas variáveis geralmente seguem</w:t>
      </w:r>
      <w:r>
        <w:t xml:space="preserve"> </w:t>
      </w:r>
      <w:r>
        <w:t xml:space="preserve">protocolos padronizados, como observado em grandes estudos de coorte</w:t>
      </w:r>
      <w:r>
        <w:t xml:space="preserve"> </w:t>
      </w:r>
      <w:r>
        <w:t xml:space="preserve">como o ELSA-Brasil.</w:t>
      </w:r>
    </w:p>
    <w:bookmarkStart w:id="36" w:name="coleta-de-amostras-biológicas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Coleta de Amostras Biológicas</w:t>
      </w:r>
    </w:p>
    <w:p>
      <w:pPr>
        <w:pStyle w:val="FirstParagraph"/>
      </w:pPr>
      <w:r>
        <w:t xml:space="preserve">A coleta de material biológico é crucial para a determinação das</w:t>
      </w:r>
      <w:r>
        <w:t xml:space="preserve"> </w:t>
      </w:r>
      <w:r>
        <w:t xml:space="preserve">variáveis sanguíneas e urinárias.</w:t>
      </w:r>
    </w:p>
    <w:p>
      <w:pPr>
        <w:pStyle w:val="Compact"/>
        <w:numPr>
          <w:ilvl w:val="0"/>
          <w:numId w:val="1017"/>
        </w:numPr>
      </w:pPr>
      <w:r>
        <w:t xml:space="preserve">Tipos de amostras: As variáveis foram determinadas a partir de</w:t>
      </w:r>
      <w:r>
        <w:t xml:space="preserve"> </w:t>
      </w:r>
      <w:r>
        <w:t xml:space="preserve">amostras de sangue em jejum, amostras pontuais ou coleta de urina</w:t>
      </w:r>
      <w:r>
        <w:t xml:space="preserve"> </w:t>
      </w:r>
      <w:r>
        <w:t xml:space="preserve">durante determinado horário</w:t>
      </w:r>
      <w:r>
        <w:t xml:space="preserve"> </w:t>
      </w:r>
      <w:r>
        <w:t xml:space="preserve">(Naud, 2019; Rey-Garcı́a et al., 2021)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Preparação do participante: Os participantes foram orientados a</w:t>
      </w:r>
      <w:r>
        <w:t xml:space="preserve"> </w:t>
      </w:r>
      <w:r>
        <w:t xml:space="preserve">seguir protocolos específicos antes da coleta, como jejum de 8 a 12</w:t>
      </w:r>
      <w:r>
        <w:t xml:space="preserve"> </w:t>
      </w:r>
      <w:r>
        <w:t xml:space="preserve">horas para amostras de sangue</w:t>
      </w:r>
      <w:r>
        <w:t xml:space="preserve"> </w:t>
      </w:r>
      <w:r>
        <w:t xml:space="preserve">(Naud, 2019)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Procedimentos de coleta: A coleta foi realizada por profissionais</w:t>
      </w:r>
      <w:r>
        <w:t xml:space="preserve"> </w:t>
      </w:r>
      <w:r>
        <w:t xml:space="preserve">treinados, utilizando técnicas assépticas para garantir a</w:t>
      </w:r>
      <w:r>
        <w:t xml:space="preserve"> </w:t>
      </w:r>
      <w:r>
        <w:t xml:space="preserve">integridade das amostras. As amostras de sangue foram tipicamente</w:t>
      </w:r>
      <w:r>
        <w:t xml:space="preserve"> </w:t>
      </w:r>
      <w:r>
        <w:t xml:space="preserve">colhidas utilizando um sistema vacutainer em vários tubos</w:t>
      </w:r>
      <w:r>
        <w:t xml:space="preserve"> </w:t>
      </w:r>
      <w:r>
        <w:t xml:space="preserve">específicos (EDTA, gel ativador para separação de soro, citrato,</w:t>
      </w:r>
      <w:r>
        <w:t xml:space="preserve"> </w:t>
      </w:r>
      <w:r>
        <w:t xml:space="preserve">fluoreto/oxalato, heparina)</w:t>
      </w:r>
      <w:r>
        <w:t xml:space="preserve"> </w:t>
      </w:r>
      <w:r>
        <w:t xml:space="preserve">(Naud, 2019)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Processamento da amostra: Após a coleta, as amostras são processadas</w:t>
      </w:r>
      <w:r>
        <w:t xml:space="preserve"> </w:t>
      </w:r>
      <w:r>
        <w:t xml:space="preserve">conforme protocolos padronizados, incluindo centrifugação para</w:t>
      </w:r>
      <w:r>
        <w:t xml:space="preserve"> </w:t>
      </w:r>
      <w:r>
        <w:t xml:space="preserve">separar o soro ou plasma, e armazenamento em temperaturas adequadas</w:t>
      </w:r>
      <w:r>
        <w:t xml:space="preserve"> </w:t>
      </w:r>
      <w:r>
        <w:t xml:space="preserve">(-20°C ou -80°C) até a análise. Para garantir a qualidade, as</w:t>
      </w:r>
      <w:r>
        <w:t xml:space="preserve"> </w:t>
      </w:r>
      <w:r>
        <w:t xml:space="preserve">amostras foram processadas rapidamente. Elas foram mantidas em gelo</w:t>
      </w:r>
      <w:r>
        <w:t xml:space="preserve"> </w:t>
      </w:r>
      <w:r>
        <w:t xml:space="preserve">e centrifugadas no máximo até 30 minutos após a coleta. Depois da</w:t>
      </w:r>
      <w:r>
        <w:t xml:space="preserve"> </w:t>
      </w:r>
      <w:r>
        <w:t xml:space="preserve">centrifugação, o material biológico foi aliquotado e armazenado</w:t>
      </w:r>
      <w:r>
        <w:t xml:space="preserve"> </w:t>
      </w:r>
      <w:r>
        <w:t xml:space="preserve">(Naud, 2019)</w:t>
      </w:r>
      <w:r>
        <w:t xml:space="preserve">.</w:t>
      </w:r>
    </w:p>
    <w:bookmarkEnd w:id="36"/>
    <w:bookmarkEnd w:id="37"/>
    <w:bookmarkStart w:id="41" w:name="revisão-de-literatura-desenho-conceitual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Revisão de Literatura (Desenho Conceitual)</w:t>
      </w:r>
    </w:p>
    <w:bookmarkStart w:id="38" w:name="X255e0244c3b256e32805c902a19715bc7bc18bc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O Sistema NOVA e a Classificação de Alimentos Ultraprocessados</w:t>
      </w:r>
    </w:p>
    <w:p>
      <w:pPr>
        <w:pStyle w:val="FirstParagraph"/>
      </w:pPr>
      <w:r>
        <w:t xml:space="preserve">A classificação NOVA é fundamentada na extensão e propósito do</w:t>
      </w:r>
      <w:r>
        <w:t xml:space="preserve"> </w:t>
      </w:r>
      <w:r>
        <w:t xml:space="preserve">processamento</w:t>
      </w:r>
      <w:r>
        <w:t xml:space="preserve"> </w:t>
      </w:r>
      <w:r>
        <w:t xml:space="preserve">(Monteiro et al., 2019)</w:t>
      </w:r>
      <w:r>
        <w:t xml:space="preserve">. Os AUPs (Grupo 4) são identificáveis</w:t>
      </w:r>
      <w:r>
        <w:t xml:space="preserve"> </w:t>
      </w:r>
      <w:r>
        <w:t xml:space="preserve">pela presença de substâncias que raramente são usadas em preparações</w:t>
      </w:r>
      <w:r>
        <w:t xml:space="preserve"> </w:t>
      </w:r>
      <w:r>
        <w:t xml:space="preserve">culinárias domésticas (como xarope de milho com alto teor de frutose,</w:t>
      </w:r>
      <w:r>
        <w:t xml:space="preserve"> </w:t>
      </w:r>
      <w:r>
        <w:t xml:space="preserve">óleos interesterificados e proteínas hidrolisadas) ou pela inclusão de</w:t>
      </w:r>
      <w:r>
        <w:t xml:space="preserve"> </w:t>
      </w:r>
      <w:r>
        <w:t xml:space="preserve">aditivos cosméticos (como aromatizantes, intensificadores de sabor,</w:t>
      </w:r>
      <w:r>
        <w:t xml:space="preserve"> </w:t>
      </w:r>
      <w:r>
        <w:t xml:space="preserve">corantes, emulsificantes e edulcorantes). O consumo de AUPs tem um</w:t>
      </w:r>
      <w:r>
        <w:t xml:space="preserve"> </w:t>
      </w:r>
      <w:r>
        <w:t xml:space="preserve">impacto negativo na qualidade nutricional da dieta global</w:t>
      </w:r>
      <w:r>
        <w:t xml:space="preserve"> </w:t>
      </w:r>
      <w:r>
        <w:t xml:space="preserve">(Avesani et al., 2023; Cecchini et al., 2025)</w:t>
      </w:r>
      <w:r>
        <w:t xml:space="preserve">.</w:t>
      </w:r>
    </w:p>
    <w:bookmarkEnd w:id="38"/>
    <w:bookmarkStart w:id="39" w:name="Xa552f9a50861716c55fa1ac83a7e055e1aed7b8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AUPs e Doenças Crônicas: Mecanismos Além da Nutrição</w:t>
      </w:r>
    </w:p>
    <w:p>
      <w:pPr>
        <w:pStyle w:val="FirstParagraph"/>
      </w:pPr>
      <w:r>
        <w:t xml:space="preserve">Embora os AUPs tenham tipicamente um perfil nutricional ruim (baixo teor</w:t>
      </w:r>
      <w:r>
        <w:t xml:space="preserve"> </w:t>
      </w:r>
      <w:r>
        <w:t xml:space="preserve">de fibra, alto teor de gorduras saturadas, sódio e</w:t>
      </w:r>
      <w:r>
        <w:t xml:space="preserve"> </w:t>
      </w:r>
      <w:r>
        <w:t xml:space="preserve">açúcar)</w:t>
      </w:r>
      <w:r>
        <w:t xml:space="preserve">(Rey-Garcı́a et al., 2021)</w:t>
      </w:r>
      <w:r>
        <w:t xml:space="preserve">, as associações com doenças persistem mesmo após</w:t>
      </w:r>
      <w:r>
        <w:t xml:space="preserve"> </w:t>
      </w:r>
      <w:r>
        <w:t xml:space="preserve">o ajuste para esses nutrientes, sugerindo que o risco reside em outros</w:t>
      </w:r>
      <w:r>
        <w:t xml:space="preserve"> </w:t>
      </w:r>
      <w:r>
        <w:t xml:space="preserve">fatores relacionados ao processamento</w:t>
      </w:r>
      <w:r>
        <w:t xml:space="preserve"> </w:t>
      </w:r>
      <w:r>
        <w:t xml:space="preserve">(Avesani et al., 2023; Srour et al., 2019)</w:t>
      </w:r>
      <w:r>
        <w:t xml:space="preserve">.</w:t>
      </w:r>
    </w:p>
    <w:bookmarkEnd w:id="39"/>
    <w:bookmarkStart w:id="40" w:name="X80c50f2434aedbbee3f7c3f4a3bc52eb2580149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A Avaliação Simplificada do Consumo de AUPs no Brasil</w:t>
      </w:r>
    </w:p>
    <w:p>
      <w:pPr>
        <w:pStyle w:val="FirstParagraph"/>
      </w:pPr>
      <w:r>
        <w:t xml:space="preserve">A avaliação detalhada do consumo de AUPs, tipicamente realizada por</w:t>
      </w:r>
      <w:r>
        <w:t xml:space="preserve"> </w:t>
      </w:r>
      <w:r>
        <w:t xml:space="preserve">caracterização da população, suas frequências e avaliações cruzadas.</w:t>
      </w:r>
    </w:p>
    <w:bookmarkEnd w:id="40"/>
    <w:bookmarkEnd w:id="41"/>
    <w:bookmarkStart w:id="42" w:name="desenho-do-estudo-e-população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Desenho do Estudo e População</w:t>
      </w:r>
    </w:p>
    <w:p>
      <w:pPr>
        <w:pStyle w:val="FirstParagraph"/>
      </w:pPr>
      <w:r>
        <w:t xml:space="preserve">Este será um estudo longitudinal observacional de coorte prospectiva,</w:t>
      </w:r>
      <w:r>
        <w:t xml:space="preserve"> </w:t>
      </w:r>
      <w:r>
        <w:t xml:space="preserve">utilizando dados provenientes das diferentes ondas do Estudo</w:t>
      </w:r>
      <w:r>
        <w:t xml:space="preserve"> </w:t>
      </w:r>
      <w:r>
        <w:t xml:space="preserve">Longitudinal de Saúde do Adulto (ELSA-Brasil). A população do estudo</w:t>
      </w:r>
      <w:r>
        <w:t xml:space="preserve"> </w:t>
      </w:r>
      <w:r>
        <w:t xml:space="preserve">será composta por participantes adultos (com idades entre 35 e 74 anos)</w:t>
      </w:r>
      <w:r>
        <w:t xml:space="preserve"> </w:t>
      </w:r>
      <w:r>
        <w:t xml:space="preserve">do ELSA-Brasil, uma coorte multicêntrica de servidores públicos de seis</w:t>
      </w:r>
      <w:r>
        <w:t xml:space="preserve"> </w:t>
      </w:r>
      <w:r>
        <w:t xml:space="preserve">instituições de ensino e pesquisa no Brasil, que visa investigar a</w:t>
      </w:r>
      <w:r>
        <w:t xml:space="preserve"> </w:t>
      </w:r>
      <w:r>
        <w:t xml:space="preserve">incidência e os fatores de risco para doenças crônicas não</w:t>
      </w:r>
      <w:r>
        <w:t xml:space="preserve"> </w:t>
      </w:r>
      <w:r>
        <w:t xml:space="preserve">transmissíveis.</w:t>
      </w:r>
    </w:p>
    <w:bookmarkEnd w:id="42"/>
    <w:bookmarkStart w:id="52" w:name="análise-estatística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Análise Estatística</w:t>
      </w:r>
    </w:p>
    <w:p>
      <w:pPr>
        <w:pStyle w:val="FirstParagraph"/>
      </w:pPr>
      <w:r>
        <w:t xml:space="preserve">As análises estatísticas serão realizadas em etapas: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Análise Descritiva:</w:t>
      </w:r>
      <w:r>
        <w:t xml:space="preserve"> </w:t>
      </w:r>
      <w:r>
        <w:t xml:space="preserve">Serão apresentadas estatísticas descritivas</w:t>
      </w:r>
      <w:r>
        <w:t xml:space="preserve"> </w:t>
      </w:r>
      <w:r>
        <w:t xml:space="preserve">(médias, desvios-padrão, medianas, quartis, frequências e</w:t>
      </w:r>
      <w:r>
        <w:t xml:space="preserve"> </w:t>
      </w:r>
      <w:r>
        <w:t xml:space="preserve">percentuais) para caracterizar a população do estudo e as variáveis</w:t>
      </w:r>
      <w:r>
        <w:t xml:space="preserve"> </w:t>
      </w:r>
      <w:r>
        <w:t xml:space="preserve">de interesse</w:t>
      </w:r>
      <w:r>
        <w:t xml:space="preserve"> </w:t>
      </w:r>
      <w:r>
        <w:t xml:space="preserve">(Artes &amp; Barroso, 2023)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Modelos Lineares Mistos (LMM):</w:t>
      </w:r>
      <w:r>
        <w:t xml:space="preserve"> </w:t>
      </w:r>
      <w:r>
        <w:t xml:space="preserve">Para avaliar a associação</w:t>
      </w:r>
      <w:r>
        <w:t xml:space="preserve"> </w:t>
      </w:r>
      <w:r>
        <w:t xml:space="preserve">longitudinal entre o consumo de alimentos ultraprocessados e a TFG,</w:t>
      </w:r>
      <w:r>
        <w:t xml:space="preserve"> </w:t>
      </w:r>
      <w:r>
        <w:t xml:space="preserve">serão ajustados modelos lineares mistos com intercepto aleatório por</w:t>
      </w:r>
      <w:r>
        <w:t xml:space="preserve"> </w:t>
      </w:r>
      <w:r>
        <w:t xml:space="preserve">indivíduo, considerando a natureza hierárquica e repetida dos dados.</w:t>
      </w:r>
      <w:r>
        <w:t xml:space="preserve"> </w:t>
      </w:r>
      <w:r>
        <w:t xml:space="preserve">A inclusão de um termo de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aleatório será avaliada quando</w:t>
      </w:r>
      <w:r>
        <w:t xml:space="preserve"> </w:t>
      </w:r>
      <w:r>
        <w:t xml:space="preserve">apropriado para capturar a variabilidade individual na trajetória da</w:t>
      </w:r>
      <w:r>
        <w:t xml:space="preserve"> </w:t>
      </w:r>
      <w:r>
        <w:t xml:space="preserve">TFG</w:t>
      </w:r>
      <w:r>
        <w:t xml:space="preserve"> </w:t>
      </w:r>
      <w:r>
        <w:t xml:space="preserve">(Demidenko, 2013; Fávero &amp; Belfiore, 2017)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Seleção de Modelos:</w:t>
      </w:r>
      <w:r>
        <w:t xml:space="preserve"> </w:t>
      </w:r>
      <w:r>
        <w:t xml:space="preserve">A comparação entre os modelos será realizada</w:t>
      </w:r>
      <w:r>
        <w:t xml:space="preserve"> </w:t>
      </w:r>
      <w:r>
        <w:t xml:space="preserve">utilizando critérios de informação como o Critério de Informação de</w:t>
      </w:r>
      <w:r>
        <w:t xml:space="preserve"> </w:t>
      </w:r>
      <w:r>
        <w:t xml:space="preserve">Akaike (AIC) e o Critério de Informação Bayesiano (BIC)</w:t>
      </w:r>
      <w:r>
        <w:t xml:space="preserve"> </w:t>
      </w:r>
      <w:r>
        <w:t xml:space="preserve">(Demidenko, 2013; Fávero &amp; Belfiore, 2017)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Diagnóstico e Robustez:</w:t>
      </w:r>
      <w:r>
        <w:t xml:space="preserve"> </w:t>
      </w:r>
      <w:r>
        <w:t xml:space="preserve">A avaliação de resíduos e o diagnóstico</w:t>
      </w:r>
      <w:r>
        <w:t xml:space="preserve"> </w:t>
      </w:r>
      <w:r>
        <w:t xml:space="preserve">de ajuste dos modelos serão conduzidos para verificar a adequação</w:t>
      </w:r>
      <w:r>
        <w:t xml:space="preserve"> </w:t>
      </w:r>
      <w:r>
        <w:t xml:space="preserve">das premissas. Adicionalmente, será explorada a utilização de</w:t>
      </w:r>
      <w:r>
        <w:t xml:space="preserve"> </w:t>
      </w:r>
      <w:r>
        <w:t xml:space="preserve">versões robustas de LMM (e.g.,</w:t>
      </w:r>
      <w:r>
        <w:t xml:space="preserve"> </w:t>
      </w:r>
      <w:r>
        <w:rPr>
          <w:rStyle w:val="VerbatimChar"/>
        </w:rPr>
        <w:t xml:space="preserve">robustlmm</w:t>
      </w:r>
      <w:r>
        <w:t xml:space="preserve"> </w:t>
      </w:r>
      <w:r>
        <w:t xml:space="preserve">no R) para mitigar a</w:t>
      </w:r>
      <w:r>
        <w:t xml:space="preserve"> </w:t>
      </w:r>
      <w:r>
        <w:t xml:space="preserve">influência de potenciais</w:t>
      </w:r>
      <w:r>
        <w:t xml:space="preserve"> </w:t>
      </w:r>
      <w:r>
        <w:rPr>
          <w:i/>
          <w:iCs/>
        </w:rPr>
        <w:t xml:space="preserve">outliers</w:t>
      </w:r>
      <w:r>
        <w:t xml:space="preserve"> </w:t>
      </w:r>
      <w:r>
        <w:t xml:space="preserve">ou observações influentes</w:t>
      </w:r>
      <w:r>
        <w:t xml:space="preserve"> </w:t>
      </w:r>
      <w:r>
        <w:t xml:space="preserve">(Artes &amp; Barroso, 2023; Demidenko, 2013; Fávero &amp; Belfiore, 2017)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Análise de Modificadores de Efeito:</w:t>
      </w:r>
      <w:r>
        <w:t xml:space="preserve"> </w:t>
      </w:r>
      <w:r>
        <w:t xml:space="preserve">Serão realizadas análises</w:t>
      </w:r>
      <w:r>
        <w:t xml:space="preserve"> </w:t>
      </w:r>
      <w:r>
        <w:t xml:space="preserve">estratificadas e/ou inclusão de termos de interação nos modelos para</w:t>
      </w:r>
      <w:r>
        <w:t xml:space="preserve"> </w:t>
      </w:r>
      <w:r>
        <w:t xml:space="preserve">investigar se a associação entre ultraprocessados e TFG difere em</w:t>
      </w:r>
      <w:r>
        <w:t xml:space="preserve"> </w:t>
      </w:r>
      <w:r>
        <w:t xml:space="preserve">subgrupos específicos (e.g., por idade, sexo, presença de</w:t>
      </w:r>
      <w:r>
        <w:t xml:space="preserve"> </w:t>
      </w:r>
      <w:r>
        <w:t xml:space="preserve">hipertensão ou diabetes)</w:t>
      </w:r>
      <w:r>
        <w:t xml:space="preserve"> </w:t>
      </w:r>
      <w:r>
        <w:t xml:space="preserve">(Artes &amp; Barroso, 2023)</w:t>
      </w:r>
      <w:r>
        <w:t xml:space="preserve">.</w:t>
      </w:r>
    </w:p>
    <w:bookmarkStart w:id="50" w:name="o-modelo-linear-misto-mlm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O Modelo Linear Misto (MLM)</w:t>
      </w:r>
    </w:p>
    <w:p>
      <w:pPr>
        <w:pStyle w:val="FirstParagraph"/>
      </w:pPr>
      <w:r>
        <w:t xml:space="preserve">O Modelo Linear Misto (MLM), ou Linear Mixed Effects (LME) Model, é o</w:t>
      </w:r>
      <w:r>
        <w:t xml:space="preserve"> </w:t>
      </w:r>
      <w:r>
        <w:t xml:space="preserve">framework estatístico mais adequado para analisar a diminuição da função</w:t>
      </w:r>
      <w:r>
        <w:t xml:space="preserve"> </w:t>
      </w:r>
      <w:r>
        <w:t xml:space="preserve">renal (representada pela TFGe) em um estudo longitudinal com medidas</w:t>
      </w:r>
      <w:r>
        <w:t xml:space="preserve"> </w:t>
      </w:r>
      <w:r>
        <w:t xml:space="preserve">repetidas, como a coorte ELSA-Brasil. Este modelo é uma extensão da</w:t>
      </w:r>
      <w:r>
        <w:t xml:space="preserve"> </w:t>
      </w:r>
      <w:r>
        <w:t xml:space="preserve">regressão linear que lida explicitamente com a dependência dos dados,</w:t>
      </w:r>
      <w:r>
        <w:t xml:space="preserve"> </w:t>
      </w:r>
      <w:r>
        <w:t xml:space="preserve">modelando a correlação que existe entre as múltiplas observações</w:t>
      </w:r>
      <w:r>
        <w:t xml:space="preserve"> </w:t>
      </w:r>
      <w:r>
        <w:t xml:space="preserve">coletadas do mesmo indivíduo ao longo do tempo. O modelo MLM decompõe a</w:t>
      </w:r>
      <w:r>
        <w:t xml:space="preserve"> </w:t>
      </w:r>
      <w:r>
        <w:t xml:space="preserve">variação total em efeitos fixos (a trajetória média populacional) e</w:t>
      </w:r>
      <w:r>
        <w:t xml:space="preserve"> </w:t>
      </w:r>
      <w:r>
        <w:t xml:space="preserve">efeitos aleatórios (a variação individual em torno dessa média)</w:t>
      </w:r>
      <w:r>
        <w:t xml:space="preserve"> </w:t>
      </w:r>
      <w:r>
        <w:t xml:space="preserve">(Demidenko, 2013; Fávero &amp; Belfiore, 2017; Field et al., 2012; Gail et al., 2010; Singer &amp; Andrade, 1986)</w:t>
      </w:r>
      <w:r>
        <w:t xml:space="preserve">.</w:t>
      </w:r>
    </w:p>
    <w:bookmarkStart w:id="49" w:name="X9b3facc8413c9238329529afcb2fa474b333eba"/>
    <w:p>
      <w:pPr>
        <w:pStyle w:val="Heading4"/>
      </w:pPr>
      <w:r>
        <w:rPr>
          <w:rStyle w:val="SectionNumber"/>
        </w:rPr>
        <w:t xml:space="preserve">5.6.1.1</w:t>
      </w:r>
      <w:r>
        <w:tab/>
      </w:r>
      <w:r>
        <w:t xml:space="preserve">Modelo Linear Misto para Taxa de Filtração Glomerular Estimada (TFGe)</w:t>
      </w:r>
    </w:p>
    <w:bookmarkStart w:id="45" w:name="Xd845e9b412f7c7d0dcaf61298ced95ace11e5ca"/>
    <w:p>
      <w:pPr>
        <w:pStyle w:val="Heading5"/>
      </w:pPr>
      <w:r>
        <w:rPr>
          <w:rStyle w:val="SectionNumber"/>
        </w:rPr>
        <w:t xml:space="preserve">5.6.1.1.1</w:t>
      </w:r>
      <w:r>
        <w:tab/>
      </w:r>
      <w:r>
        <w:t xml:space="preserve">Formulação Matemática Detalhada do Modelo Linear Misto</w:t>
      </w:r>
    </w:p>
    <w:p>
      <w:pPr>
        <w:pStyle w:val="FirstParagraph"/>
      </w:pPr>
      <w:r>
        <w:t xml:space="preserve">O MLM para a TFGe, utilizando a formulação de Laird e Ware (1982), é</w:t>
      </w:r>
      <w:r>
        <w:t xml:space="preserve"> </w:t>
      </w:r>
      <w:r>
        <w:t xml:space="preserve">representado pela combinação de dois níveis.</w:t>
      </w:r>
    </w:p>
    <w:bookmarkStart w:id="43" w:name="Xa885e7e80b0d549dabbd73916b2223ff766a212"/>
    <w:p>
      <w:pPr>
        <w:pStyle w:val="Heading6"/>
      </w:pPr>
      <w:r>
        <w:rPr>
          <w:rStyle w:val="SectionNumber"/>
        </w:rPr>
        <w:t xml:space="preserve">5.6.1.1.1.1</w:t>
      </w:r>
      <w:r>
        <w:tab/>
      </w:r>
      <w:r>
        <w:t xml:space="preserve">Modelo para o Indivíduo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no Tempo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(Notação Matricial Condicional)</w:t>
      </w:r>
    </w:p>
    <w:p>
      <w:pPr>
        <w:pStyle w:val="FirstParagraph"/>
      </w:pPr>
      <w:r>
        <w:t xml:space="preserve">A resposta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(vetor de medições da TFGe ao longo do tempo para o</w:t>
      </w:r>
      <w:r>
        <w:t xml:space="preserve"> </w:t>
      </w:r>
      <w:r>
        <w:t xml:space="preserve">participante</w:t>
      </w:r>
      <w:r>
        <w:t xml:space="preserve"> </w:t>
      </w:r>
      <m:oMath>
        <m:r>
          <m:t>i</m:t>
        </m:r>
      </m:oMath>
      <w:r>
        <w:t xml:space="preserve">) é dada por: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para 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pStyle w:val="FirstParagraph"/>
      </w:pPr>
      <w:r>
        <w:t xml:space="preserve">Onde: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24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Vetor das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observações da TFGe para o participante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×</m:t>
              </m:r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Matriz de</w:t>
            </w:r>
            <w:r>
              <w:t xml:space="preserve"> </w:t>
            </w:r>
            <w:r>
              <w:rPr>
                <w:i/>
                <w:iCs/>
              </w:rPr>
              <w:t xml:space="preserve">design</w:t>
            </w:r>
            <w:r>
              <w:t xml:space="preserve"> </w:t>
            </w:r>
            <w:r>
              <w:t xml:space="preserve">das variáveis fixas (preditoras) para o indivíduo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Vetor de</w:t>
            </w:r>
            <w:r>
              <w:t xml:space="preserve"> </w:t>
            </w:r>
            <w:r>
              <w:rPr>
                <w:b/>
                <w:bCs/>
              </w:rPr>
              <w:t xml:space="preserve">Efeitos Fixos</w:t>
            </w:r>
            <w:r>
              <w:t xml:space="preserve"> </w:t>
            </w:r>
            <w:r>
              <w:t xml:space="preserve">(parâmetros populacionais).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×</m:t>
              </m:r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t xml:space="preserve">Matriz de</w:t>
            </w:r>
            <w:r>
              <w:t xml:space="preserve"> </w:t>
            </w:r>
            <w:r>
              <w:rPr>
                <w:i/>
                <w:iCs/>
              </w:rPr>
              <w:t xml:space="preserve">design</w:t>
            </w:r>
            <w:r>
              <w:t xml:space="preserve"> </w:t>
            </w:r>
            <w:r>
              <w:t xml:space="preserve">das variáveis aleatórias para o indivíduo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Vetor de</w:t>
            </w:r>
            <w:r>
              <w:t xml:space="preserve"> </w:t>
            </w:r>
            <w:r>
              <w:rPr>
                <w:b/>
                <w:bCs/>
              </w:rPr>
              <w:t xml:space="preserve">Efeitos Aleatórios</w:t>
            </w:r>
            <w:r>
              <w:t xml:space="preserve"> </w:t>
            </w:r>
            <w:r>
              <w:t xml:space="preserve">(desvios específicos do indivíduo).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ϵ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Vetor de erros residuais (</w:t>
            </w:r>
            <w:r>
              <w:rPr>
                <w:i/>
                <w:iCs/>
              </w:rPr>
              <w:t xml:space="preserve">within-subject error term</w:t>
            </w:r>
            <w:r>
              <w:t xml:space="preserve">).</w:t>
            </w:r>
          </w:p>
        </w:tc>
      </w:tr>
    </w:tbl>
    <w:bookmarkEnd w:id="43"/>
    <w:bookmarkStart w:id="44" w:name="Xe262cb168341f4c8a2d7362bb1f1308397afb54"/>
    <w:p>
      <w:pPr>
        <w:pStyle w:val="Heading6"/>
      </w:pPr>
      <w:r>
        <w:rPr>
          <w:rStyle w:val="SectionNumber"/>
        </w:rPr>
        <w:t xml:space="preserve">5.6.1.1.1.2</w:t>
      </w:r>
      <w:r>
        <w:tab/>
      </w:r>
      <w:r>
        <w:t xml:space="preserve">Suposições da Distribuição (Second Stage Model)</w:t>
      </w:r>
    </w:p>
    <w:p>
      <w:pPr>
        <w:pStyle w:val="FirstParagraph"/>
      </w:pPr>
      <w:r>
        <w:t xml:space="preserve">Assume-se que os efeitos aleatórios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 os erros residuais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são independentes e normalmente distribuídos: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Efeitos Aleatórios: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D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</w:p>
    <w:p>
      <w:pPr>
        <w:pStyle w:val="Compact"/>
        <w:numPr>
          <w:ilvl w:val="1"/>
          <w:numId w:val="1020"/>
        </w:numPr>
      </w:pP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é a matriz de covariância entre os efeitos aleatórios</w:t>
      </w:r>
      <w:r>
        <w:t xml:space="preserve"> </w:t>
      </w:r>
      <w:r>
        <w:t xml:space="preserve">(variância</w:t>
      </w:r>
      <w:r>
        <w:t xml:space="preserve"> </w:t>
      </w:r>
      <w:r>
        <w:rPr>
          <w:i/>
          <w:iCs/>
        </w:rPr>
        <w:t xml:space="preserve">between-subject</w:t>
      </w:r>
      <w:r>
        <w:t xml:space="preserve"> </w:t>
      </w:r>
      <w:r>
        <w:t xml:space="preserve">ou</w:t>
      </w:r>
      <w:r>
        <w:t xml:space="preserve"> </w:t>
      </w:r>
      <w:r>
        <w:rPr>
          <w:i/>
          <w:iCs/>
        </w:rPr>
        <w:t xml:space="preserve">between-cluster</w:t>
      </w:r>
      <w:r>
        <w:t xml:space="preserve">),</w:t>
      </w:r>
      <w:r>
        <w:t xml:space="preserve"> </w:t>
      </w:r>
      <w:r>
        <w:t xml:space="preserve">frequentemente escalonada como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t>D</m:t>
        </m:r>
      </m:oMath>
      <w:r>
        <w:t xml:space="preserve">, onde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é a variância</w:t>
      </w:r>
      <w:r>
        <w:t xml:space="preserve"> </w:t>
      </w:r>
      <w:r>
        <w:rPr>
          <w:i/>
          <w:iCs/>
        </w:rPr>
        <w:t xml:space="preserve">within-subject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A TFGe exibe notória heterogeneidade de respostas, tornando a</w:t>
      </w:r>
      <w:r>
        <w:t xml:space="preserve"> </w:t>
      </w:r>
      <w:r>
        <w:t xml:space="preserve">modelagem de efeitos aleatórios essencial.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Erros Residuais: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1"/>
          <w:numId w:val="1021"/>
        </w:numPr>
      </w:pPr>
      <w:r>
        <w:t xml:space="preserve">Para o MLM básico,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t>I</m:t>
            </m:r>
          </m:e>
          <m:sub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, onde</w:t>
      </w:r>
      <w:r>
        <w:t xml:space="preserve"> </w:t>
      </w:r>
      <m:oMath>
        <m:sSub>
          <m:e>
            <m:r>
              <m:t>I</m:t>
            </m:r>
          </m:e>
          <m:sub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sub>
        </m:sSub>
      </m:oMath>
      <w:r>
        <w:t xml:space="preserve"> </w:t>
      </w:r>
      <w:r>
        <w:t xml:space="preserve">é a</w:t>
      </w:r>
      <w:r>
        <w:t xml:space="preserve"> </w:t>
      </w:r>
      <w:r>
        <w:t xml:space="preserve">matriz identidade, implicando independência entre os resíduos no</w:t>
      </w:r>
      <w:r>
        <w:t xml:space="preserve"> </w:t>
      </w:r>
      <w:r>
        <w:t xml:space="preserve">tempo.</w:t>
      </w:r>
    </w:p>
    <w:p>
      <w:pPr>
        <w:pStyle w:val="Compact"/>
        <w:numPr>
          <w:ilvl w:val="1"/>
          <w:numId w:val="1021"/>
        </w:numPr>
      </w:pPr>
      <w:r>
        <w:t xml:space="preserve">Em modelos longitudinais avançados (e.g., modelos de</w:t>
      </w:r>
      <w:r>
        <w:t xml:space="preserve"> </w:t>
      </w:r>
      <w:r>
        <w:t xml:space="preserve">crescimento), pode-se optar por estruturas de correlação</w:t>
      </w:r>
      <w:r>
        <w:t xml:space="preserve"> </w:t>
      </w:r>
      <w:r>
        <w:t xml:space="preserve">residual mais complexas, como a Autorregressiva de Ordem 1</w:t>
      </w:r>
      <w:r>
        <w:t xml:space="preserve"> </w:t>
      </w:r>
      <w:r>
        <w:t xml:space="preserve">(AR(1)), para modelar a dependência residual ao longo do tempo.</w:t>
      </w:r>
    </w:p>
    <w:bookmarkEnd w:id="44"/>
    <w:bookmarkEnd w:id="45"/>
    <w:bookmarkStart w:id="48" w:name="X9c982e3b11eb363ec762ee301ef572dc59e7c54"/>
    <w:p>
      <w:pPr>
        <w:pStyle w:val="Heading5"/>
      </w:pPr>
      <w:r>
        <w:rPr>
          <w:rStyle w:val="SectionNumber"/>
        </w:rPr>
        <w:t xml:space="preserve">5.6.1.1.2</w:t>
      </w:r>
      <w:r>
        <w:tab/>
      </w:r>
      <w:r>
        <w:t xml:space="preserve">Especificação do Modelo Aplicado à Função Renal (TFGe)</w:t>
      </w:r>
    </w:p>
    <w:p>
      <w:pPr>
        <w:pStyle w:val="FirstParagraph"/>
      </w:pPr>
      <w:r>
        <w:t xml:space="preserve">Para modelar o declínio da TFGe em função do consumo de Alimentos</w:t>
      </w:r>
      <w:r>
        <w:t xml:space="preserve"> </w:t>
      </w:r>
      <w:r>
        <w:t xml:space="preserve">Ultraprocessados (</w:t>
      </w:r>
      <w:r>
        <w:rPr>
          <w:rStyle w:val="VerbatimChar"/>
        </w:rPr>
        <w:t xml:space="preserve">UPFc</w:t>
      </w:r>
      <w:r>
        <w:t xml:space="preserve">) e outras covariáveis, a formulação por</w:t>
      </w:r>
      <w:r>
        <w:t xml:space="preserve"> </w:t>
      </w:r>
      <w:r>
        <w:t xml:space="preserve">observação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(visita) no participante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é: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TFGe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Tempo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UPFc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Tempo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UPFc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  <m:r>
                    <m:t>γ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Efeitos Fixos 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β</m:t>
                  </m:r>
                </m:e>
              </m:d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0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Tempo</m:t>
                      </m:r>
                    </m:e>
                    <m:sub>
                      <m:r>
                        <m:t>j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Efeitos Aleatórios 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lim>
          </m:limLow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Start w:id="46" w:name="efeitos-fixos-x_i-beta"/>
    <w:p>
      <w:pPr>
        <w:pStyle w:val="Heading6"/>
      </w:pPr>
      <w:r>
        <w:rPr>
          <w:rStyle w:val="SectionNumber"/>
        </w:rPr>
        <w:t xml:space="preserve">5.6.1.1.2.1</w:t>
      </w:r>
      <w:r>
        <w:tab/>
      </w:r>
      <w:r>
        <w:t xml:space="preserve">Efeitos Fixos (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β</m:t>
        </m:r>
      </m:oMath>
      <w:r>
        <w:t xml:space="preserve">)</w:t>
      </w:r>
    </w:p>
    <w:p>
      <w:pPr>
        <w:pStyle w:val="FirstParagraph"/>
      </w:pPr>
      <w:r>
        <w:t xml:space="preserve">Representam o declínio</w:t>
      </w:r>
      <w:r>
        <w:t xml:space="preserve"> </w:t>
      </w:r>
      <w:r>
        <w:rPr>
          <w:b/>
          <w:bCs/>
        </w:rPr>
        <w:t xml:space="preserve">médio populacional</w:t>
      </w:r>
      <w:r>
        <w:t xml:space="preserve"> </w:t>
      </w:r>
      <w:r>
        <w:t xml:space="preserve">de TFGe:</w:t>
      </w:r>
    </w:p>
    <w:p>
      <w:pPr>
        <w:numPr>
          <w:ilvl w:val="0"/>
          <w:numId w:val="1022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 Intercepto médio populacional (TFGe média na Linha de</w:t>
      </w:r>
      <w:r>
        <w:t xml:space="preserve"> </w:t>
      </w:r>
      <w:r>
        <w:t xml:space="preserve">Base, quando</w:t>
      </w:r>
      <w:r>
        <w:t xml:space="preserve"> </w:t>
      </w:r>
      <w:r>
        <w:rPr>
          <w:rStyle w:val="VerbatimChar"/>
        </w:rPr>
        <w:t xml:space="preserve">Tempo=0</w:t>
      </w:r>
      <w:r>
        <w:t xml:space="preserve"> </w:t>
      </w:r>
      <w:r>
        <w:t xml:space="preserve">e covariáveis contínuas centradas são zero).</w:t>
      </w:r>
    </w:p>
    <w:p>
      <w:pPr>
        <w:numPr>
          <w:ilvl w:val="0"/>
          <w:numId w:val="1022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: Efeito fixo do</w:t>
      </w:r>
      <w:r>
        <w:t xml:space="preserve"> </w:t>
      </w:r>
      <w:r>
        <w:rPr>
          <w:rStyle w:val="VerbatimChar"/>
        </w:rPr>
        <w:t xml:space="preserve">Tempo</w:t>
      </w:r>
      <w:r>
        <w:t xml:space="preserve"> </w:t>
      </w:r>
      <w:r>
        <w:t xml:space="preserve">(Declínio médio populacional da</w:t>
      </w:r>
      <w:r>
        <w:t xml:space="preserve"> </w:t>
      </w:r>
      <w:r>
        <w:t xml:space="preserve">TFGe por unidade de tempo).</w:t>
      </w:r>
    </w:p>
    <w:p>
      <w:pPr>
        <w:numPr>
          <w:ilvl w:val="0"/>
          <w:numId w:val="1022"/>
        </w:numPr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 Efeito fixo do</w:t>
      </w:r>
      <w:r>
        <w:t xml:space="preserve"> </w:t>
      </w:r>
      <w:r>
        <w:rPr>
          <w:rStyle w:val="VerbatimChar"/>
        </w:rPr>
        <w:t xml:space="preserve">UPFc</w:t>
      </w:r>
      <w:r>
        <w:t xml:space="preserve"> </w:t>
      </w:r>
      <w:r>
        <w:t xml:space="preserve">(Associação média do consumo de</w:t>
      </w:r>
      <w:r>
        <w:t xml:space="preserve"> </w:t>
      </w:r>
      <w:r>
        <w:t xml:space="preserve">UPFc com a TFGe inicial).</w:t>
      </w:r>
    </w:p>
    <w:p>
      <w:pPr>
        <w:numPr>
          <w:ilvl w:val="0"/>
          <w:numId w:val="1022"/>
        </w:numPr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: Efeito da</w:t>
      </w:r>
      <w:r>
        <w:t xml:space="preserve"> </w:t>
      </w:r>
      <w:r>
        <w:rPr>
          <w:b/>
          <w:bCs/>
        </w:rPr>
        <w:t xml:space="preserve">Interação</w:t>
      </w:r>
      <w:r>
        <w:t xml:space="preserve"> </w:t>
      </w:r>
      <w:r>
        <w:rPr>
          <w:rStyle w:val="VerbatimChar"/>
        </w:rPr>
        <w:t xml:space="preserve">Tempo × UPFc</w:t>
      </w:r>
      <w:r>
        <w:t xml:space="preserve"> </w:t>
      </w:r>
      <w:r>
        <w:t xml:space="preserve">(Indica se a taxa</w:t>
      </w:r>
      <w:r>
        <w:t xml:space="preserve"> </w:t>
      </w:r>
      <w:r>
        <w:t xml:space="preserve">de declínio da TFGe (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 difere conforme o nível de consumo</w:t>
      </w:r>
      <w:r>
        <w:t xml:space="preserve"> </w:t>
      </w:r>
      <w:r>
        <w:t xml:space="preserve">de UPFc).</w:t>
      </w:r>
    </w:p>
    <w:p>
      <w:pPr>
        <w:numPr>
          <w:ilvl w:val="0"/>
          <w:numId w:val="1022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′</m:t>
        </m:r>
        <m:r>
          <m:t>γ</m:t>
        </m:r>
      </m:oMath>
      <w:r>
        <w:t xml:space="preserve">: Contribuição das demais covariáveis fixas (e.g.,</w:t>
      </w:r>
      <w:r>
        <w:t xml:space="preserve"> </w:t>
      </w:r>
      <w:r>
        <w:t xml:space="preserve">Idade, Sexo, DM, HAS, IMC, Renda</w:t>
      </w:r>
      <w:r>
        <w:t xml:space="preserve"> </w:t>
      </w:r>
      <w:r>
        <w:rPr>
          <w:i/>
          <w:iCs/>
        </w:rPr>
        <w:t xml:space="preserve">per capita</w:t>
      </w:r>
      <w:r>
        <w:t xml:space="preserve">).</w:t>
      </w:r>
    </w:p>
    <w:bookmarkEnd w:id="46"/>
    <w:bookmarkStart w:id="47" w:name="efeitos-aleatórios-z_i-b_i"/>
    <w:p>
      <w:pPr>
        <w:pStyle w:val="Heading6"/>
      </w:pPr>
      <w:r>
        <w:rPr>
          <w:rStyle w:val="SectionNumber"/>
        </w:rPr>
        <w:t xml:space="preserve">5.6.1.1.2.2</w:t>
      </w:r>
      <w:r>
        <w:tab/>
      </w:r>
      <w:r>
        <w:t xml:space="preserve">Efeitos Aleatórios (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Capturam a</w:t>
      </w:r>
      <w:r>
        <w:t xml:space="preserve"> </w:t>
      </w:r>
      <w:r>
        <w:rPr>
          <w:b/>
          <w:bCs/>
        </w:rPr>
        <w:t xml:space="preserve">variação individual</w:t>
      </w:r>
      <w:r>
        <w:t xml:space="preserve"> </w:t>
      </w:r>
      <w:r>
        <w:t xml:space="preserve">na trajetória de declínio. Neste</w:t>
      </w:r>
      <w:r>
        <w:t xml:space="preserve"> </w:t>
      </w:r>
      <w:r>
        <w:t xml:space="preserve">modelo,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e a matriz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contém uma coluna de 1’s (intercepto) e</w:t>
      </w:r>
      <w:r>
        <w:t xml:space="preserve"> </w:t>
      </w:r>
      <w:r>
        <w:t xml:space="preserve">a coluna do</w:t>
      </w:r>
      <w:r>
        <w:t xml:space="preserve"> </w:t>
      </w:r>
      <w:r>
        <w:rPr>
          <w:rStyle w:val="VerbatimChar"/>
        </w:rPr>
        <w:t xml:space="preserve">Tempo_j</w:t>
      </w:r>
      <w:r>
        <w:t xml:space="preserve">:</w:t>
      </w:r>
    </w:p>
    <w:p>
      <w:pPr>
        <w:numPr>
          <w:ilvl w:val="0"/>
          <w:numId w:val="1023"/>
        </w:numPr>
      </w:pPr>
      <m:oMath>
        <m:sSub>
          <m:e>
            <m:r>
              <m:t>b</m:t>
            </m:r>
          </m:e>
          <m:sub>
            <m:r>
              <m:t>0</m:t>
            </m:r>
            <m:r>
              <m:t>i</m:t>
            </m:r>
          </m:sub>
        </m:sSub>
      </m:oMath>
      <w:r>
        <w:t xml:space="preserve">: Desvio aleatório do</w:t>
      </w:r>
      <w:r>
        <w:t xml:space="preserve"> </w:t>
      </w:r>
      <w:r>
        <w:rPr>
          <w:b/>
          <w:bCs/>
        </w:rPr>
        <w:t xml:space="preserve">Intercepto</w:t>
      </w:r>
      <w:r>
        <w:t xml:space="preserve"> </w:t>
      </w:r>
      <w:r>
        <w:t xml:space="preserve">do indivíduo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em</w:t>
      </w:r>
      <w:r>
        <w:t xml:space="preserve"> </w:t>
      </w:r>
      <w:r>
        <w:t xml:space="preserve">relação ao intercepto médio populacional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).</w:t>
      </w:r>
    </w:p>
    <w:p>
      <w:pPr>
        <w:numPr>
          <w:ilvl w:val="0"/>
          <w:numId w:val="1023"/>
        </w:numPr>
      </w:pPr>
      <m:oMath>
        <m:sSub>
          <m:e>
            <m:r>
              <m:t>b</m:t>
            </m:r>
          </m:e>
          <m:sub>
            <m:r>
              <m:t>1</m:t>
            </m:r>
            <m:r>
              <m:t>i</m:t>
            </m:r>
          </m:sub>
        </m:sSub>
      </m:oMath>
      <w:r>
        <w:t xml:space="preserve">: Desvio aleatório da</w:t>
      </w:r>
      <w:r>
        <w:t xml:space="preserve"> </w:t>
      </w:r>
      <w:r>
        <w:rPr>
          <w:b/>
          <w:bCs/>
        </w:rPr>
        <w:t xml:space="preserve">Inclinação (Tempo)</w:t>
      </w:r>
      <w:r>
        <w:t xml:space="preserve"> </w:t>
      </w:r>
      <w:r>
        <w:t xml:space="preserve">do indivíduo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em relação à inclinação média populacional (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).</w:t>
      </w:r>
    </w:p>
    <w:bookmarkEnd w:id="47"/>
    <w:bookmarkEnd w:id="48"/>
    <w:bookmarkEnd w:id="49"/>
    <w:bookmarkEnd w:id="50"/>
    <w:bookmarkStart w:id="51" w:name="X66b724e0ad0c67ceb640bc4a0faf414ff11e18f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2.3 Matriz de Covariância dos Efeitos Aleatórios (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</w:p>
    <w:p>
      <w:pPr>
        <w:pStyle w:val="FirstParagraph"/>
      </w:pPr>
      <w:r>
        <w:t xml:space="preserve">Esta matriz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é geralmente assumida como</w:t>
      </w:r>
      <w:r>
        <w:t xml:space="preserve"> </w:t>
      </w:r>
      <w:r>
        <w:rPr>
          <w:i/>
          <w:iCs/>
        </w:rPr>
        <w:t xml:space="preserve">General</w:t>
      </w:r>
      <w:r>
        <w:rPr>
          <w:i/>
          <w:iCs/>
        </w:rPr>
        <w:t xml:space="preserve"> </w:t>
      </w:r>
      <w:r>
        <w:rPr>
          <w:i/>
          <w:iCs/>
        </w:rPr>
        <w:t xml:space="preserve">positive-definite</w:t>
      </w:r>
      <w:r>
        <w:t xml:space="preserve"> </w:t>
      </w:r>
      <w:r>
        <w:t xml:space="preserve">(não estruturada), permitindo a correlação entre o</w:t>
      </w:r>
      <w:r>
        <w:t xml:space="preserve"> </w:t>
      </w:r>
      <w:r>
        <w:t xml:space="preserve">ponto de partida (</w:t>
      </w:r>
      <m:oMath>
        <m:sSub>
          <m:e>
            <m:r>
              <m:t>b</m:t>
            </m:r>
          </m:e>
          <m:sub>
            <m:r>
              <m:t>0</m:t>
            </m:r>
            <m:r>
              <m:t>i</m:t>
            </m:r>
          </m:sub>
        </m:sSub>
      </m:oMath>
      <w:r>
        <w:t xml:space="preserve">) e a taxa de declínio (</w:t>
      </w:r>
      <m:oMath>
        <m:sSub>
          <m:e>
            <m:r>
              <m:t>b</m:t>
            </m:r>
          </m:e>
          <m:sub>
            <m:r>
              <m:t>1</m:t>
            </m:r>
            <m:r>
              <m:t>i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D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Onde:</w:t>
      </w:r>
    </w:p>
    <w:p>
      <w:pPr>
        <w:numPr>
          <w:ilvl w:val="0"/>
          <w:numId w:val="1024"/>
        </w:numPr>
      </w:pPr>
      <m:oMath>
        <m:sSub>
          <m:e>
            <m:r>
              <m:t>d</m:t>
            </m:r>
          </m:e>
          <m:sub>
            <m:r>
              <m:t>00</m:t>
            </m:r>
          </m:sub>
        </m:sSub>
      </m:oMath>
      <w:r>
        <w:t xml:space="preserve"> </w:t>
      </w:r>
      <w:r>
        <w:t xml:space="preserve">é a variância do intercepto aleatório.</w:t>
      </w:r>
    </w:p>
    <w:p>
      <w:pPr>
        <w:numPr>
          <w:ilvl w:val="0"/>
          <w:numId w:val="1024"/>
        </w:numPr>
      </w:pPr>
      <m:oMath>
        <m:sSub>
          <m:e>
            <m:r>
              <m:t>d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é a variância da inclinação aleatória.</w:t>
      </w:r>
    </w:p>
    <w:p>
      <w:pPr>
        <w:numPr>
          <w:ilvl w:val="0"/>
          <w:numId w:val="1024"/>
        </w:numPr>
      </w:pPr>
      <m:oMath>
        <m:sSub>
          <m:e>
            <m:r>
              <m:t>d</m:t>
            </m:r>
          </m:e>
          <m:sub>
            <m:r>
              <m:t>01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é a covariância entre o intercepto e a inclinação.</w:t>
      </w:r>
      <w:r>
        <w:t xml:space="preserve"> </w:t>
      </w:r>
      <w:r>
        <w:t xml:space="preserve">Se significativamente diferente de zero, indica que indivíduos com</w:t>
      </w:r>
      <w:r>
        <w:t xml:space="preserve"> </w:t>
      </w:r>
      <w:r>
        <w:t xml:space="preserve">TFGe inicial mais alta tendem a ter uma taxa de declínio (mais</w:t>
      </w:r>
      <w:r>
        <w:t xml:space="preserve"> </w:t>
      </w:r>
      <w:r>
        <w:t xml:space="preserve">rápida ou mais lenta) diferente da média.</w:t>
      </w:r>
    </w:p>
    <w:bookmarkEnd w:id="51"/>
    <w:bookmarkEnd w:id="52"/>
    <w:bookmarkStart w:id="56" w:name="relevância-do-estudo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Relevância do Estudo</w:t>
      </w:r>
    </w:p>
    <w:bookmarkStart w:id="53" w:name="relevância-científica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Relevância Científica</w:t>
      </w:r>
    </w:p>
    <w:p>
      <w:pPr>
        <w:pStyle w:val="FirstParagraph"/>
      </w:pPr>
      <w:r>
        <w:t xml:space="preserve">A aplicação de métodos modernos de análise estatística em saúde, como os</w:t>
      </w:r>
      <w:r>
        <w:t xml:space="preserve"> </w:t>
      </w:r>
      <w:r>
        <w:t xml:space="preserve">modelos lineares mistos, permitirá uma compreensão aprofundada das</w:t>
      </w:r>
      <w:r>
        <w:t xml:space="preserve"> </w:t>
      </w:r>
      <w:r>
        <w:t xml:space="preserve">trajetórias da TFG e sua relação com o consumo de ultraprocessados,</w:t>
      </w:r>
      <w:r>
        <w:t xml:space="preserve"> </w:t>
      </w:r>
      <w:r>
        <w:t xml:space="preserve">contribuindo para o avanço do conhecimento epidemiológico e clínico na</w:t>
      </w:r>
      <w:r>
        <w:t xml:space="preserve"> </w:t>
      </w:r>
      <w:r>
        <w:t xml:space="preserve">área de nefrologia e nutrição.</w:t>
      </w:r>
    </w:p>
    <w:bookmarkEnd w:id="53"/>
    <w:bookmarkStart w:id="54" w:name="relevância-clínica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Relevância Clínica</w:t>
      </w:r>
    </w:p>
    <w:p>
      <w:pPr>
        <w:pStyle w:val="FirstParagraph"/>
      </w:pPr>
      <w:r>
        <w:t xml:space="preserve">A identificação de padrões alimentares, como o alto consumo de</w:t>
      </w:r>
      <w:r>
        <w:t xml:space="preserve"> </w:t>
      </w:r>
      <w:r>
        <w:t xml:space="preserve">ultraprocessados, que aceleram a perda da TFG, pode fornecer subsídios</w:t>
      </w:r>
      <w:r>
        <w:t xml:space="preserve"> </w:t>
      </w:r>
      <w:r>
        <w:t xml:space="preserve">importantes para a prática clínica, orientando profissionais de saúde na</w:t>
      </w:r>
      <w:r>
        <w:t xml:space="preserve"> </w:t>
      </w:r>
      <w:r>
        <w:t xml:space="preserve">elaboração de recomendações dietéticas preventivas e terapêuticas para</w:t>
      </w:r>
      <w:r>
        <w:t xml:space="preserve"> </w:t>
      </w:r>
      <w:r>
        <w:t xml:space="preserve">pacientes em risco ou com DRC.</w:t>
      </w:r>
    </w:p>
    <w:bookmarkEnd w:id="54"/>
    <w:bookmarkStart w:id="55" w:name="relevância-social"/>
    <w:p>
      <w:pPr>
        <w:pStyle w:val="Heading3"/>
      </w:pPr>
      <w:r>
        <w:rPr>
          <w:rStyle w:val="SectionNumber"/>
        </w:rPr>
        <w:t xml:space="preserve">5.7.3</w:t>
      </w:r>
      <w:r>
        <w:tab/>
      </w:r>
      <w:r>
        <w:t xml:space="preserve">Relevância Social</w:t>
      </w:r>
    </w:p>
    <w:p>
      <w:pPr>
        <w:pStyle w:val="FirstParagraph"/>
      </w:pPr>
      <w:r>
        <w:t xml:space="preserve">Os resultados deste estudo poderão oferecer subsídios robustos para a</w:t>
      </w:r>
      <w:r>
        <w:t xml:space="preserve"> </w:t>
      </w:r>
      <w:r>
        <w:t xml:space="preserve">formulação e implementação de políticas públicas de saúde e nutrição no</w:t>
      </w:r>
      <w:r>
        <w:t xml:space="preserve"> </w:t>
      </w:r>
      <w:r>
        <w:t xml:space="preserve">Brasil, visando à promoção de hábitos alimentares mais saudáveis e à</w:t>
      </w:r>
      <w:r>
        <w:t xml:space="preserve"> </w:t>
      </w:r>
      <w:r>
        <w:t xml:space="preserve">prevenção da DRC, com potencial impacto na redução da morbimortalidade e</w:t>
      </w:r>
      <w:r>
        <w:t xml:space="preserve"> </w:t>
      </w:r>
      <w:r>
        <w:t xml:space="preserve">dos custos associados a essa condição.</w:t>
      </w:r>
    </w:p>
    <w:bookmarkEnd w:id="55"/>
    <w:bookmarkEnd w:id="56"/>
    <w:bookmarkEnd w:id="57"/>
    <w:bookmarkStart w:id="58" w:name="cronograma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Cronograma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1-6 meses</w:t>
            </w:r>
          </w:p>
        </w:tc>
        <w:tc>
          <w:tcPr/>
          <w:p>
            <w:pPr>
              <w:pStyle w:val="Compact"/>
            </w:pPr>
            <w:r>
              <w:t xml:space="preserve">7-12 meses</w:t>
            </w:r>
          </w:p>
        </w:tc>
        <w:tc>
          <w:tcPr/>
          <w:p>
            <w:pPr>
              <w:pStyle w:val="Compact"/>
            </w:pPr>
            <w:r>
              <w:t xml:space="preserve">13-18 meses</w:t>
            </w:r>
          </w:p>
        </w:tc>
        <w:tc>
          <w:tcPr/>
          <w:p>
            <w:pPr>
              <w:pStyle w:val="Compact"/>
            </w:pPr>
            <w:r>
              <w:t xml:space="preserve">19-24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bibliográfica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Aprovação no Comitê de Ética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Extração e organização dos dados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Análise estatística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Redação preliminar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Revisão e defesa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submissão/publicação do artigo gerado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</w:tbl>
    <w:bookmarkEnd w:id="58"/>
    <w:bookmarkStart w:id="59" w:name="resultados-esperado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Resultados Esperados</w:t>
      </w:r>
    </w:p>
    <w:p>
      <w:pPr>
        <w:pStyle w:val="FirstParagraph"/>
      </w:pPr>
      <w:r>
        <w:t xml:space="preserve">Com base na hipótese formulada e na metodologia proposta, espera-se que</w:t>
      </w:r>
      <w:r>
        <w:t xml:space="preserve"> </w:t>
      </w:r>
      <w:r>
        <w:t xml:space="preserve">este estudo identifique uma associação significativa entre o maior</w:t>
      </w:r>
      <w:r>
        <w:t xml:space="preserve"> </w:t>
      </w:r>
      <w:r>
        <w:t xml:space="preserve">consumo de alimentos ultraprocessados e uma menor taxa de filtração</w:t>
      </w:r>
      <w:r>
        <w:t xml:space="preserve"> </w:t>
      </w:r>
      <w:r>
        <w:t xml:space="preserve">glomerular (TFG), bem como um risco aumentado de declínio da função</w:t>
      </w:r>
      <w:r>
        <w:t xml:space="preserve"> </w:t>
      </w:r>
      <w:r>
        <w:t xml:space="preserve">renal ao longo do tempo em participantes do ELSA-Brasil. A confirmação</w:t>
      </w:r>
      <w:r>
        <w:t xml:space="preserve"> </w:t>
      </w:r>
      <w:r>
        <w:t xml:space="preserve">dessa hipótese reforçaria a evidência de que padrões alimentares ricos</w:t>
      </w:r>
      <w:r>
        <w:t xml:space="preserve"> </w:t>
      </w:r>
      <w:r>
        <w:t xml:space="preserve">em ultraprocessados contribuem para a etiologia e progressão da doença</w:t>
      </w:r>
      <w:r>
        <w:t xml:space="preserve"> </w:t>
      </w:r>
      <w:r>
        <w:t xml:space="preserve">renal crônica.</w:t>
      </w:r>
    </w:p>
    <w:p>
      <w:pPr>
        <w:pStyle w:val="BodyText"/>
      </w:pPr>
      <w:r>
        <w:t xml:space="preserve">Os resultados detalhados deverão incluir:</w:t>
      </w:r>
    </w:p>
    <w:p>
      <w:pPr>
        <w:pStyle w:val="Compact"/>
        <w:numPr>
          <w:ilvl w:val="0"/>
          <w:numId w:val="1025"/>
        </w:numPr>
      </w:pPr>
      <w:r>
        <w:t xml:space="preserve">A prevalência e as características do consumo de ultraprocessados na</w:t>
      </w:r>
      <w:r>
        <w:t xml:space="preserve"> </w:t>
      </w:r>
      <w:r>
        <w:t xml:space="preserve">coorte do ELSA-Brasil, fornecendo um panorama atualizado dos hábitos</w:t>
      </w:r>
      <w:r>
        <w:t xml:space="preserve"> </w:t>
      </w:r>
      <w:r>
        <w:t xml:space="preserve">alimentares da população estudada.</w:t>
      </w:r>
    </w:p>
    <w:p>
      <w:pPr>
        <w:pStyle w:val="Compact"/>
        <w:numPr>
          <w:ilvl w:val="0"/>
          <w:numId w:val="1025"/>
        </w:numPr>
      </w:pPr>
      <w:r>
        <w:t xml:space="preserve">A quantificação da associação entre os quartis de consumo de</w:t>
      </w:r>
      <w:r>
        <w:t xml:space="preserve"> </w:t>
      </w:r>
      <w:r>
        <w:t xml:space="preserve">ultraprocessados e os valores da TFG, ajustada para uma série de</w:t>
      </w:r>
      <w:r>
        <w:t xml:space="preserve"> </w:t>
      </w:r>
      <w:r>
        <w:t xml:space="preserve">covariáveis sociodemográficas, clínicas e de estilo de vida.</w:t>
      </w:r>
    </w:p>
    <w:p>
      <w:pPr>
        <w:pStyle w:val="Compact"/>
        <w:numPr>
          <w:ilvl w:val="0"/>
          <w:numId w:val="1025"/>
        </w:numPr>
      </w:pPr>
      <w:r>
        <w:t xml:space="preserve">A identificação de potenciais modificadores de efeito, como idade,</w:t>
      </w:r>
      <w:r>
        <w:t xml:space="preserve"> </w:t>
      </w:r>
      <w:r>
        <w:t xml:space="preserve">sexo, IMC, hipertensão e diabetes, que podem influenciar a força ou</w:t>
      </w:r>
      <w:r>
        <w:t xml:space="preserve"> </w:t>
      </w:r>
      <w:r>
        <w:t xml:space="preserve">a direção dessa associação.</w:t>
      </w:r>
    </w:p>
    <w:p>
      <w:pPr>
        <w:pStyle w:val="Compact"/>
        <w:numPr>
          <w:ilvl w:val="0"/>
          <w:numId w:val="1025"/>
        </w:numPr>
      </w:pPr>
      <w:r>
        <w:t xml:space="preserve">Evidências sobre o declínio longitudinal da TFG em diferentes grupos</w:t>
      </w:r>
      <w:r>
        <w:t xml:space="preserve"> </w:t>
      </w:r>
      <w:r>
        <w:t xml:space="preserve">de consumo de ultraprocessados, o que é crucial para entender a</w:t>
      </w:r>
      <w:r>
        <w:t xml:space="preserve"> </w:t>
      </w:r>
      <w:r>
        <w:t xml:space="preserve">dinâmica da doença renal.</w:t>
      </w:r>
    </w:p>
    <w:p>
      <w:pPr>
        <w:pStyle w:val="FirstParagraph"/>
      </w:pPr>
      <w:r>
        <w:t xml:space="preserve">Esses achados terão implicações importantes para a saúde pública e a</w:t>
      </w:r>
      <w:r>
        <w:t xml:space="preserve"> </w:t>
      </w:r>
      <w:r>
        <w:t xml:space="preserve">prática clínica. Poderão embasar o desenvolvimento de recomendações</w:t>
      </w:r>
      <w:r>
        <w:t xml:space="preserve"> </w:t>
      </w:r>
      <w:r>
        <w:t xml:space="preserve">alimentares nacionais mais específicas e eficazes, bem como estratégias</w:t>
      </w:r>
      <w:r>
        <w:t xml:space="preserve"> </w:t>
      </w:r>
      <w:r>
        <w:t xml:space="preserve">de prevenção primária e secundária da DRC no Brasil. Além disso, o</w:t>
      </w:r>
      <w:r>
        <w:t xml:space="preserve"> </w:t>
      </w:r>
      <w:r>
        <w:t xml:space="preserve">estudo contribuirá para a literatura científica ao fornecer dados</w:t>
      </w:r>
      <w:r>
        <w:t xml:space="preserve"> </w:t>
      </w:r>
      <w:r>
        <w:t xml:space="preserve">longitudinais de uma grande coorte brasileira, preenchendo lacunas</w:t>
      </w:r>
      <w:r>
        <w:t xml:space="preserve"> </w:t>
      </w:r>
      <w:r>
        <w:t xml:space="preserve">existentes e fortalecendo a base de evidências sobre o impacto dos</w:t>
      </w:r>
      <w:r>
        <w:t xml:space="preserve"> </w:t>
      </w:r>
      <w:r>
        <w:t xml:space="preserve">alimentos ultraprocessados na saúde renal.</w:t>
      </w:r>
    </w:p>
    <w:bookmarkEnd w:id="59"/>
    <w:bookmarkStart w:id="81" w:name="referências-bibliográfica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Referências Bibliográficas</w:t>
      </w:r>
    </w:p>
    <w:bookmarkStart w:id="80" w:name="refs"/>
    <w:bookmarkStart w:id="60" w:name="ref-artes2023metodos"/>
    <w:p>
      <w:pPr>
        <w:pStyle w:val="Bibliography"/>
      </w:pPr>
      <w:r>
        <w:t xml:space="preserve">Artes, R., &amp; Barroso, L. P. (2023). M</w:t>
      </w:r>
      <w:r>
        <w:t xml:space="preserve">é</w:t>
      </w:r>
      <w:r>
        <w:t xml:space="preserve">todos multivariados de an</w:t>
      </w:r>
      <w:r>
        <w:t xml:space="preserve">á</w:t>
      </w:r>
      <w:r>
        <w:t xml:space="preserve">lise estat</w:t>
      </w:r>
      <w:r>
        <w:t xml:space="preserve">ı́</w:t>
      </w:r>
      <w:r>
        <w:t xml:space="preserve">stica.</w:t>
      </w:r>
      <w:r>
        <w:t xml:space="preserve"> </w:t>
      </w:r>
      <w:r>
        <w:rPr>
          <w:i/>
          <w:iCs/>
        </w:rPr>
        <w:t xml:space="preserve">S</w:t>
      </w:r>
      <w:r>
        <w:rPr>
          <w:i/>
          <w:iCs/>
        </w:rPr>
        <w:t xml:space="preserve">ã</w:t>
      </w:r>
      <w:r>
        <w:rPr>
          <w:i/>
          <w:iCs/>
        </w:rPr>
        <w:t xml:space="preserve">o Paulo: Blucher</w:t>
      </w:r>
      <w:r>
        <w:t xml:space="preserve">.</w:t>
      </w:r>
    </w:p>
    <w:bookmarkEnd w:id="60"/>
    <w:bookmarkStart w:id="61" w:name="ref-avesani2023ultraprocessed"/>
    <w:p>
      <w:pPr>
        <w:pStyle w:val="Bibliography"/>
      </w:pPr>
      <w:r>
        <w:t xml:space="preserve">Avesani, C. M., Cuppari, L., Nerbass, F. B., Lindholm, B., &amp; Stenvinkel, P. (2023). Ultraprocessed foods and chronic kidney disease—double trouble.</w:t>
      </w:r>
      <w:r>
        <w:t xml:space="preserve"> </w:t>
      </w:r>
      <w:r>
        <w:rPr>
          <w:i/>
          <w:iCs/>
        </w:rPr>
        <w:t xml:space="preserve">Clinical Kidney Journal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(11), 1723–1736.</w:t>
      </w:r>
    </w:p>
    <w:bookmarkEnd w:id="61"/>
    <w:bookmarkStart w:id="62" w:name="ref-cacau2025adherence"/>
    <w:p>
      <w:pPr>
        <w:pStyle w:val="Bibliography"/>
      </w:pPr>
      <w:r>
        <w:t xml:space="preserve">Cacau, L. T., Bittencourt, M. S., Santos, I. S., Lotufo, P. A., Benseñor, I. M., &amp; Marchioni, D. M. (2025). Adherence to different EAT-lancet diet scores and subclinical atherosclerosis: Results from ELSA-brasil cohort study.</w:t>
      </w:r>
      <w:r>
        <w:t xml:space="preserve"> </w:t>
      </w:r>
      <w:r>
        <w:rPr>
          <w:i/>
          <w:iCs/>
        </w:rPr>
        <w:t xml:space="preserve">Nutrition, Metabolism and Cardiovascular Diseases</w:t>
      </w:r>
      <w:r>
        <w:t xml:space="preserve">, 104228.</w:t>
      </w:r>
    </w:p>
    <w:bookmarkEnd w:id="62"/>
    <w:bookmarkStart w:id="63" w:name="ref-canhada2020ultra"/>
    <w:p>
      <w:pPr>
        <w:pStyle w:val="Bibliography"/>
      </w:pPr>
      <w:r>
        <w:t xml:space="preserve">Canhada, S. L., Luft, V. C., Giatti, L., Duncan, B. B., Chor, D., Fonseca, M. de J. M. da, Matos, S. M. A., Molina, M. del C. B., Barreto, S. M., Levy, R. B., et al. (2020). Ultra-processed foods, incident overweight and obesity, and longitudinal changes in weight and waist circumference: The brazilian longitudinal study of adult health (ELSA-brasil).</w:t>
      </w:r>
      <w:r>
        <w:t xml:space="preserve"> </w:t>
      </w:r>
      <w:r>
        <w:rPr>
          <w:i/>
          <w:iCs/>
        </w:rPr>
        <w:t xml:space="preserve">Public Health Nutrition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(6), 1076–1086.</w:t>
      </w:r>
    </w:p>
    <w:bookmarkEnd w:id="63"/>
    <w:bookmarkStart w:id="64" w:name="ref-cecchini2025food"/>
    <w:p>
      <w:pPr>
        <w:pStyle w:val="Bibliography"/>
      </w:pPr>
      <w:r>
        <w:t xml:space="preserve">Cecchini, V., Sabatino, A., Contzen, B., &amp; Avesani, C. M. (2025). Food additives containing potassium, phosphorus, and sodium in ultra-processed foods: Potential harms to individuals with chronic kidney disease.</w:t>
      </w:r>
      <w:r>
        <w:t xml:space="preserve"> </w:t>
      </w:r>
      <w:r>
        <w:rPr>
          <w:i/>
          <w:iCs/>
        </w:rPr>
        <w:t xml:space="preserve">European Journal of Clinical Nutrition</w:t>
      </w:r>
      <w:r>
        <w:t xml:space="preserve">, 1–6.</w:t>
      </w:r>
    </w:p>
    <w:bookmarkEnd w:id="64"/>
    <w:bookmarkStart w:id="65" w:name="ref-costa2021escore"/>
    <w:p>
      <w:pPr>
        <w:pStyle w:val="Bibliography"/>
      </w:pPr>
      <w:r>
        <w:t xml:space="preserve">Costa, C. dos S., Faria, F. R. de, Gabe, K. T., Sattamini, I. F., Khandpur, N., Leite, F. H. M., Steele, E. M., Louzada, M. L. da C., Levy, R. B., &amp; Monteiro, C. A. (2021). Escore nova de consumo de alimentos ultraprocessados: Descri</w:t>
      </w:r>
      <w:r>
        <w:t xml:space="preserve">ç</w:t>
      </w:r>
      <w:r>
        <w:t xml:space="preserve">ã</w:t>
      </w:r>
      <w:r>
        <w:t xml:space="preserve">o e avalia</w:t>
      </w:r>
      <w:r>
        <w:t xml:space="preserve">ç</w:t>
      </w:r>
      <w:r>
        <w:t xml:space="preserve">ã</w:t>
      </w:r>
      <w:r>
        <w:t xml:space="preserve">o de desempenho no brasil.</w:t>
      </w:r>
      <w:r>
        <w:t xml:space="preserve"> </w:t>
      </w:r>
      <w:r>
        <w:rPr>
          <w:i/>
          <w:iCs/>
        </w:rPr>
        <w:t xml:space="preserve">Revista de Sa</w:t>
      </w:r>
      <w:r>
        <w:rPr>
          <w:i/>
          <w:iCs/>
        </w:rPr>
        <w:t xml:space="preserve">ú</w:t>
      </w:r>
      <w:r>
        <w:rPr>
          <w:i/>
          <w:iCs/>
        </w:rPr>
        <w:t xml:space="preserve">de P</w:t>
      </w:r>
      <w:r>
        <w:rPr>
          <w:i/>
          <w:iCs/>
        </w:rPr>
        <w:t xml:space="preserve">ú</w:t>
      </w:r>
      <w:r>
        <w:rPr>
          <w:i/>
          <w:iCs/>
        </w:rPr>
        <w:t xml:space="preserve">blica</w:t>
      </w:r>
      <w:r>
        <w:t xml:space="preserve">,</w:t>
      </w:r>
      <w:r>
        <w:t xml:space="preserve"> </w:t>
      </w:r>
      <w:r>
        <w:rPr>
          <w:i/>
          <w:iCs/>
        </w:rPr>
        <w:t xml:space="preserve">55</w:t>
      </w:r>
      <w:r>
        <w:t xml:space="preserve">, 13.</w:t>
      </w:r>
    </w:p>
    <w:bookmarkEnd w:id="65"/>
    <w:bookmarkStart w:id="66" w:name="ref-demidenko2013mixed"/>
    <w:p>
      <w:pPr>
        <w:pStyle w:val="Bibliography"/>
      </w:pPr>
      <w:r>
        <w:t xml:space="preserve">Demidenko, E. (2013).</w:t>
      </w:r>
      <w:r>
        <w:t xml:space="preserve"> </w:t>
      </w:r>
      <w:r>
        <w:rPr>
          <w:i/>
          <w:iCs/>
        </w:rPr>
        <w:t xml:space="preserve">Mixed models: Theory and applications with r</w:t>
      </w:r>
      <w:r>
        <w:t xml:space="preserve">. John Wiley &amp; Sons.</w:t>
      </w:r>
    </w:p>
    <w:bookmarkEnd w:id="66"/>
    <w:bookmarkStart w:id="67" w:name="ref-favero2017manual"/>
    <w:p>
      <w:pPr>
        <w:pStyle w:val="Bibliography"/>
      </w:pPr>
      <w:r>
        <w:t xml:space="preserve">Fávero, L. P., &amp; Belfiore, P. (2017).</w:t>
      </w:r>
      <w:r>
        <w:t xml:space="preserve"> </w:t>
      </w:r>
      <w:r>
        <w:rPr>
          <w:i/>
          <w:iCs/>
        </w:rPr>
        <w:t xml:space="preserve">Manual de an</w:t>
      </w:r>
      <w:r>
        <w:rPr>
          <w:i/>
          <w:iCs/>
        </w:rPr>
        <w:t xml:space="preserve">á</w:t>
      </w:r>
      <w:r>
        <w:rPr>
          <w:i/>
          <w:iCs/>
        </w:rPr>
        <w:t xml:space="preserve">lise de dados: Estat</w:t>
      </w:r>
      <w:r>
        <w:rPr>
          <w:i/>
          <w:iCs/>
        </w:rPr>
        <w:t xml:space="preserve">ı́</w:t>
      </w:r>
      <w:r>
        <w:rPr>
          <w:i/>
          <w:iCs/>
        </w:rPr>
        <w:t xml:space="preserve">stica e modelagem multivariada com excel</w:t>
      </w:r>
      <w:r>
        <w:rPr>
          <w:i/>
          <w:iCs/>
        </w:rPr>
        <w:t xml:space="preserve">, SPSS</w:t>
      </w:r>
      <w:r>
        <w:rPr>
          <w:i/>
          <w:iCs/>
        </w:rPr>
        <w:t xml:space="preserve"> </w:t>
      </w:r>
      <w:r>
        <w:rPr>
          <w:i/>
          <w:iCs/>
        </w:rPr>
        <w:t xml:space="preserve">e stata</w:t>
      </w:r>
      <w:r>
        <w:t xml:space="preserve">. Elsevier Brasil.</w:t>
      </w:r>
    </w:p>
    <w:bookmarkEnd w:id="67"/>
    <w:bookmarkStart w:id="68" w:name="ref-field2012discovering"/>
    <w:p>
      <w:pPr>
        <w:pStyle w:val="Bibliography"/>
      </w:pPr>
      <w:r>
        <w:t xml:space="preserve">Field, A., Field, Z., &amp; Miles, J. (2012).</w:t>
      </w:r>
      <w:r>
        <w:t xml:space="preserve"> </w:t>
      </w:r>
      <w:r>
        <w:rPr>
          <w:i/>
          <w:iCs/>
        </w:rPr>
        <w:t xml:space="preserve">Discovering statistics using r</w:t>
      </w:r>
      <w:r>
        <w:t xml:space="preserve">.</w:t>
      </w:r>
    </w:p>
    <w:bookmarkEnd w:id="68"/>
    <w:bookmarkStart w:id="69" w:name="ref-gail2010statistics"/>
    <w:p>
      <w:pPr>
        <w:pStyle w:val="Bibliography"/>
      </w:pPr>
      <w:r>
        <w:t xml:space="preserve">Gail, M., Krickeberg, K., Samet, J., Tsiatis, A., &amp; Wong, W. (2010).</w:t>
      </w:r>
      <w:r>
        <w:t xml:space="preserve"> </w:t>
      </w:r>
      <w:r>
        <w:rPr>
          <w:i/>
          <w:iCs/>
        </w:rPr>
        <w:t xml:space="preserve">Statistics for biology and health</w:t>
      </w:r>
      <w:r>
        <w:t xml:space="preserve">.</w:t>
      </w:r>
    </w:p>
    <w:bookmarkEnd w:id="69"/>
    <w:bookmarkStart w:id="70" w:name="ref-he2024ultra"/>
    <w:p>
      <w:pPr>
        <w:pStyle w:val="Bibliography"/>
      </w:pPr>
      <w:r>
        <w:t xml:space="preserve">He, X., Zhang, X., Si, C., Feng, Y., Zhu, Q., Li, S., &amp; Shu, L. (2024). Ultra-processed food consumption and chronic kidney disease risk: A systematic review and dose–response meta-analysis.</w:t>
      </w:r>
      <w:r>
        <w:t xml:space="preserve"> </w:t>
      </w:r>
      <w:r>
        <w:rPr>
          <w:i/>
          <w:iCs/>
        </w:rPr>
        <w:t xml:space="preserve">Frontiers in Nutrition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 1359229.</w:t>
      </w:r>
    </w:p>
    <w:bookmarkEnd w:id="70"/>
    <w:bookmarkStart w:id="71" w:name="ref-leonberg2025trends"/>
    <w:p>
      <w:pPr>
        <w:pStyle w:val="Bibliography"/>
      </w:pPr>
      <w:r>
        <w:t xml:space="preserve">Leonberg, K. E., Maski, M. R., Scott, T. M., Chen, Y., Zhou, B., &amp; Naumova, E. N. (2025). Trends in chronic kidney disease and calories from ultra-processed foods: NHANES at the highly granular level.</w:t>
      </w:r>
      <w:r>
        <w:t xml:space="preserve"> </w:t>
      </w:r>
      <w:r>
        <w:rPr>
          <w:i/>
          <w:iCs/>
        </w:rPr>
        <w:t xml:space="preserve">Discover Public Health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(1), 1–16.</w:t>
      </w:r>
    </w:p>
    <w:bookmarkEnd w:id="71"/>
    <w:bookmarkStart w:id="72" w:name="ref-monteiro2019ultra"/>
    <w:p>
      <w:pPr>
        <w:pStyle w:val="Bibliography"/>
      </w:pPr>
      <w:r>
        <w:t xml:space="preserve">Monteiro, C. A., Cannon, G., Levy, R. B., Moubarac, J.-C., Louzada, M. L., Rauber, F., Khandpur, N., Cediel, G., Neri, D., Martinez-Steele, E., et al. (2019). Ultra-processed foods: What they are and how to identify them.</w:t>
      </w:r>
      <w:r>
        <w:t xml:space="preserve"> </w:t>
      </w:r>
      <w:r>
        <w:rPr>
          <w:i/>
          <w:iCs/>
        </w:rPr>
        <w:t xml:space="preserve">Public Health Nutrition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(5), 936–941.</w:t>
      </w:r>
    </w:p>
    <w:bookmarkEnd w:id="72"/>
    <w:bookmarkStart w:id="73" w:name="ref-naud2019consumo"/>
    <w:p>
      <w:pPr>
        <w:pStyle w:val="Bibliography"/>
      </w:pPr>
      <w:r>
        <w:t xml:space="preserve">Naud, L. M. (2019).</w:t>
      </w:r>
      <w:r>
        <w:t xml:space="preserve"> </w:t>
      </w:r>
      <w:r>
        <w:rPr>
          <w:i/>
          <w:iCs/>
        </w:rPr>
        <w:t xml:space="preserve">Consumo de</w:t>
      </w:r>
      <w:r>
        <w:rPr>
          <w:i/>
          <w:iCs/>
        </w:rPr>
        <w:t xml:space="preserve"> </w:t>
      </w:r>
      <w:r>
        <w:rPr>
          <w:i/>
          <w:iCs/>
        </w:rPr>
        <w:t xml:space="preserve">á</w:t>
      </w:r>
      <w:r>
        <w:rPr>
          <w:i/>
          <w:iCs/>
        </w:rPr>
        <w:t xml:space="preserve">cidos graxos e</w:t>
      </w:r>
      <w:r>
        <w:rPr>
          <w:i/>
          <w:iCs/>
        </w:rPr>
        <w:t xml:space="preserve"> </w:t>
      </w:r>
      <w:r>
        <w:rPr>
          <w:i/>
          <w:iCs/>
        </w:rPr>
        <w:t xml:space="preserve">á</w:t>
      </w:r>
      <w:r>
        <w:rPr>
          <w:i/>
          <w:iCs/>
        </w:rPr>
        <w:t xml:space="preserve">lcool e sua rela</w:t>
      </w:r>
      <w:r>
        <w:rPr>
          <w:i/>
          <w:iCs/>
        </w:rPr>
        <w:t xml:space="preserve">ç</w:t>
      </w:r>
      <w:r>
        <w:rPr>
          <w:i/>
          <w:iCs/>
        </w:rPr>
        <w:t xml:space="preserve">ã</w:t>
      </w:r>
      <w:r>
        <w:rPr>
          <w:i/>
          <w:iCs/>
        </w:rPr>
        <w:t xml:space="preserve">o com subfra</w:t>
      </w:r>
      <w:r>
        <w:rPr>
          <w:i/>
          <w:iCs/>
        </w:rPr>
        <w:t xml:space="preserve">ç</w:t>
      </w:r>
      <w:r>
        <w:rPr>
          <w:i/>
          <w:iCs/>
        </w:rPr>
        <w:t xml:space="preserve">õ</w:t>
      </w:r>
      <w:r>
        <w:rPr>
          <w:i/>
          <w:iCs/>
        </w:rPr>
        <w:t xml:space="preserve">es lip</w:t>
      </w:r>
      <w:r>
        <w:rPr>
          <w:i/>
          <w:iCs/>
        </w:rPr>
        <w:t xml:space="preserve">ı́</w:t>
      </w:r>
      <w:r>
        <w:rPr>
          <w:i/>
          <w:iCs/>
        </w:rPr>
        <w:t xml:space="preserve">dicas quantificadas por ultracentrifuga</w:t>
      </w:r>
      <w:r>
        <w:rPr>
          <w:i/>
          <w:iCs/>
        </w:rPr>
        <w:t xml:space="preserve">ç</w:t>
      </w:r>
      <w:r>
        <w:rPr>
          <w:i/>
          <w:iCs/>
        </w:rPr>
        <w:t xml:space="preserve">ã</w:t>
      </w:r>
      <w:r>
        <w:rPr>
          <w:i/>
          <w:iCs/>
        </w:rPr>
        <w:t xml:space="preserve">o vertical</w:t>
      </w:r>
      <w:r>
        <w:t xml:space="preserve"> </w:t>
      </w:r>
      <w:r>
        <w:t xml:space="preserve">[PhD thesis]. Universidade de S</w:t>
      </w:r>
      <w:r>
        <w:t xml:space="preserve">ã</w:t>
      </w:r>
      <w:r>
        <w:t xml:space="preserve">o Paulo.</w:t>
      </w:r>
    </w:p>
    <w:bookmarkEnd w:id="73"/>
    <w:bookmarkStart w:id="74" w:name="ref-rey2021ultra"/>
    <w:p>
      <w:pPr>
        <w:pStyle w:val="Bibliography"/>
      </w:pPr>
      <w:r>
        <w:t xml:space="preserve">Rey-Garcı́a, J., Donat-Vargas, C., Sandoval-Insausti, H., Bayan-Bravo, A., Moreno-Franco, B., Banegas, J. R., Rodrı́guez-Artalejo, F., &amp; Guallar-Castillón, P. (2021). Ultra-processed food consumption is associated with renal function decline in older adults: A prospective cohort study.</w:t>
      </w:r>
      <w:r>
        <w:t xml:space="preserve"> </w:t>
      </w:r>
      <w:r>
        <w:rPr>
          <w:i/>
          <w:iCs/>
        </w:rPr>
        <w:t xml:space="preserve">Nutrients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(2), 428.</w:t>
      </w:r>
    </w:p>
    <w:bookmarkEnd w:id="74"/>
    <w:bookmarkStart w:id="75" w:name="ref-schmidt2015cohort"/>
    <w:p>
      <w:pPr>
        <w:pStyle w:val="Bibliography"/>
      </w:pPr>
      <w:r>
        <w:t xml:space="preserve">Schmidt, M. I., Duncan, B. B., Mill, J. G., Lotufo, P. A., Chor, D., Barreto, S. M., Aquino, E. M., Passos, V. M. A., Matos, S. M., Molina, M. del C. B., et al. (2015). Cohort profile: Longitudinal study of adult health (ELSA-brasil).</w:t>
      </w:r>
      <w:r>
        <w:t xml:space="preserve"> </w:t>
      </w:r>
      <w:r>
        <w:rPr>
          <w:i/>
          <w:iCs/>
        </w:rPr>
        <w:t xml:space="preserve">International Journal of Epidemiology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(1), 68–75.</w:t>
      </w:r>
    </w:p>
    <w:bookmarkEnd w:id="75"/>
    <w:bookmarkStart w:id="76" w:name="ref-silva2017aposentadoria"/>
    <w:p>
      <w:pPr>
        <w:pStyle w:val="Bibliography"/>
      </w:pPr>
      <w:r>
        <w:t xml:space="preserve">Silva, V. C. da. (2017).</w:t>
      </w:r>
      <w:r>
        <w:t xml:space="preserve"> </w:t>
      </w:r>
      <w:r>
        <w:rPr>
          <w:i/>
          <w:iCs/>
        </w:rPr>
        <w:t xml:space="preserve">Aposentadoria, alimenta</w:t>
      </w:r>
      <w:r>
        <w:rPr>
          <w:i/>
          <w:iCs/>
        </w:rPr>
        <w:t xml:space="preserve">ç</w:t>
      </w:r>
      <w:r>
        <w:rPr>
          <w:i/>
          <w:iCs/>
        </w:rPr>
        <w:t xml:space="preserve">ã</w:t>
      </w:r>
      <w:r>
        <w:rPr>
          <w:i/>
          <w:iCs/>
        </w:rPr>
        <w:t xml:space="preserve">o e fatores de risco</w:t>
      </w:r>
      <w:r>
        <w:rPr>
          <w:i/>
          <w:iCs/>
        </w:rPr>
        <w:t xml:space="preserve"> </w:t>
      </w:r>
      <w:r>
        <w:rPr>
          <w:i/>
          <w:iCs/>
        </w:rPr>
        <w:t xml:space="preserve">à</w:t>
      </w:r>
      <w:r>
        <w:rPr>
          <w:i/>
          <w:iCs/>
        </w:rPr>
        <w:t xml:space="preserve"> </w:t>
      </w:r>
      <w:r>
        <w:rPr>
          <w:i/>
          <w:iCs/>
        </w:rPr>
        <w:t xml:space="preserve">sa</w:t>
      </w:r>
      <w:r>
        <w:rPr>
          <w:i/>
          <w:iCs/>
        </w:rPr>
        <w:t xml:space="preserve">ú</w:t>
      </w:r>
      <w:r>
        <w:rPr>
          <w:i/>
          <w:iCs/>
        </w:rPr>
        <w:t xml:space="preserve">de no estudo longitudinal de sa</w:t>
      </w:r>
      <w:r>
        <w:rPr>
          <w:i/>
          <w:iCs/>
        </w:rPr>
        <w:t xml:space="preserve">ú</w:t>
      </w:r>
      <w:r>
        <w:rPr>
          <w:i/>
          <w:iCs/>
        </w:rPr>
        <w:t xml:space="preserve">de do adulto (ELSA-brasil)</w:t>
      </w:r>
      <w:r>
        <w:t xml:space="preserve"> </w:t>
      </w:r>
      <w:r>
        <w:t xml:space="preserve">[PhD thesis]. Universidade de S</w:t>
      </w:r>
      <w:r>
        <w:t xml:space="preserve">ã</w:t>
      </w:r>
      <w:r>
        <w:t xml:space="preserve">o Paulo.</w:t>
      </w:r>
    </w:p>
    <w:bookmarkEnd w:id="76"/>
    <w:bookmarkStart w:id="77" w:name="ref-silva2021aplicacao"/>
    <w:p>
      <w:pPr>
        <w:pStyle w:val="Bibliography"/>
      </w:pPr>
      <w:r>
        <w:t xml:space="preserve">Silva, V. C. da. (2021).</w:t>
      </w:r>
      <w:r>
        <w:t xml:space="preserve"> </w:t>
      </w:r>
      <w:r>
        <w:rPr>
          <w:i/>
          <w:iCs/>
        </w:rPr>
        <w:t xml:space="preserve">Aplicação de algoritmos de machine learning na avaliação do consumo alimentar: Resultados da linha de base do estudo longitudinal de saúde do adulto (ELSA-brasil)</w:t>
      </w:r>
      <w:r>
        <w:t xml:space="preserve"> </w:t>
      </w:r>
      <w:r>
        <w:t xml:space="preserve">[PhD thesis]. Universidade de São Paulo.</w:t>
      </w:r>
    </w:p>
    <w:bookmarkEnd w:id="77"/>
    <w:bookmarkStart w:id="78" w:name="ref-singer1986analise"/>
    <w:p>
      <w:pPr>
        <w:pStyle w:val="Bibliography"/>
      </w:pPr>
      <w:r>
        <w:t xml:space="preserve">Singer, J. M., &amp; Andrade, D. de. (1986). An</w:t>
      </w:r>
      <w:r>
        <w:t xml:space="preserve">á</w:t>
      </w:r>
      <w:r>
        <w:t xml:space="preserve">lise de dados longitudinais.</w:t>
      </w:r>
      <w:r>
        <w:t xml:space="preserve"> </w:t>
      </w:r>
      <w:r>
        <w:rPr>
          <w:i/>
          <w:iCs/>
        </w:rPr>
        <w:t xml:space="preserve">Simp</w:t>
      </w:r>
      <w:r>
        <w:rPr>
          <w:i/>
          <w:iCs/>
        </w:rPr>
        <w:t xml:space="preserve">ó</w:t>
      </w:r>
      <w:r>
        <w:rPr>
          <w:i/>
          <w:iCs/>
        </w:rPr>
        <w:t xml:space="preserve">sio Nacional de Probabilidade e Estat</w:t>
      </w:r>
      <w:r>
        <w:rPr>
          <w:i/>
          <w:iCs/>
        </w:rPr>
        <w:t xml:space="preserve">ı́</w:t>
      </w:r>
      <w:r>
        <w:rPr>
          <w:i/>
          <w:iCs/>
        </w:rPr>
        <w:t xml:space="preserve">stica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.</w:t>
      </w:r>
    </w:p>
    <w:bookmarkEnd w:id="78"/>
    <w:bookmarkStart w:id="79" w:name="ref-srour2019ultra"/>
    <w:p>
      <w:pPr>
        <w:pStyle w:val="Bibliography"/>
      </w:pPr>
      <w:r>
        <w:t xml:space="preserve">Srour, B., Fezeu, L. K., Kesse-Guyot, E., Allès, B., Méjean, C., Andrianasolo, R. M., Chazelas, E., Deschasaux, M., Hercberg, S., Galan, P., et al. (2019). Ultra-processed food intake and risk of cardiovascular disease: Prospective cohort study (NutriNet-sant</w:t>
      </w:r>
      <w:r>
        <w:t xml:space="preserve">é</w:t>
      </w:r>
      <w:r>
        <w:t xml:space="preserve">).</w:t>
      </w:r>
      <w:r>
        <w:t xml:space="preserve"> </w:t>
      </w:r>
      <w:r>
        <w:rPr>
          <w:i/>
          <w:iCs/>
        </w:rPr>
        <w:t xml:space="preserve">Bmj</w:t>
      </w:r>
      <w:r>
        <w:t xml:space="preserve">,</w:t>
      </w:r>
      <w:r>
        <w:t xml:space="preserve"> </w:t>
      </w:r>
      <w:r>
        <w:rPr>
          <w:i/>
          <w:iCs/>
        </w:rPr>
        <w:t xml:space="preserve">365</w:t>
      </w:r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Consumo de alimentos ultraprocessados e função renal: análise da taxa de filtração glomerular no Estudo Longitudinal de Saúde do Adulto (ELSA-Brasil)</dc:title>
  <dc:creator>Paulo Henrique de Almeida Soares Pimenta</dc:creator>
  <cp:keywords/>
  <dcterms:created xsi:type="dcterms:W3CDTF">2026-02-01T22:38:19Z</dcterms:created>
  <dcterms:modified xsi:type="dcterms:W3CDTF">2026-02-01T22:38:19Z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referencias.bib</vt:lpwstr>
  </property>
  <property fmtid="{D5CDD505-2E9C-101B-9397-08002B2CF9AE}" pid="3" name="csl">
    <vt:lpwstr>apa.csl</vt:lpwstr>
  </property>
  <property fmtid="{D5CDD505-2E9C-101B-9397-08002B2CF9AE}" pid="4" name="date">
    <vt:lpwstr>01 de fevereiro de 2026</vt:lpwstr>
  </property>
  <property fmtid="{D5CDD505-2E9C-101B-9397-08002B2CF9AE}" pid="5" name="editor_options">
    <vt:lpwstr/>
  </property>
  <property fmtid="{D5CDD505-2E9C-101B-9397-08002B2CF9AE}" pid="6" name="fontsize">
    <vt:lpwstr>12pt</vt:lpwstr>
  </property>
  <property fmtid="{D5CDD505-2E9C-101B-9397-08002B2CF9AE}" pid="7" name="geometry">
    <vt:lpwstr>a4paper, top=2.5cm, left=2.5cm, right=2.5cm, bottom=2.5cm</vt:lpwstr>
  </property>
  <property fmtid="{D5CDD505-2E9C-101B-9397-08002B2CF9AE}" pid="8" name="header-includes">
    <vt:lpwstr/>
  </property>
  <property fmtid="{D5CDD505-2E9C-101B-9397-08002B2CF9AE}" pid="9" name="output">
    <vt:lpwstr/>
  </property>
</Properties>
</file>