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00000"/>
          <w:sz w:val="36"/>
        </w:rPr>
        <w:t>DENI RUBEN MOREIRA</w:t>
      </w:r>
    </w:p>
    <w:p>
      <w:pPr>
        <w:spacing w:after="120"/>
        <w:jc w:val="center"/>
      </w:pPr>
      <w:r>
        <w:rPr>
          <w:rFonts w:ascii="Arial" w:hAnsi="Arial"/>
          <w:b/>
          <w:color w:val="000000"/>
          <w:sz w:val="24"/>
        </w:rPr>
        <w:t>Contact</w:t>
      </w:r>
    </w:p>
    <w:p>
      <w:pPr>
        <w:spacing w:after="40"/>
        <w:jc w:val="center"/>
      </w:pPr>
      <w:r>
        <w:rPr>
          <w:rFonts w:ascii="Arial" w:hAnsi="Arial"/>
          <w:b/>
          <w:color w:val="000000"/>
          <w:sz w:val="20"/>
        </w:rPr>
        <w:t xml:space="preserve">Phone: </w:t>
      </w:r>
      <w:r>
        <w:rPr>
          <w:rFonts w:ascii="Arial" w:hAnsi="Arial"/>
          <w:color w:val="000000"/>
          <w:sz w:val="20"/>
        </w:rPr>
        <w:t>[VERIFICAR]</w:t>
      </w:r>
    </w:p>
    <w:p>
      <w:pPr>
        <w:spacing w:after="40"/>
        <w:jc w:val="center"/>
      </w:pPr>
      <w:r>
        <w:rPr>
          <w:rFonts w:ascii="Arial" w:hAnsi="Arial"/>
          <w:b/>
          <w:color w:val="000000"/>
          <w:sz w:val="20"/>
        </w:rPr>
        <w:t xml:space="preserve">Email: </w:t>
      </w:r>
      <w:r>
        <w:rPr>
          <w:rFonts w:ascii="Arial" w:hAnsi="Arial"/>
          <w:color w:val="000000"/>
          <w:sz w:val="20"/>
        </w:rPr>
        <w:t>[VERIFICAR]</w:t>
      </w:r>
    </w:p>
    <w:p>
      <w:pPr>
        <w:spacing w:after="40"/>
        <w:jc w:val="center"/>
      </w:pPr>
      <w:r>
        <w:rPr>
          <w:rFonts w:ascii="Arial" w:hAnsi="Arial"/>
          <w:b/>
          <w:color w:val="000000"/>
          <w:sz w:val="20"/>
        </w:rPr>
        <w:t xml:space="preserve">LinkedIn: </w:t>
      </w:r>
      <w:r>
        <w:rPr>
          <w:rFonts w:ascii="Arial" w:hAnsi="Arial"/>
          <w:color w:val="000000"/>
          <w:sz w:val="20"/>
        </w:rPr>
        <w:t>[VERIFICAR]</w:t>
      </w:r>
    </w:p>
    <w:p>
      <w:pPr>
        <w:spacing w:after="40"/>
        <w:jc w:val="center"/>
      </w:pPr>
      <w:r>
        <w:rPr>
          <w:rFonts w:ascii="Arial" w:hAnsi="Arial"/>
          <w:b/>
          <w:color w:val="000000"/>
          <w:sz w:val="20"/>
        </w:rPr>
        <w:t xml:space="preserve">Location: </w:t>
      </w:r>
      <w:r>
        <w:rPr>
          <w:rFonts w:ascii="Arial" w:hAnsi="Arial"/>
          <w:color w:val="000000"/>
          <w:sz w:val="20"/>
        </w:rPr>
        <w:t>Dallas-Fort Worth, Texas, United States</w:t>
      </w:r>
    </w:p>
    <w:p>
      <w:pPr>
        <w:spacing w:before="120" w:after="120"/>
        <w:pBdr>
          <w:bottom w:val="single" w:sz="4" w:space="1" w:color="CCCCCC"/>
        </w:pBdr>
      </w:pPr>
    </w:p>
    <w:p>
      <w:r>
        <w:br w:type="page"/>
      </w:r>
    </w:p>
    <w:p>
      <w:pPr>
        <w:spacing w:before="480" w:after="240" w:line="276" w:lineRule="auto"/>
        <w:jc w:val="left"/>
      </w:pPr>
      <w:r>
        <w:rPr>
          <w:rFonts w:ascii="Arial" w:hAnsi="Arial"/>
          <w:b/>
          <w:i w:val="0"/>
          <w:color w:val="000000"/>
          <w:sz w:val="28"/>
        </w:rPr>
        <w:t>SUMMARY OF PROFESSIONAL QUALIFICATIONS</w:t>
      </w:r>
    </w:p>
    <w:p>
      <w:pPr>
        <w:pStyle w:val="ListBullet"/>
        <w:spacing w:after="80" w:line="276" w:lineRule="auto"/>
      </w:pPr>
      <w:r>
        <w:rPr>
          <w:rFonts w:ascii="Arial" w:hAnsi="Arial"/>
          <w:b w:val="0"/>
          <w:color w:val="000000"/>
          <w:sz w:val="21"/>
        </w:rPr>
        <w:t>Over 17 years of progressive professional experience in enterprise digital transformation, encompassing ERP implementation, business intelligence, robotic process automation, regulatory compliance, and workforce development across nine multinational organizations in North and South America.</w:t>
      </w:r>
    </w:p>
    <w:p>
      <w:pPr>
        <w:pStyle w:val="ListBullet"/>
        <w:spacing w:after="80" w:line="276" w:lineRule="auto"/>
      </w:pPr>
      <w:r>
        <w:rPr>
          <w:rFonts w:ascii="Arial" w:hAnsi="Arial"/>
          <w:b w:val="0"/>
          <w:color w:val="000000"/>
          <w:sz w:val="21"/>
        </w:rPr>
        <w:t>Holder of a Bachelor of Business Administration from Universidade Anhembi Morumbi (Brazil), with post-baccalaureate training in Business Analysis of Information Technology from Montreal College (Canada, 2020). Credential evaluation by a NACES-member evaluator confirms equivalency to a U.S. advanced degree (Master of Business Administration with concentration in Information Technology Management).</w:t>
      </w:r>
    </w:p>
    <w:p>
      <w:pPr>
        <w:pStyle w:val="ListBullet"/>
        <w:spacing w:after="80" w:line="276" w:lineRule="auto"/>
      </w:pPr>
      <w:r>
        <w:rPr>
          <w:rFonts w:ascii="Arial" w:hAnsi="Arial"/>
          <w:b w:val="0"/>
          <w:color w:val="000000"/>
          <w:sz w:val="21"/>
        </w:rPr>
        <w:t>Earned the SAP S/4HANA Management Accounting certification (2021), one of the most technically demanding certifications in the enterprise resource planning ecosystem, validating deep expertise in management accounting configuration, cost center accounting, profitability analysis, and multi-entity financial consolidation within the SAP platform.</w:t>
      </w:r>
    </w:p>
    <w:p>
      <w:pPr>
        <w:pStyle w:val="ListBullet"/>
        <w:spacing w:after="80" w:line="276" w:lineRule="auto"/>
      </w:pPr>
      <w:r>
        <w:rPr>
          <w:rFonts w:ascii="Arial" w:hAnsi="Arial"/>
          <w:b w:val="0"/>
          <w:color w:val="000000"/>
          <w:sz w:val="21"/>
        </w:rPr>
        <w:t>Certified PMI Disciplined Agile Scrum Master (DASM) by the Project Management Institute, validating competence in agile project management, Scrum framework implementation, iterative delivery, and adaptive planning for complex enterprise technology deployments.</w:t>
      </w:r>
    </w:p>
    <w:p>
      <w:pPr>
        <w:pStyle w:val="ListBullet"/>
        <w:spacing w:after="80" w:line="276" w:lineRule="auto"/>
      </w:pPr>
      <w:r>
        <w:rPr>
          <w:rFonts w:ascii="Arial" w:hAnsi="Arial"/>
          <w:b w:val="0"/>
          <w:color w:val="000000"/>
          <w:sz w:val="21"/>
        </w:rPr>
        <w:t>Elevated to IEEE Senior Member status by the Institute of Electrical and Electronics Engineers, the world's largest technical professional organization with over 400,000 members in 160 countries. Senior Membership requires a minimum of 10 years of professional practice and significant performance over at least five of those years.</w:t>
      </w:r>
    </w:p>
    <w:p>
      <w:pPr>
        <w:pStyle w:val="ListBullet"/>
        <w:spacing w:after="80" w:line="276" w:lineRule="auto"/>
      </w:pPr>
      <w:r>
        <w:rPr>
          <w:rFonts w:ascii="Arial" w:hAnsi="Arial"/>
          <w:b w:val="0"/>
          <w:color w:val="000000"/>
          <w:sz w:val="21"/>
        </w:rPr>
        <w:t>Achieved a 60% reduction in financial consolidation time at Resolute Forest Products ($2B+ revenue, 30+ locations, 8,000+ users), reducing the monthly close cycle from 15 business days to 6 days and liberating approximately $1.2 million in annual personnel costs previously dedicated to manual consolidation activities (Exhibit 15).</w:t>
      </w:r>
    </w:p>
    <w:p>
      <w:pPr>
        <w:pStyle w:val="ListBullet"/>
        <w:spacing w:after="80" w:line="276" w:lineRule="auto"/>
      </w:pPr>
      <w:r>
        <w:rPr>
          <w:rFonts w:ascii="Arial" w:hAnsi="Arial"/>
          <w:b w:val="0"/>
          <w:color w:val="000000"/>
          <w:sz w:val="21"/>
        </w:rPr>
        <w:t>Led enterprise transformation at Sollio Agriculture achieving zero findings in a federal FSMA audit and a 75% reduction in product traceability time (from 8 hours to 2 hours) through integration of ERP, business intelligence, and automated reporting workflows (Exhibit 18).</w:t>
      </w:r>
    </w:p>
    <w:p>
      <w:pPr>
        <w:pStyle w:val="ListBullet"/>
        <w:spacing w:after="80" w:line="276" w:lineRule="auto"/>
      </w:pPr>
      <w:r>
        <w:rPr>
          <w:rFonts w:ascii="Arial" w:hAnsi="Arial"/>
          <w:b w:val="0"/>
          <w:color w:val="000000"/>
          <w:sz w:val="21"/>
        </w:rPr>
        <w:t>Managed a $50 million IT infrastructure investment portfolio at PSP Investments (one of Canada's largest pension investment managers, $200B+ in net assets), encompassing cybersecurity governance, system integration, and regulatory compliance (Exhibit 16).</w:t>
      </w:r>
    </w:p>
    <w:p>
      <w:pPr>
        <w:pStyle w:val="ListBullet"/>
        <w:spacing w:after="80" w:line="276" w:lineRule="auto"/>
      </w:pPr>
      <w:r>
        <w:rPr>
          <w:rFonts w:ascii="Arial" w:hAnsi="Arial"/>
          <w:b w:val="0"/>
          <w:color w:val="000000"/>
          <w:sz w:val="21"/>
        </w:rPr>
        <w:t>Developed the proprietary DRM Success Framework, a five-phase methodology forged through 15+ years of implementation practice, integrating operational diagnostics, process mapping, technology selection, phased implementation, and post-deployment governance into a unified program specifically designed for the resource constraints and regulatory obligations of SMEs (Exhibit 8).</w:t>
      </w:r>
    </w:p>
    <w:p>
      <w:pPr>
        <w:pStyle w:val="ListBullet"/>
        <w:spacing w:after="80" w:line="276" w:lineRule="auto"/>
      </w:pPr>
      <w:r>
        <w:rPr>
          <w:rFonts w:ascii="Arial" w:hAnsi="Arial"/>
          <w:b w:val="0"/>
          <w:color w:val="000000"/>
          <w:sz w:val="21"/>
        </w:rPr>
        <w:t>Founded DRM Solutions LLC in Dallas-Fort Worth, Texas, offering five integrated service lines (ERP, BI, RPA, Regulatory Compliance, Workforce Training) to address the $340 billion efficiency gap among 5.6 million American SMEs. Secured $300,000 in documented investor commitments and active client interest from Galax School Corp. (Florida) (Exhibits 9, 10, 33, 34, 32).</w:t>
      </w:r>
    </w:p>
    <w:p>
      <w:pPr>
        <w:pStyle w:val="ListBullet"/>
        <w:spacing w:after="80" w:line="276" w:lineRule="auto"/>
      </w:pPr>
      <w:r>
        <w:rPr>
          <w:rFonts w:ascii="Arial" w:hAnsi="Arial"/>
          <w:b w:val="0"/>
          <w:color w:val="000000"/>
          <w:sz w:val="21"/>
        </w:rPr>
        <w:t>Authored three peer-reviewed articles in academic journals addressing enterprise technology management and digital transformation (Exhibits 35, 36, 37). Invited to serve as peer reviewer for SAMR (Society for the Advancement of Management Research) (Exhibits 38, 39).</w:t>
      </w:r>
    </w:p>
    <w:p>
      <w:pPr>
        <w:pStyle w:val="ListBullet"/>
        <w:spacing w:after="80" w:line="276" w:lineRule="auto"/>
      </w:pPr>
      <w:r>
        <w:rPr>
          <w:rFonts w:ascii="Arial" w:hAnsi="Arial"/>
          <w:b w:val="0"/>
          <w:color w:val="000000"/>
          <w:sz w:val="21"/>
        </w:rPr>
        <w:t>Trilingual professional fluent in English, Portuguese, and French, with documented cross-border experience spanning four countries (Brazil, Canada, United States, and multinational operations across four continents), providing a multicultural perspective directly valuable to the increasingly global American SME market.</w:t>
      </w:r>
    </w:p>
    <w:p>
      <w:r>
        <w:br w:type="page"/>
      </w:r>
    </w:p>
    <w:p>
      <w:pPr>
        <w:spacing w:before="480" w:after="240" w:line="276" w:lineRule="auto"/>
        <w:jc w:val="left"/>
      </w:pPr>
      <w:r>
        <w:rPr>
          <w:rFonts w:ascii="Arial" w:hAnsi="Arial"/>
          <w:b/>
          <w:i w:val="0"/>
          <w:color w:val="000000"/>
          <w:sz w:val="28"/>
        </w:rPr>
        <w:t>TOOLS &amp; SOFTWARE PROFICIENCY</w:t>
      </w:r>
    </w:p>
    <w:p>
      <w:pPr>
        <w:spacing w:before="0" w:after="200" w:line="276" w:lineRule="auto"/>
        <w:jc w:val="left"/>
      </w:pPr>
      <w:r>
        <w:rPr>
          <w:rFonts w:ascii="Arial" w:hAnsi="Arial"/>
          <w:b w:val="0"/>
          <w:i w:val="0"/>
          <w:color w:val="000000"/>
          <w:sz w:val="21"/>
        </w:rPr>
        <w:t>This section highlights the technical tools and platforms actively used throughout Deni Ruben Moreira's professional career, demonstrating hands-on proficiency directly relevant to the proposed endeavor of delivering integrated digital transformation solutions for American SMEs through DRM Solutions LLC.</w:t>
      </w:r>
    </w:p>
    <w:p>
      <w:pPr>
        <w:spacing w:before="80" w:after="120" w:line="276" w:lineRule="auto"/>
      </w:pPr>
      <w:r>
        <w:rPr>
          <w:rFonts w:ascii="Arial" w:hAnsi="Arial"/>
          <w:b/>
          <w:color w:val="000000"/>
          <w:sz w:val="21"/>
        </w:rPr>
        <w:t xml:space="preserve">SAP S/4HANA &amp; SAP Business One: </w:t>
      </w:r>
      <w:r>
        <w:rPr>
          <w:rFonts w:ascii="Arial" w:hAnsi="Arial"/>
          <w:color w:val="000000"/>
          <w:sz w:val="21"/>
        </w:rPr>
        <w:t>Advanced proficiency in configuration, implementation, and governance of SAP enterprise resource planning platforms. Expertise spans financial accounting (FI), management accounting (CO), materials management (MM), sales and distribution (SD), and production planning (PP). Certified in SAP S/4HANA Management Accounting. Deployed SAP Business One for 10+ SME clients at Nexus Innovation, directly informing the ERP Implementation service line of DRM Solutions LLC.</w:t>
      </w:r>
    </w:p>
    <w:p>
      <w:pPr>
        <w:spacing w:before="80" w:after="120" w:line="276" w:lineRule="auto"/>
      </w:pPr>
      <w:r>
        <w:rPr>
          <w:rFonts w:ascii="Arial" w:hAnsi="Arial"/>
          <w:b/>
          <w:color w:val="000000"/>
          <w:sz w:val="21"/>
        </w:rPr>
        <w:t xml:space="preserve">Microsoft Business Central: </w:t>
      </w:r>
      <w:r>
        <w:rPr>
          <w:rFonts w:ascii="Arial" w:hAnsi="Arial"/>
          <w:color w:val="000000"/>
          <w:sz w:val="21"/>
        </w:rPr>
        <w:t>Implementation and governance of Microsoft Business Central SaaS for mid-market enterprises. Recent experience (2024-2025) implementing Business Central for Souris Mini through ERA Consulting, combining process optimization, technology deployment, and user training within a single engagement.</w:t>
      </w:r>
    </w:p>
    <w:p>
      <w:pPr>
        <w:spacing w:before="80" w:after="120" w:line="276" w:lineRule="auto"/>
      </w:pPr>
      <w:r>
        <w:rPr>
          <w:rFonts w:ascii="Arial" w:hAnsi="Arial"/>
          <w:b/>
          <w:color w:val="000000"/>
          <w:sz w:val="21"/>
        </w:rPr>
        <w:t xml:space="preserve">SAP Business Planning and Consolidation (BPC): </w:t>
      </w:r>
      <w:r>
        <w:rPr>
          <w:rFonts w:ascii="Arial" w:hAnsi="Arial"/>
          <w:color w:val="000000"/>
          <w:sz w:val="21"/>
        </w:rPr>
        <w:t>Led the redesign of financial consolidation processes at Resolute Forest Products using SAP BPC, achieving a 60% reduction in consolidation time across 30+ entities and five currencies. Expertise in multi-entity consolidation, intercompany elimination, and automated financial reporting.</w:t>
      </w:r>
    </w:p>
    <w:p>
      <w:pPr>
        <w:spacing w:before="80" w:after="120" w:line="276" w:lineRule="auto"/>
      </w:pPr>
      <w:r>
        <w:rPr>
          <w:rFonts w:ascii="Arial" w:hAnsi="Arial"/>
          <w:b/>
          <w:color w:val="000000"/>
          <w:sz w:val="21"/>
        </w:rPr>
        <w:t xml:space="preserve">Power BI &amp; Tableau: </w:t>
      </w:r>
      <w:r>
        <w:rPr>
          <w:rFonts w:ascii="Arial" w:hAnsi="Arial"/>
          <w:color w:val="000000"/>
          <w:sz w:val="21"/>
        </w:rPr>
        <w:t>Design and deployment of data analytics architectures, operational dashboards, and KPI systems for real-time decision-making. Implemented BI dashboards at STM integrating data from three business lines, reducing data access time by 50%. Core tool for DRM Solutions LLC Service Line 3 (Business Intelligence and Data Analytics).</w:t>
      </w:r>
    </w:p>
    <w:p>
      <w:pPr>
        <w:spacing w:before="80" w:after="120" w:line="276" w:lineRule="auto"/>
      </w:pPr>
      <w:r>
        <w:rPr>
          <w:rFonts w:ascii="Arial" w:hAnsi="Arial"/>
          <w:b/>
          <w:color w:val="000000"/>
          <w:sz w:val="21"/>
        </w:rPr>
        <w:t xml:space="preserve">Robotic Process Automation (RPA) Tools: </w:t>
      </w:r>
      <w:r>
        <w:rPr>
          <w:rFonts w:ascii="Arial" w:hAnsi="Arial"/>
          <w:color w:val="000000"/>
          <w:sz w:val="21"/>
        </w:rPr>
        <w:t>Identification, mapping, and automation of repetitive manual processes to reduce administrative costs and error rates. First systematic identification of RPA opportunities within SME environments at Nexus Innovation. Central component of the DRM Success Framework Phase 2 process mapping.</w:t>
      </w:r>
    </w:p>
    <w:p>
      <w:pPr>
        <w:spacing w:before="80" w:after="120" w:line="276" w:lineRule="auto"/>
      </w:pPr>
      <w:r>
        <w:rPr>
          <w:rFonts w:ascii="Arial" w:hAnsi="Arial"/>
          <w:b/>
          <w:color w:val="000000"/>
          <w:sz w:val="21"/>
        </w:rPr>
        <w:t xml:space="preserve">Project Management — Agile/Scrum: </w:t>
      </w:r>
      <w:r>
        <w:rPr>
          <w:rFonts w:ascii="Arial" w:hAnsi="Arial"/>
          <w:color w:val="000000"/>
          <w:sz w:val="21"/>
        </w:rPr>
        <w:t>Certified PMI Disciplined Agile Scrum Master (DASM). Application of agile methodologies for enterprise technology implementations, including sprint planning, stakeholder review gates, iterative refinement, and continuous delivery. Managed a $50M IT portfolio at PSP Investments using structured project management methodologies.</w:t>
      </w:r>
    </w:p>
    <w:p>
      <w:pPr>
        <w:spacing w:before="80" w:after="120" w:line="276" w:lineRule="auto"/>
      </w:pPr>
      <w:r>
        <w:rPr>
          <w:rFonts w:ascii="Arial" w:hAnsi="Arial"/>
          <w:b/>
          <w:color w:val="000000"/>
          <w:sz w:val="21"/>
        </w:rPr>
        <w:t xml:space="preserve">Regulatory Compliance Frameworks: </w:t>
      </w:r>
      <w:r>
        <w:rPr>
          <w:rFonts w:ascii="Arial" w:hAnsi="Arial"/>
          <w:color w:val="000000"/>
          <w:sz w:val="21"/>
        </w:rPr>
        <w:t>Implementation of technology-enabled governance frameworks for FSMA (food safety), HIPAA (healthcare), SOX (financial reporting), Gramm-Leach-Bliley (financial services), and CMMC (defense contracting). Achieved zero FSMA audit findings at Sollio Agriculture through integrated compliance-technology solutions.</w:t>
      </w:r>
    </w:p>
    <w:p>
      <w:pPr>
        <w:spacing w:before="80" w:after="120" w:line="276" w:lineRule="auto"/>
      </w:pPr>
      <w:r>
        <w:rPr>
          <w:rFonts w:ascii="Arial" w:hAnsi="Arial"/>
          <w:b/>
          <w:color w:val="000000"/>
          <w:sz w:val="21"/>
        </w:rPr>
        <w:t xml:space="preserve">Microsoft Office Suite &amp; Productivity Tools: </w:t>
      </w:r>
      <w:r>
        <w:rPr>
          <w:rFonts w:ascii="Arial" w:hAnsi="Arial"/>
          <w:color w:val="000000"/>
          <w:sz w:val="21"/>
        </w:rPr>
        <w:t>Advanced proficiency in Excel (financial modeling, pivot tables, macros), Word (documentation, reporting), PowerPoint (executive presentations), and Outlook for professional communication. Used extensively across all nine organizations for reporting, analysis, and stakeholder communication.</w:t>
      </w:r>
    </w:p>
    <w:p>
      <w:pPr>
        <w:spacing w:before="80" w:after="120" w:line="276" w:lineRule="auto"/>
      </w:pPr>
      <w:r>
        <w:rPr>
          <w:rFonts w:ascii="Arial" w:hAnsi="Arial"/>
          <w:b/>
          <w:color w:val="000000"/>
          <w:sz w:val="21"/>
        </w:rPr>
        <w:t xml:space="preserve">Cloud Platforms (AWS, Azure): </w:t>
      </w:r>
      <w:r>
        <w:rPr>
          <w:rFonts w:ascii="Arial" w:hAnsi="Arial"/>
          <w:color w:val="000000"/>
          <w:sz w:val="21"/>
        </w:rPr>
        <w:t>Experience with cloud-based ERP and BI deployments leveraging SAP Business One Cloud and Power BI Cloud infrastructure. Understanding of cloud architecture for SME digital transformation, including SAP Business ByDesign and Microsoft Azure cloud services.</w:t>
      </w:r>
    </w:p>
    <w:p>
      <w:pPr>
        <w:spacing w:before="80" w:after="120" w:line="276" w:lineRule="auto"/>
      </w:pPr>
      <w:r>
        <w:rPr>
          <w:rFonts w:ascii="Arial" w:hAnsi="Arial"/>
          <w:b/>
          <w:color w:val="000000"/>
          <w:sz w:val="21"/>
        </w:rPr>
        <w:t xml:space="preserve">Training &amp; Learning Management Systems: </w:t>
      </w:r>
      <w:r>
        <w:rPr>
          <w:rFonts w:ascii="Arial" w:hAnsi="Arial"/>
          <w:color w:val="000000"/>
          <w:sz w:val="21"/>
        </w:rPr>
        <w:t>Design and delivery of structured training programs for enterprise technology adoption. Developed and delivered training for 300+ employees at Sollio Agriculture across operational, compliance, and technology functions. Core competency for DRM Solutions LLC Service Line 5 (Corporate Training in Digital Transformation).</w:t>
      </w:r>
    </w:p>
    <w:p>
      <w:r>
        <w:br w:type="page"/>
      </w:r>
    </w:p>
    <w:p>
      <w:pPr>
        <w:spacing w:before="480" w:after="240" w:line="276" w:lineRule="auto"/>
        <w:jc w:val="left"/>
      </w:pPr>
      <w:r>
        <w:rPr>
          <w:rFonts w:ascii="Arial" w:hAnsi="Arial"/>
          <w:b/>
          <w:i w:val="0"/>
          <w:color w:val="000000"/>
          <w:sz w:val="28"/>
        </w:rPr>
        <w:t>PROFESSIONAL EXPERIENCE</w:t>
      </w:r>
    </w:p>
    <w:p>
      <w:pPr>
        <w:spacing w:before="240" w:after="120" w:line="276" w:lineRule="auto"/>
        <w:jc w:val="left"/>
      </w:pPr>
      <w:r>
        <w:rPr>
          <w:rFonts w:ascii="Arial" w:hAnsi="Arial"/>
          <w:b/>
          <w:i w:val="0"/>
          <w:color w:val="000000"/>
          <w:sz w:val="24"/>
        </w:rPr>
        <w:t>Professional Timeline</w:t>
      </w:r>
    </w:p>
    <w:tbl>
      <w:tblPr>
        <w:tblW w:type="auto" w:w="0"/>
        <w:jc w:val="center"/>
        <w:tblLook w:firstColumn="1" w:firstRow="1" w:lastColumn="0" w:lastRow="0" w:noHBand="0" w:noVBand="1" w:val="04A0"/>
      </w:tblPr>
      <w:tblGrid>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tblGrid>
      <w:tr>
        <w:tc>
          <w:tcPr>
            <w:tcW w:type="dxa" w:w="468"/>
            <w:shd w:fill="D5E8F0"/>
            <w:tcW w:w="250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Organization</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2008</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2009</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2010</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2011</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2012</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2013</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2014</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2015</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2016</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2017</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2018</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2019</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2020</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2021</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2022</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2023</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2024</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2025</w:t>
            </w:r>
          </w:p>
        </w:tc>
        <w:tc>
          <w:tcPr>
            <w:tcW w:type="dxa" w:w="468"/>
            <w:shd w:fill="D5E8F0"/>
            <w:tcW w:w="360" w:type="dxa"/>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16"/>
              </w:rPr>
              <w:t>2026</w:t>
            </w:r>
          </w:p>
        </w:tc>
      </w:tr>
      <w:tr>
        <w:tc>
          <w:tcPr>
            <w:tcW w:type="dxa" w:w="468"/>
            <w:tcW w:w="2500" w:type="dxa"/>
            <w:tcBorders>
              <w:top w:val="single" w:sz="4" w:space="0" w:color="CCCCCC"/>
              <w:bottom w:val="single" w:sz="4" w:space="0" w:color="CCCCCC"/>
              <w:left w:val="single" w:sz="4" w:space="0" w:color="CCCCCC"/>
              <w:right w:val="single" w:sz="4" w:space="0" w:color="CCCCCC"/>
            </w:tcBorders>
          </w:tcPr>
          <w:p>
            <w:r>
              <w:rPr>
                <w:rFonts w:ascii="Arial" w:hAnsi="Arial"/>
                <w:color w:val="000000"/>
                <w:sz w:val="15"/>
              </w:rPr>
              <w:t>ERA Consulting (current)</w:t>
            </w: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r>
      <w:tr>
        <w:tc>
          <w:tcPr>
            <w:tcW w:type="dxa" w:w="468"/>
            <w:tcW w:w="2500" w:type="dxa"/>
            <w:tcBorders>
              <w:top w:val="single" w:sz="4" w:space="0" w:color="CCCCCC"/>
              <w:bottom w:val="single" w:sz="4" w:space="0" w:color="CCCCCC"/>
              <w:left w:val="single" w:sz="4" w:space="0" w:color="CCCCCC"/>
              <w:right w:val="single" w:sz="4" w:space="0" w:color="CCCCCC"/>
            </w:tcBorders>
          </w:tcPr>
          <w:p>
            <w:r>
              <w:rPr>
                <w:rFonts w:ascii="Arial" w:hAnsi="Arial"/>
                <w:color w:val="000000"/>
                <w:sz w:val="15"/>
              </w:rPr>
              <w:t>Verssur</w:t>
            </w: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r>
      <w:tr>
        <w:tc>
          <w:tcPr>
            <w:tcW w:type="dxa" w:w="468"/>
            <w:tcW w:w="2500" w:type="dxa"/>
            <w:tcBorders>
              <w:top w:val="single" w:sz="4" w:space="0" w:color="CCCCCC"/>
              <w:bottom w:val="single" w:sz="4" w:space="0" w:color="CCCCCC"/>
              <w:left w:val="single" w:sz="4" w:space="0" w:color="CCCCCC"/>
              <w:right w:val="single" w:sz="4" w:space="0" w:color="CCCCCC"/>
            </w:tcBorders>
          </w:tcPr>
          <w:p>
            <w:r>
              <w:rPr>
                <w:rFonts w:ascii="Arial" w:hAnsi="Arial"/>
                <w:color w:val="000000"/>
                <w:sz w:val="15"/>
              </w:rPr>
              <w:t>Sollio Agriculture</w:t>
            </w: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r>
      <w:tr>
        <w:tc>
          <w:tcPr>
            <w:tcW w:type="dxa" w:w="468"/>
            <w:tcW w:w="2500" w:type="dxa"/>
            <w:tcBorders>
              <w:top w:val="single" w:sz="4" w:space="0" w:color="CCCCCC"/>
              <w:bottom w:val="single" w:sz="4" w:space="0" w:color="CCCCCC"/>
              <w:left w:val="single" w:sz="4" w:space="0" w:color="CCCCCC"/>
              <w:right w:val="single" w:sz="4" w:space="0" w:color="CCCCCC"/>
            </w:tcBorders>
          </w:tcPr>
          <w:p>
            <w:r>
              <w:rPr>
                <w:rFonts w:ascii="Arial" w:hAnsi="Arial"/>
                <w:color w:val="000000"/>
                <w:sz w:val="15"/>
              </w:rPr>
              <w:t>Nexus Innovation</w:t>
            </w: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r>
      <w:tr>
        <w:tc>
          <w:tcPr>
            <w:tcW w:type="dxa" w:w="468"/>
            <w:tcW w:w="2500" w:type="dxa"/>
            <w:tcBorders>
              <w:top w:val="single" w:sz="4" w:space="0" w:color="CCCCCC"/>
              <w:bottom w:val="single" w:sz="4" w:space="0" w:color="CCCCCC"/>
              <w:left w:val="single" w:sz="4" w:space="0" w:color="CCCCCC"/>
              <w:right w:val="single" w:sz="4" w:space="0" w:color="CCCCCC"/>
            </w:tcBorders>
          </w:tcPr>
          <w:p>
            <w:r>
              <w:rPr>
                <w:rFonts w:ascii="Arial" w:hAnsi="Arial"/>
                <w:color w:val="000000"/>
                <w:sz w:val="15"/>
              </w:rPr>
              <w:t>PSP Investments</w:t>
            </w: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r>
      <w:tr>
        <w:tc>
          <w:tcPr>
            <w:tcW w:type="dxa" w:w="468"/>
            <w:tcW w:w="2500" w:type="dxa"/>
            <w:tcBorders>
              <w:top w:val="single" w:sz="4" w:space="0" w:color="CCCCCC"/>
              <w:bottom w:val="single" w:sz="4" w:space="0" w:color="CCCCCC"/>
              <w:left w:val="single" w:sz="4" w:space="0" w:color="CCCCCC"/>
              <w:right w:val="single" w:sz="4" w:space="0" w:color="CCCCCC"/>
            </w:tcBorders>
          </w:tcPr>
          <w:p>
            <w:r>
              <w:rPr>
                <w:rFonts w:ascii="Arial" w:hAnsi="Arial"/>
                <w:color w:val="000000"/>
                <w:sz w:val="15"/>
              </w:rPr>
              <w:t>Resolute Forest Products</w:t>
            </w: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r>
      <w:tr>
        <w:tc>
          <w:tcPr>
            <w:tcW w:type="dxa" w:w="468"/>
            <w:tcW w:w="2500" w:type="dxa"/>
            <w:tcBorders>
              <w:top w:val="single" w:sz="4" w:space="0" w:color="CCCCCC"/>
              <w:bottom w:val="single" w:sz="4" w:space="0" w:color="CCCCCC"/>
              <w:left w:val="single" w:sz="4" w:space="0" w:color="CCCCCC"/>
              <w:right w:val="single" w:sz="4" w:space="0" w:color="CCCCCC"/>
            </w:tcBorders>
          </w:tcPr>
          <w:p>
            <w:r>
              <w:rPr>
                <w:rFonts w:ascii="Arial" w:hAnsi="Arial"/>
                <w:color w:val="000000"/>
                <w:sz w:val="15"/>
              </w:rPr>
              <w:t>STM</w:t>
            </w: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r>
      <w:tr>
        <w:tc>
          <w:tcPr>
            <w:tcW w:type="dxa" w:w="468"/>
            <w:tcW w:w="2500" w:type="dxa"/>
            <w:tcBorders>
              <w:top w:val="single" w:sz="4" w:space="0" w:color="CCCCCC"/>
              <w:bottom w:val="single" w:sz="4" w:space="0" w:color="CCCCCC"/>
              <w:left w:val="single" w:sz="4" w:space="0" w:color="CCCCCC"/>
              <w:right w:val="single" w:sz="4" w:space="0" w:color="CCCCCC"/>
            </w:tcBorders>
          </w:tcPr>
          <w:p>
            <w:r>
              <w:rPr>
                <w:rFonts w:ascii="Arial" w:hAnsi="Arial"/>
                <w:color w:val="000000"/>
                <w:sz w:val="15"/>
              </w:rPr>
              <w:t>ERA Consulting</w:t>
            </w: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r>
      <w:tr>
        <w:tc>
          <w:tcPr>
            <w:tcW w:type="dxa" w:w="468"/>
            <w:tcW w:w="2500" w:type="dxa"/>
            <w:tcBorders>
              <w:top w:val="single" w:sz="4" w:space="0" w:color="CCCCCC"/>
              <w:bottom w:val="single" w:sz="4" w:space="0" w:color="CCCCCC"/>
              <w:left w:val="single" w:sz="4" w:space="0" w:color="CCCCCC"/>
              <w:right w:val="single" w:sz="4" w:space="0" w:color="CCCCCC"/>
            </w:tcBorders>
          </w:tcPr>
          <w:p>
            <w:r>
              <w:rPr>
                <w:rFonts w:ascii="Arial" w:hAnsi="Arial"/>
                <w:color w:val="000000"/>
                <w:sz w:val="15"/>
              </w:rPr>
              <w:t>Allergan</w:t>
            </w: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shd w:fill="2E75B6"/>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c>
          <w:tcPr>
            <w:tcW w:type="dxa" w:w="468"/>
            <w:tcW w:w="360" w:type="dxa"/>
            <w:tcBorders>
              <w:top w:val="single" w:sz="4" w:space="0" w:color="CCCCCC"/>
              <w:bottom w:val="single" w:sz="4" w:space="0" w:color="CCCCCC"/>
              <w:left w:val="single" w:sz="4" w:space="0" w:color="CCCCCC"/>
              <w:right w:val="single" w:sz="4" w:space="0" w:color="CCCCCC"/>
            </w:tcBorders>
          </w:tcPr>
          <w:p/>
        </w:tc>
      </w:tr>
    </w:tbl>
    <w:p>
      <w:pPr>
        <w:spacing w:before="120" w:after="120"/>
        <w:pBdr>
          <w:bottom w:val="single" w:sz="4" w:space="1" w:color="CCCCCC"/>
        </w:pBdr>
      </w:pPr>
    </w:p>
    <w:p>
      <w:pPr>
        <w:spacing w:before="240" w:after="120" w:line="276" w:lineRule="auto"/>
        <w:jc w:val="left"/>
      </w:pPr>
      <w:r>
        <w:rPr>
          <w:rFonts w:ascii="Arial" w:hAnsi="Arial"/>
          <w:b/>
          <w:i w:val="0"/>
          <w:color w:val="000000"/>
          <w:sz w:val="24"/>
        </w:rPr>
        <w:t>ERA CONSULTING (Current Position)</w:t>
      </w:r>
    </w:p>
    <w:p>
      <w:pPr>
        <w:spacing w:after="60" w:line="276" w:lineRule="auto"/>
      </w:pPr>
      <w:r>
        <w:rPr>
          <w:rFonts w:ascii="Arial" w:hAnsi="Arial"/>
          <w:b/>
          <w:color w:val="000000"/>
          <w:sz w:val="20"/>
        </w:rPr>
        <w:t xml:space="preserve">Role: </w:t>
      </w:r>
      <w:r>
        <w:rPr>
          <w:rFonts w:ascii="Arial" w:hAnsi="Arial"/>
          <w:b w:val="0"/>
          <w:color w:val="000000"/>
          <w:sz w:val="20"/>
        </w:rPr>
        <w:t>Senior Consultant</w:t>
      </w:r>
    </w:p>
    <w:p>
      <w:pPr>
        <w:spacing w:after="60" w:line="276" w:lineRule="auto"/>
      </w:pPr>
      <w:r>
        <w:rPr>
          <w:rFonts w:ascii="Arial" w:hAnsi="Arial"/>
          <w:b/>
          <w:color w:val="000000"/>
          <w:sz w:val="20"/>
        </w:rPr>
        <w:t xml:space="preserve">Period: </w:t>
      </w:r>
      <w:r>
        <w:rPr>
          <w:rFonts w:ascii="Arial" w:hAnsi="Arial"/>
          <w:b w:val="0"/>
          <w:color w:val="000000"/>
          <w:sz w:val="20"/>
        </w:rPr>
        <w:t>January 2025 – Present</w:t>
      </w:r>
    </w:p>
    <w:p>
      <w:pPr>
        <w:spacing w:after="60" w:line="276" w:lineRule="auto"/>
      </w:pPr>
      <w:r>
        <w:rPr>
          <w:rFonts w:ascii="Arial" w:hAnsi="Arial"/>
          <w:b/>
          <w:color w:val="000000"/>
          <w:sz w:val="20"/>
        </w:rPr>
        <w:t xml:space="preserve">Location: </w:t>
      </w:r>
      <w:r>
        <w:rPr>
          <w:rFonts w:ascii="Arial" w:hAnsi="Arial"/>
          <w:b w:val="0"/>
          <w:color w:val="000000"/>
          <w:sz w:val="20"/>
        </w:rPr>
        <w:t>Montreal, QC, Canada</w:t>
      </w:r>
    </w:p>
    <w:p>
      <w:pPr>
        <w:spacing w:after="120" w:line="276" w:lineRule="auto"/>
      </w:pPr>
      <w:r>
        <w:rPr>
          <w:rFonts w:ascii="Arial" w:hAnsi="Arial"/>
          <w:b/>
          <w:color w:val="333333"/>
          <w:sz w:val="19"/>
        </w:rPr>
        <w:t xml:space="preserve">About: </w:t>
      </w:r>
      <w:r>
        <w:rPr>
          <w:rFonts w:ascii="Arial" w:hAnsi="Arial"/>
          <w:i/>
          <w:color w:val="333333"/>
          <w:sz w:val="19"/>
        </w:rPr>
        <w:t>ERA Consulting is a technology consulting firm specializing in ERP implementation and enterprise technology advisory services, serving mid-market and enterprise clients across North America.</w:t>
      </w:r>
    </w:p>
    <w:p>
      <w:pPr>
        <w:spacing w:before="120" w:after="120"/>
      </w:pPr>
      <w:r>
        <w:rPr>
          <w:rFonts w:ascii="Arial" w:hAnsi="Arial"/>
          <w:color w:val="666666"/>
          <w:sz w:val="16"/>
        </w:rPr>
        <w:t>[THUMBNAIL]</w:t>
      </w:r>
    </w:p>
    <w:p>
      <w:pPr>
        <w:spacing w:before="160" w:after="80" w:line="276" w:lineRule="auto"/>
        <w:jc w:val="left"/>
      </w:pPr>
      <w:r>
        <w:rPr>
          <w:rFonts w:ascii="Arial" w:hAnsi="Arial"/>
          <w:b/>
          <w:i w:val="0"/>
          <w:color w:val="000000"/>
          <w:sz w:val="22"/>
        </w:rPr>
        <w:t>KEY RESPONSIBILITIES &amp; ACHIEVEMENTS:</w:t>
      </w:r>
    </w:p>
    <w:p>
      <w:pPr>
        <w:pStyle w:val="ListBullet"/>
        <w:spacing w:after="80" w:line="276" w:lineRule="auto"/>
      </w:pPr>
      <w:r>
        <w:rPr>
          <w:rFonts w:ascii="Arial" w:hAnsi="Arial"/>
          <w:b w:val="0"/>
          <w:color w:val="000000"/>
          <w:sz w:val="21"/>
        </w:rPr>
        <w:t>Designs and delivers integrated digital transformation solutions combining ERP implementation, process optimization, and workforce training for enterprise clients.</w:t>
      </w:r>
    </w:p>
    <w:p>
      <w:pPr>
        <w:pStyle w:val="ListBullet"/>
        <w:spacing w:after="80" w:line="276" w:lineRule="auto"/>
      </w:pPr>
      <w:r>
        <w:rPr>
          <w:rFonts w:ascii="Arial" w:hAnsi="Arial"/>
          <w:b w:val="0"/>
          <w:color w:val="000000"/>
          <w:sz w:val="21"/>
        </w:rPr>
        <w:t>Led the implementation of Microsoft Business Central SaaS for Souris Mini (2024–2025), managing end-to-end delivery from requirements gathering through go-live and post-deployment support.</w:t>
      </w:r>
    </w:p>
    <w:p>
      <w:pPr>
        <w:pStyle w:val="ListBullet"/>
        <w:spacing w:after="80" w:line="276" w:lineRule="auto"/>
      </w:pPr>
      <w:r>
        <w:rPr>
          <w:rFonts w:ascii="Arial" w:hAnsi="Arial"/>
          <w:b w:val="0"/>
          <w:color w:val="000000"/>
          <w:sz w:val="21"/>
        </w:rPr>
        <w:t>Serves as senior-level advisor on enterprise technology strategy, platform selection, and implementation governance for client organizations across multiple industry sectors.</w:t>
      </w:r>
    </w:p>
    <w:p>
      <w:pPr>
        <w:pStyle w:val="ListBullet"/>
        <w:spacing w:after="80" w:line="276" w:lineRule="auto"/>
      </w:pPr>
      <w:r>
        <w:rPr>
          <w:rFonts w:ascii="Arial" w:hAnsi="Arial"/>
          <w:b w:val="0"/>
          <w:color w:val="000000"/>
          <w:sz w:val="21"/>
        </w:rPr>
        <w:t>Coordinates cross-functional project teams including solution architects, developers, and business analysts to deliver phased technology implementations on schedule and within budget.</w:t>
      </w:r>
    </w:p>
    <w:p>
      <w:pPr>
        <w:pStyle w:val="ListBullet"/>
        <w:spacing w:after="80" w:line="276" w:lineRule="auto"/>
      </w:pPr>
      <w:r>
        <w:rPr>
          <w:rFonts w:ascii="Arial" w:hAnsi="Arial"/>
          <w:b w:val="0"/>
          <w:color w:val="000000"/>
          <w:sz w:val="21"/>
        </w:rPr>
        <w:t>Develops structured training programs for client organizations to build internal capacity for technology adoption and sustained operational excellence.</w:t>
      </w:r>
    </w:p>
    <w:p>
      <w:pPr>
        <w:spacing w:before="160" w:after="80" w:line="276" w:lineRule="auto"/>
        <w:jc w:val="left"/>
      </w:pPr>
      <w:r>
        <w:rPr>
          <w:rFonts w:ascii="Arial" w:hAnsi="Arial"/>
          <w:b/>
          <w:i w:val="0"/>
          <w:color w:val="000000"/>
          <w:sz w:val="22"/>
        </w:rPr>
        <w:t>STRATEGIC IMPACTS &amp; RESULTS:</w:t>
      </w:r>
    </w:p>
    <w:p>
      <w:pPr>
        <w:pStyle w:val="ListBullet"/>
        <w:spacing w:after="80" w:line="276" w:lineRule="auto"/>
      </w:pPr>
      <w:r>
        <w:rPr>
          <w:rFonts w:ascii="Arial" w:hAnsi="Arial"/>
          <w:b w:val="0"/>
          <w:color w:val="000000"/>
          <w:sz w:val="21"/>
        </w:rPr>
        <w:t>Successful implementation of Microsoft Business Central SaaS for Souris Mini, combining process optimization, technology deployment, and user training within a single integrated engagement.</w:t>
      </w:r>
    </w:p>
    <w:p>
      <w:pPr>
        <w:pStyle w:val="ListBullet"/>
        <w:spacing w:after="80" w:line="276" w:lineRule="auto"/>
      </w:pPr>
      <w:r>
        <w:rPr>
          <w:rFonts w:ascii="Arial" w:hAnsi="Arial"/>
          <w:b w:val="0"/>
          <w:color w:val="000000"/>
          <w:sz w:val="21"/>
        </w:rPr>
        <w:t>Recommended by Florian Schmitt, Senior Consultant at ERA, who attested to the ability to manage end-to-end ERP implementations (Exhibit 23).</w:t>
      </w:r>
    </w:p>
    <w:p>
      <w:pPr>
        <w:pStyle w:val="ListBullet"/>
        <w:spacing w:after="80" w:line="276" w:lineRule="auto"/>
      </w:pPr>
      <w:r>
        <w:rPr>
          <w:rFonts w:ascii="Arial" w:hAnsi="Arial"/>
          <w:b w:val="0"/>
          <w:color w:val="000000"/>
          <w:sz w:val="21"/>
        </w:rPr>
        <w:t>Current position serves as a bridge to the full-time operation of DRM Solutions LLC, applying the integrated methodology developed across 17 years and nine organizations.</w:t>
      </w:r>
    </w:p>
    <w:p>
      <w:pPr>
        <w:spacing w:before="120" w:after="120"/>
        <w:pBdr>
          <w:bottom w:val="single" w:sz="4" w:space="1" w:color="CCCCCC"/>
        </w:pBdr>
      </w:pPr>
    </w:p>
    <w:p>
      <w:pPr>
        <w:spacing w:before="240" w:after="120" w:line="276" w:lineRule="auto"/>
        <w:jc w:val="left"/>
      </w:pPr>
      <w:r>
        <w:rPr>
          <w:rFonts w:ascii="Arial" w:hAnsi="Arial"/>
          <w:b/>
          <w:i w:val="0"/>
          <w:color w:val="000000"/>
          <w:sz w:val="24"/>
        </w:rPr>
        <w:t>VERSSUR</w:t>
      </w:r>
    </w:p>
    <w:p>
      <w:pPr>
        <w:spacing w:after="60" w:line="276" w:lineRule="auto"/>
      </w:pPr>
      <w:r>
        <w:rPr>
          <w:rFonts w:ascii="Arial" w:hAnsi="Arial"/>
          <w:b/>
          <w:color w:val="000000"/>
          <w:sz w:val="20"/>
        </w:rPr>
        <w:t xml:space="preserve">Role: </w:t>
      </w:r>
      <w:r>
        <w:rPr>
          <w:rFonts w:ascii="Arial" w:hAnsi="Arial"/>
          <w:b w:val="0"/>
          <w:color w:val="000000"/>
          <w:sz w:val="20"/>
        </w:rPr>
        <w:t>Senior Technology Consultant</w:t>
      </w:r>
    </w:p>
    <w:p>
      <w:pPr>
        <w:spacing w:after="60" w:line="276" w:lineRule="auto"/>
      </w:pPr>
      <w:r>
        <w:rPr>
          <w:rFonts w:ascii="Arial" w:hAnsi="Arial"/>
          <w:b/>
          <w:color w:val="000000"/>
          <w:sz w:val="20"/>
        </w:rPr>
        <w:t xml:space="preserve">Period: </w:t>
      </w:r>
      <w:r>
        <w:rPr>
          <w:rFonts w:ascii="Arial" w:hAnsi="Arial"/>
          <w:b w:val="0"/>
          <w:color w:val="000000"/>
          <w:sz w:val="20"/>
        </w:rPr>
        <w:t>January 2022 – December 2024</w:t>
      </w:r>
    </w:p>
    <w:p>
      <w:pPr>
        <w:spacing w:after="60" w:line="276" w:lineRule="auto"/>
      </w:pPr>
      <w:r>
        <w:rPr>
          <w:rFonts w:ascii="Arial" w:hAnsi="Arial"/>
          <w:b/>
          <w:color w:val="000000"/>
          <w:sz w:val="20"/>
        </w:rPr>
        <w:t xml:space="preserve">Location: </w:t>
      </w:r>
      <w:r>
        <w:rPr>
          <w:rFonts w:ascii="Arial" w:hAnsi="Arial"/>
          <w:b w:val="0"/>
          <w:color w:val="000000"/>
          <w:sz w:val="20"/>
        </w:rPr>
        <w:t>Multinational — Operations across 4 continents</w:t>
      </w:r>
    </w:p>
    <w:p>
      <w:pPr>
        <w:spacing w:after="120" w:line="276" w:lineRule="auto"/>
      </w:pPr>
      <w:r>
        <w:rPr>
          <w:rFonts w:ascii="Arial" w:hAnsi="Arial"/>
          <w:b/>
          <w:color w:val="333333"/>
          <w:sz w:val="19"/>
        </w:rPr>
        <w:t xml:space="preserve">About: </w:t>
      </w:r>
      <w:r>
        <w:rPr>
          <w:rFonts w:ascii="Arial" w:hAnsi="Arial"/>
          <w:i/>
          <w:color w:val="333333"/>
          <w:sz w:val="19"/>
        </w:rPr>
        <w:t>Verssur is a multinational technology consulting firm operating across four continents, providing business intelligence, enterprise technology advisory, and digital transformation services to mid-market and enterprise clients worldwide.</w:t>
      </w:r>
    </w:p>
    <w:p>
      <w:pPr>
        <w:spacing w:before="120" w:after="120"/>
      </w:pPr>
      <w:r>
        <w:rPr>
          <w:rFonts w:ascii="Arial" w:hAnsi="Arial"/>
          <w:color w:val="666666"/>
          <w:sz w:val="16"/>
        </w:rPr>
        <w:t>[THUMBNAIL]</w:t>
      </w:r>
    </w:p>
    <w:p>
      <w:pPr>
        <w:spacing w:before="160" w:after="80" w:line="276" w:lineRule="auto"/>
        <w:jc w:val="left"/>
      </w:pPr>
      <w:r>
        <w:rPr>
          <w:rFonts w:ascii="Arial" w:hAnsi="Arial"/>
          <w:b/>
          <w:i w:val="0"/>
          <w:color w:val="000000"/>
          <w:sz w:val="22"/>
        </w:rPr>
        <w:t>KEY RESPONSIBILITIES &amp; ACHIEVEMENTS:</w:t>
      </w:r>
    </w:p>
    <w:p>
      <w:pPr>
        <w:pStyle w:val="ListBullet"/>
        <w:spacing w:after="80" w:line="276" w:lineRule="auto"/>
      </w:pPr>
      <w:r>
        <w:rPr>
          <w:rFonts w:ascii="Arial" w:hAnsi="Arial"/>
          <w:b w:val="0"/>
          <w:color w:val="000000"/>
          <w:sz w:val="21"/>
        </w:rPr>
        <w:t>Designed and implemented business intelligence solutions across diverse cultural, regulatory, and operational contexts in North America, South America, Europe, and Asia.</w:t>
      </w:r>
    </w:p>
    <w:p>
      <w:pPr>
        <w:pStyle w:val="ListBullet"/>
        <w:spacing w:after="80" w:line="276" w:lineRule="auto"/>
      </w:pPr>
      <w:r>
        <w:rPr>
          <w:rFonts w:ascii="Arial" w:hAnsi="Arial"/>
          <w:b w:val="0"/>
          <w:color w:val="000000"/>
          <w:sz w:val="21"/>
        </w:rPr>
        <w:t>Selected, deployed, and governed BI platforms for multinational client environments, ensuring alignment with local regulatory requirements and business practices.</w:t>
      </w:r>
    </w:p>
    <w:p>
      <w:pPr>
        <w:pStyle w:val="ListBullet"/>
        <w:spacing w:after="80" w:line="276" w:lineRule="auto"/>
      </w:pPr>
      <w:r>
        <w:rPr>
          <w:rFonts w:ascii="Arial" w:hAnsi="Arial"/>
          <w:b w:val="0"/>
          <w:color w:val="000000"/>
          <w:sz w:val="21"/>
        </w:rPr>
        <w:t>Provided technology strategy advisory services to mid-market and enterprise clients, bridging the gap between technical capabilities and business objectives.</w:t>
      </w:r>
    </w:p>
    <w:p>
      <w:pPr>
        <w:pStyle w:val="ListBullet"/>
        <w:spacing w:after="80" w:line="276" w:lineRule="auto"/>
      </w:pPr>
      <w:r>
        <w:rPr>
          <w:rFonts w:ascii="Arial" w:hAnsi="Arial"/>
          <w:b w:val="0"/>
          <w:color w:val="000000"/>
          <w:sz w:val="21"/>
        </w:rPr>
        <w:t>Integrated BI solutions with existing ERP and operational systems to create unified analytics environments enabling real-time decision-making across geographic boundaries.</w:t>
      </w:r>
    </w:p>
    <w:p>
      <w:pPr>
        <w:pStyle w:val="ListBullet"/>
        <w:spacing w:after="80" w:line="276" w:lineRule="auto"/>
      </w:pPr>
      <w:r>
        <w:rPr>
          <w:rFonts w:ascii="Arial" w:hAnsi="Arial"/>
          <w:b w:val="0"/>
          <w:color w:val="000000"/>
          <w:sz w:val="21"/>
        </w:rPr>
        <w:t>Led cross-cultural consulting delivery, adapting communication, project management, and training methodologies to diverse business environments across four continents.</w:t>
      </w:r>
    </w:p>
    <w:p>
      <w:pPr>
        <w:spacing w:before="160" w:after="80" w:line="276" w:lineRule="auto"/>
        <w:jc w:val="left"/>
      </w:pPr>
      <w:r>
        <w:rPr>
          <w:rFonts w:ascii="Arial" w:hAnsi="Arial"/>
          <w:b/>
          <w:i w:val="0"/>
          <w:color w:val="000000"/>
          <w:sz w:val="22"/>
        </w:rPr>
        <w:t>STRATEGIC IMPACTS &amp; RESULTS:</w:t>
      </w:r>
    </w:p>
    <w:p>
      <w:pPr>
        <w:pStyle w:val="ListBullet"/>
        <w:spacing w:after="80" w:line="276" w:lineRule="auto"/>
      </w:pPr>
      <w:r>
        <w:rPr>
          <w:rFonts w:ascii="Arial" w:hAnsi="Arial"/>
          <w:b w:val="0"/>
          <w:color w:val="000000"/>
          <w:sz w:val="21"/>
        </w:rPr>
        <w:t>Delivered BI solutions across four continents, demonstrating cross-border adaptability directly transferable to serving the diverse American SME market.</w:t>
      </w:r>
    </w:p>
    <w:p>
      <w:pPr>
        <w:pStyle w:val="ListBullet"/>
        <w:spacing w:after="80" w:line="276" w:lineRule="auto"/>
      </w:pPr>
      <w:r>
        <w:rPr>
          <w:rFonts w:ascii="Arial" w:hAnsi="Arial"/>
          <w:b w:val="0"/>
          <w:color w:val="000000"/>
          <w:sz w:val="21"/>
        </w:rPr>
        <w:t>Refined ability to adapt technology solutions to different regulatory environments, cultural contexts, and operational norms — a capability directly relevant to the proposed endeavor in the United States.</w:t>
      </w:r>
    </w:p>
    <w:p>
      <w:pPr>
        <w:pStyle w:val="ListBullet"/>
        <w:spacing w:after="80" w:line="276" w:lineRule="auto"/>
      </w:pPr>
      <w:r>
        <w:rPr>
          <w:rFonts w:ascii="Arial" w:hAnsi="Arial"/>
          <w:b w:val="0"/>
          <w:color w:val="000000"/>
          <w:sz w:val="21"/>
        </w:rPr>
        <w:t>Recommended by Francisco Edgar, who corroborated the ability to deliver BI solutions across diverse geographic and regulatory contexts (Exhibit 31).</w:t>
      </w:r>
    </w:p>
    <w:p>
      <w:pPr>
        <w:spacing w:before="120" w:after="120"/>
        <w:pBdr>
          <w:bottom w:val="single" w:sz="4" w:space="1" w:color="CCCCCC"/>
        </w:pBdr>
      </w:pPr>
    </w:p>
    <w:p>
      <w:pPr>
        <w:spacing w:before="240" w:after="120" w:line="276" w:lineRule="auto"/>
        <w:jc w:val="left"/>
      </w:pPr>
      <w:r>
        <w:rPr>
          <w:rFonts w:ascii="Arial" w:hAnsi="Arial"/>
          <w:b/>
          <w:i w:val="0"/>
          <w:color w:val="000000"/>
          <w:sz w:val="24"/>
        </w:rPr>
        <w:t>SOLLIO AGRICULTURE (Formerly La Coop fédérée)</w:t>
      </w:r>
    </w:p>
    <w:p>
      <w:pPr>
        <w:spacing w:after="60" w:line="276" w:lineRule="auto"/>
      </w:pPr>
      <w:r>
        <w:rPr>
          <w:rFonts w:ascii="Arial" w:hAnsi="Arial"/>
          <w:b/>
          <w:color w:val="000000"/>
          <w:sz w:val="20"/>
        </w:rPr>
        <w:t xml:space="preserve">Role: </w:t>
      </w:r>
      <w:r>
        <w:rPr>
          <w:rFonts w:ascii="Arial" w:hAnsi="Arial"/>
          <w:b w:val="0"/>
          <w:color w:val="000000"/>
          <w:sz w:val="20"/>
        </w:rPr>
        <w:t>Enterprise Transformation Lead</w:t>
      </w:r>
    </w:p>
    <w:p>
      <w:pPr>
        <w:spacing w:after="60" w:line="276" w:lineRule="auto"/>
      </w:pPr>
      <w:r>
        <w:rPr>
          <w:rFonts w:ascii="Arial" w:hAnsi="Arial"/>
          <w:b/>
          <w:color w:val="000000"/>
          <w:sz w:val="20"/>
        </w:rPr>
        <w:t xml:space="preserve">Period: </w:t>
      </w:r>
      <w:r>
        <w:rPr>
          <w:rFonts w:ascii="Arial" w:hAnsi="Arial"/>
          <w:b w:val="0"/>
          <w:color w:val="000000"/>
          <w:sz w:val="20"/>
        </w:rPr>
        <w:t>January 2020 – December 2021</w:t>
      </w:r>
    </w:p>
    <w:p>
      <w:pPr>
        <w:spacing w:after="60" w:line="276" w:lineRule="auto"/>
      </w:pPr>
      <w:r>
        <w:rPr>
          <w:rFonts w:ascii="Arial" w:hAnsi="Arial"/>
          <w:b/>
          <w:color w:val="000000"/>
          <w:sz w:val="20"/>
        </w:rPr>
        <w:t xml:space="preserve">Location: </w:t>
      </w:r>
      <w:r>
        <w:rPr>
          <w:rFonts w:ascii="Arial" w:hAnsi="Arial"/>
          <w:b w:val="0"/>
          <w:color w:val="000000"/>
          <w:sz w:val="20"/>
        </w:rPr>
        <w:t>Montreal, QC, Canada</w:t>
      </w:r>
    </w:p>
    <w:p>
      <w:pPr>
        <w:spacing w:after="120" w:line="276" w:lineRule="auto"/>
      </w:pPr>
      <w:r>
        <w:rPr>
          <w:rFonts w:ascii="Arial" w:hAnsi="Arial"/>
          <w:b/>
          <w:color w:val="333333"/>
          <w:sz w:val="19"/>
        </w:rPr>
        <w:t xml:space="preserve">About: </w:t>
      </w:r>
      <w:r>
        <w:rPr>
          <w:rFonts w:ascii="Arial" w:hAnsi="Arial"/>
          <w:i/>
          <w:color w:val="333333"/>
          <w:sz w:val="19"/>
        </w:rPr>
        <w:t>Sollio Group (formerly La Coop fédérée) is one of the largest agricultural cooperatives in Canada, operating in a sector subject to the Food Safety Modernization Act (FSMA) for its U.S.-bound operations, with over 300 employees.</w:t>
      </w:r>
    </w:p>
    <w:p>
      <w:pPr>
        <w:spacing w:before="120" w:after="120"/>
      </w:pPr>
      <w:r>
        <w:rPr>
          <w:rFonts w:ascii="Arial" w:hAnsi="Arial"/>
          <w:color w:val="666666"/>
          <w:sz w:val="16"/>
        </w:rPr>
        <w:t>[THUMBNAIL]</w:t>
      </w:r>
    </w:p>
    <w:p>
      <w:pPr>
        <w:spacing w:before="160" w:after="80" w:line="276" w:lineRule="auto"/>
        <w:jc w:val="left"/>
      </w:pPr>
      <w:r>
        <w:rPr>
          <w:rFonts w:ascii="Arial" w:hAnsi="Arial"/>
          <w:b/>
          <w:i w:val="0"/>
          <w:color w:val="000000"/>
          <w:sz w:val="22"/>
        </w:rPr>
        <w:t>KEY RESPONSIBILITIES &amp; ACHIEVEMENTS:</w:t>
      </w:r>
    </w:p>
    <w:p>
      <w:pPr>
        <w:pStyle w:val="ListBullet"/>
        <w:spacing w:after="80" w:line="276" w:lineRule="auto"/>
      </w:pPr>
      <w:r>
        <w:rPr>
          <w:rFonts w:ascii="Arial" w:hAnsi="Arial"/>
          <w:b w:val="0"/>
          <w:color w:val="000000"/>
          <w:sz w:val="21"/>
        </w:rPr>
        <w:t>Designed and managed a holistic enterprise transformation program integrating ERP implementation, BI deployment, FSMA regulatory compliance, and workforce training — the first engagement executing all five domains within a single project.</w:t>
      </w:r>
    </w:p>
    <w:p>
      <w:pPr>
        <w:pStyle w:val="ListBullet"/>
        <w:spacing w:after="80" w:line="276" w:lineRule="auto"/>
      </w:pPr>
      <w:r>
        <w:rPr>
          <w:rFonts w:ascii="Arial" w:hAnsi="Arial"/>
          <w:b w:val="0"/>
          <w:color w:val="000000"/>
          <w:sz w:val="21"/>
        </w:rPr>
        <w:t>Led the implementation of digital traceability systems to meet federal FSMA compliance requirements for U.S.-bound agricultural products.</w:t>
      </w:r>
    </w:p>
    <w:p>
      <w:pPr>
        <w:pStyle w:val="ListBullet"/>
        <w:spacing w:after="80" w:line="276" w:lineRule="auto"/>
      </w:pPr>
      <w:r>
        <w:rPr>
          <w:rFonts w:ascii="Arial" w:hAnsi="Arial"/>
          <w:b w:val="0"/>
          <w:color w:val="000000"/>
          <w:sz w:val="21"/>
        </w:rPr>
        <w:t>Developed and deployed integrated ERP, BI, and automated reporting workflows to optimize operational processes across the organization's supply chain.</w:t>
      </w:r>
    </w:p>
    <w:p>
      <w:pPr>
        <w:pStyle w:val="ListBullet"/>
        <w:spacing w:after="80" w:line="276" w:lineRule="auto"/>
      </w:pPr>
      <w:r>
        <w:rPr>
          <w:rFonts w:ascii="Arial" w:hAnsi="Arial"/>
          <w:b w:val="0"/>
          <w:color w:val="000000"/>
          <w:sz w:val="21"/>
        </w:rPr>
        <w:t>Designed and delivered a structured training program for 300+ employees across operational, compliance, and technology functions.</w:t>
      </w:r>
    </w:p>
    <w:p>
      <w:pPr>
        <w:pStyle w:val="ListBullet"/>
        <w:spacing w:after="80" w:line="276" w:lineRule="auto"/>
      </w:pPr>
      <w:r>
        <w:rPr>
          <w:rFonts w:ascii="Arial" w:hAnsi="Arial"/>
          <w:b w:val="0"/>
          <w:color w:val="000000"/>
          <w:sz w:val="21"/>
        </w:rPr>
        <w:t>Coordinated multi-stakeholder communication between agricultural operations, technology teams, regulatory compliance officers, and executive leadership.</w:t>
      </w:r>
    </w:p>
    <w:p>
      <w:pPr>
        <w:pStyle w:val="ListBullet"/>
        <w:spacing w:after="80" w:line="276" w:lineRule="auto"/>
      </w:pPr>
      <w:r>
        <w:rPr>
          <w:rFonts w:ascii="Arial" w:hAnsi="Arial"/>
          <w:b w:val="0"/>
          <w:color w:val="000000"/>
          <w:sz w:val="21"/>
        </w:rPr>
        <w:t>Established post-implementation monitoring and continuous improvement processes to ensure sustained compliance and operational excellence.</w:t>
      </w:r>
    </w:p>
    <w:p>
      <w:pPr>
        <w:spacing w:before="160" w:after="80" w:line="276" w:lineRule="auto"/>
        <w:jc w:val="left"/>
      </w:pPr>
      <w:r>
        <w:rPr>
          <w:rFonts w:ascii="Arial" w:hAnsi="Arial"/>
          <w:b/>
          <w:i w:val="0"/>
          <w:color w:val="000000"/>
          <w:sz w:val="22"/>
        </w:rPr>
        <w:t>STRATEGIC IMPACTS &amp; RESULTS:</w:t>
      </w:r>
    </w:p>
    <w:p>
      <w:pPr>
        <w:pStyle w:val="ListBullet"/>
        <w:spacing w:after="80" w:line="276" w:lineRule="auto"/>
      </w:pPr>
      <w:r>
        <w:rPr>
          <w:rFonts w:ascii="Arial" w:hAnsi="Arial"/>
          <w:b w:val="0"/>
          <w:color w:val="000000"/>
          <w:sz w:val="21"/>
        </w:rPr>
        <w:t>Achieved zero findings in federal FSMA audit, demonstrating the viability of integrated technology-compliance solutions for regulated food industry operations (Exhibit 18).</w:t>
      </w:r>
    </w:p>
    <w:p>
      <w:pPr>
        <w:pStyle w:val="ListBullet"/>
        <w:spacing w:after="80" w:line="276" w:lineRule="auto"/>
      </w:pPr>
      <w:r>
        <w:rPr>
          <w:rFonts w:ascii="Arial" w:hAnsi="Arial"/>
          <w:b w:val="0"/>
          <w:color w:val="000000"/>
          <w:sz w:val="21"/>
        </w:rPr>
        <w:t>Reduced product traceability time by 75% — from 8 hours to 2 hours — through integration of ERP, BI, and automated reporting workflows.</w:t>
      </w:r>
    </w:p>
    <w:p>
      <w:pPr>
        <w:pStyle w:val="ListBullet"/>
        <w:spacing w:after="80" w:line="276" w:lineRule="auto"/>
      </w:pPr>
      <w:r>
        <w:rPr>
          <w:rFonts w:ascii="Arial" w:hAnsi="Arial"/>
          <w:b w:val="0"/>
          <w:color w:val="000000"/>
          <w:sz w:val="21"/>
        </w:rPr>
        <w:t>Trained 300+ employees across operational, compliance, and technology functions, building internal capacity for sustained technology adoption.</w:t>
      </w:r>
    </w:p>
    <w:p>
      <w:pPr>
        <w:pStyle w:val="ListBullet"/>
        <w:spacing w:after="80" w:line="276" w:lineRule="auto"/>
      </w:pPr>
      <w:r>
        <w:rPr>
          <w:rFonts w:ascii="Arial" w:hAnsi="Arial"/>
          <w:b w:val="0"/>
          <w:color w:val="000000"/>
          <w:sz w:val="21"/>
        </w:rPr>
        <w:t>Served as the proof-of-concept for the DRM Success Framework, demonstrating that the five-domain integration approach (ERP + BI + RPA + Compliance + Training) produces superior outcomes compared to siloed implementations.</w:t>
      </w:r>
    </w:p>
    <w:p>
      <w:pPr>
        <w:spacing w:before="120" w:after="120"/>
        <w:pBdr>
          <w:bottom w:val="single" w:sz="4" w:space="1" w:color="CCCCCC"/>
        </w:pBdr>
      </w:pPr>
    </w:p>
    <w:p>
      <w:pPr>
        <w:spacing w:before="240" w:after="120" w:line="276" w:lineRule="auto"/>
        <w:jc w:val="left"/>
      </w:pPr>
      <w:r>
        <w:rPr>
          <w:rFonts w:ascii="Arial" w:hAnsi="Arial"/>
          <w:b/>
          <w:i w:val="0"/>
          <w:color w:val="000000"/>
          <w:sz w:val="24"/>
        </w:rPr>
        <w:t>NEXUS INNOVATION</w:t>
      </w:r>
    </w:p>
    <w:p>
      <w:pPr>
        <w:spacing w:after="60" w:line="276" w:lineRule="auto"/>
      </w:pPr>
      <w:r>
        <w:rPr>
          <w:rFonts w:ascii="Arial" w:hAnsi="Arial"/>
          <w:b/>
          <w:color w:val="000000"/>
          <w:sz w:val="20"/>
        </w:rPr>
        <w:t xml:space="preserve">Role: </w:t>
      </w:r>
      <w:r>
        <w:rPr>
          <w:rFonts w:ascii="Arial" w:hAnsi="Arial"/>
          <w:b w:val="0"/>
          <w:color w:val="000000"/>
          <w:sz w:val="20"/>
        </w:rPr>
        <w:t>SAP Business One Consultant</w:t>
      </w:r>
    </w:p>
    <w:p>
      <w:pPr>
        <w:spacing w:after="60" w:line="276" w:lineRule="auto"/>
      </w:pPr>
      <w:r>
        <w:rPr>
          <w:rFonts w:ascii="Arial" w:hAnsi="Arial"/>
          <w:b/>
          <w:color w:val="000000"/>
          <w:sz w:val="20"/>
        </w:rPr>
        <w:t xml:space="preserve">Period: </w:t>
      </w:r>
      <w:r>
        <w:rPr>
          <w:rFonts w:ascii="Arial" w:hAnsi="Arial"/>
          <w:b w:val="0"/>
          <w:color w:val="000000"/>
          <w:sz w:val="20"/>
        </w:rPr>
        <w:t>January 2019 – December 2020</w:t>
      </w:r>
    </w:p>
    <w:p>
      <w:pPr>
        <w:spacing w:after="60" w:line="276" w:lineRule="auto"/>
      </w:pPr>
      <w:r>
        <w:rPr>
          <w:rFonts w:ascii="Arial" w:hAnsi="Arial"/>
          <w:b/>
          <w:color w:val="000000"/>
          <w:sz w:val="20"/>
        </w:rPr>
        <w:t xml:space="preserve">Location: </w:t>
      </w:r>
      <w:r>
        <w:rPr>
          <w:rFonts w:ascii="Arial" w:hAnsi="Arial"/>
          <w:b w:val="0"/>
          <w:color w:val="000000"/>
          <w:sz w:val="20"/>
        </w:rPr>
        <w:t>Montreal, QC, Canada</w:t>
      </w:r>
    </w:p>
    <w:p>
      <w:pPr>
        <w:spacing w:after="120" w:line="276" w:lineRule="auto"/>
      </w:pPr>
      <w:r>
        <w:rPr>
          <w:rFonts w:ascii="Arial" w:hAnsi="Arial"/>
          <w:b/>
          <w:color w:val="333333"/>
          <w:sz w:val="19"/>
        </w:rPr>
        <w:t xml:space="preserve">About: </w:t>
      </w:r>
      <w:r>
        <w:rPr>
          <w:rFonts w:ascii="Arial" w:hAnsi="Arial"/>
          <w:i/>
          <w:color w:val="333333"/>
          <w:sz w:val="19"/>
        </w:rPr>
        <w:t>Nexus Innovation is a technology consulting firm focused on SME-scale ERP implementations, particularly SAP Business One, serving small and medium-sized enterprises across multiple industry sectors in Canada.</w:t>
      </w:r>
    </w:p>
    <w:p>
      <w:pPr>
        <w:spacing w:before="120" w:after="120"/>
      </w:pPr>
      <w:r>
        <w:rPr>
          <w:rFonts w:ascii="Arial" w:hAnsi="Arial"/>
          <w:color w:val="666666"/>
          <w:sz w:val="16"/>
        </w:rPr>
        <w:t>[THUMBNAIL]</w:t>
      </w:r>
    </w:p>
    <w:p>
      <w:pPr>
        <w:spacing w:before="160" w:after="80" w:line="276" w:lineRule="auto"/>
        <w:jc w:val="left"/>
      </w:pPr>
      <w:r>
        <w:rPr>
          <w:rFonts w:ascii="Arial" w:hAnsi="Arial"/>
          <w:b/>
          <w:i w:val="0"/>
          <w:color w:val="000000"/>
          <w:sz w:val="22"/>
        </w:rPr>
        <w:t>KEY RESPONSIBILITIES &amp; ACHIEVEMENTS:</w:t>
      </w:r>
    </w:p>
    <w:p>
      <w:pPr>
        <w:pStyle w:val="ListBullet"/>
        <w:spacing w:after="80" w:line="276" w:lineRule="auto"/>
      </w:pPr>
      <w:r>
        <w:rPr>
          <w:rFonts w:ascii="Arial" w:hAnsi="Arial"/>
          <w:b w:val="0"/>
          <w:color w:val="000000"/>
          <w:sz w:val="21"/>
        </w:rPr>
        <w:t>Implemented SAP Business One for 10+ SME clients simultaneously across multiple industry sectors, managing full lifecycle from requirements gathering through go-live.</w:t>
      </w:r>
    </w:p>
    <w:p>
      <w:pPr>
        <w:pStyle w:val="ListBullet"/>
        <w:spacing w:after="80" w:line="276" w:lineRule="auto"/>
      </w:pPr>
      <w:r>
        <w:rPr>
          <w:rFonts w:ascii="Arial" w:hAnsi="Arial"/>
          <w:b w:val="0"/>
          <w:color w:val="000000"/>
          <w:sz w:val="21"/>
        </w:rPr>
        <w:t>Conducted first systematic identification of RPA opportunities within SME client environments — processes previously handled manually that could be automated.</w:t>
      </w:r>
    </w:p>
    <w:p>
      <w:pPr>
        <w:pStyle w:val="ListBullet"/>
        <w:spacing w:after="80" w:line="276" w:lineRule="auto"/>
      </w:pPr>
      <w:r>
        <w:rPr>
          <w:rFonts w:ascii="Arial" w:hAnsi="Arial"/>
          <w:b w:val="0"/>
          <w:color w:val="000000"/>
          <w:sz w:val="21"/>
        </w:rPr>
        <w:t>Developed standardized implementation methodology for SME-scale deployments, creating the modular, scalable approach that later evolved into the DRM Success Framework.</w:t>
      </w:r>
    </w:p>
    <w:p>
      <w:pPr>
        <w:pStyle w:val="ListBullet"/>
        <w:spacing w:after="80" w:line="276" w:lineRule="auto"/>
      </w:pPr>
      <w:r>
        <w:rPr>
          <w:rFonts w:ascii="Arial" w:hAnsi="Arial"/>
          <w:b w:val="0"/>
          <w:color w:val="000000"/>
          <w:sz w:val="21"/>
        </w:rPr>
        <w:t>Delivered client training and post-go-live support to ensure sustained technology adoption and operational continuity.</w:t>
      </w:r>
    </w:p>
    <w:p>
      <w:pPr>
        <w:pStyle w:val="ListBullet"/>
        <w:spacing w:after="80" w:line="276" w:lineRule="auto"/>
      </w:pPr>
      <w:r>
        <w:rPr>
          <w:rFonts w:ascii="Arial" w:hAnsi="Arial"/>
          <w:b w:val="0"/>
          <w:color w:val="000000"/>
          <w:sz w:val="21"/>
        </w:rPr>
        <w:t>Managed multi-stakeholder relationships across diverse SME environments, each with different industry contexts, regulatory requirements, and organizational constraints.</w:t>
      </w:r>
    </w:p>
    <w:p>
      <w:pPr>
        <w:spacing w:before="160" w:after="80" w:line="276" w:lineRule="auto"/>
        <w:jc w:val="left"/>
      </w:pPr>
      <w:r>
        <w:rPr>
          <w:rFonts w:ascii="Arial" w:hAnsi="Arial"/>
          <w:b/>
          <w:i w:val="0"/>
          <w:color w:val="000000"/>
          <w:sz w:val="22"/>
        </w:rPr>
        <w:t>STRATEGIC IMPACTS &amp; RESULTS:</w:t>
      </w:r>
    </w:p>
    <w:p>
      <w:pPr>
        <w:pStyle w:val="ListBullet"/>
        <w:spacing w:after="80" w:line="276" w:lineRule="auto"/>
      </w:pPr>
      <w:r>
        <w:rPr>
          <w:rFonts w:ascii="Arial" w:hAnsi="Arial"/>
          <w:b w:val="0"/>
          <w:color w:val="000000"/>
          <w:sz w:val="21"/>
        </w:rPr>
        <w:t>Successfully delivered 10+ simultaneous SME implementation projects across multiple industry sectors, demonstrating scalability of the SME-focused consulting model.</w:t>
      </w:r>
    </w:p>
    <w:p>
      <w:pPr>
        <w:pStyle w:val="ListBullet"/>
        <w:spacing w:after="80" w:line="276" w:lineRule="auto"/>
      </w:pPr>
      <w:r>
        <w:rPr>
          <w:rFonts w:ascii="Arial" w:hAnsi="Arial"/>
          <w:b w:val="0"/>
          <w:color w:val="000000"/>
          <w:sz w:val="21"/>
        </w:rPr>
        <w:t>Identified the structural gap in the SME market: need for integrated solutions combining ERP, BI, compliance, and training — directly inspiring the creation of DRM Solutions LLC.</w:t>
      </w:r>
    </w:p>
    <w:p>
      <w:pPr>
        <w:pStyle w:val="ListBullet"/>
        <w:spacing w:after="80" w:line="276" w:lineRule="auto"/>
      </w:pPr>
      <w:r>
        <w:rPr>
          <w:rFonts w:ascii="Arial" w:hAnsi="Arial"/>
          <w:b w:val="0"/>
          <w:color w:val="000000"/>
          <w:sz w:val="21"/>
        </w:rPr>
        <w:t>Recommended by Mathieu Boldireff, who corroborated the role in managing 10+ simultaneous SME implementation projects (Exhibit 27).</w:t>
      </w:r>
    </w:p>
    <w:p>
      <w:pPr>
        <w:pStyle w:val="ListBullet"/>
        <w:spacing w:after="80" w:line="276" w:lineRule="auto"/>
      </w:pPr>
      <w:r>
        <w:rPr>
          <w:rFonts w:ascii="Arial" w:hAnsi="Arial"/>
          <w:b w:val="0"/>
          <w:color w:val="000000"/>
          <w:sz w:val="21"/>
        </w:rPr>
        <w:t>Marked the deliberate transition from large enterprise environments to the SME segment, driven by the observation that SMEs were dramatically underserved by existing providers.</w:t>
      </w:r>
    </w:p>
    <w:p>
      <w:pPr>
        <w:spacing w:before="120" w:after="120"/>
        <w:pBdr>
          <w:bottom w:val="single" w:sz="4" w:space="1" w:color="CCCCCC"/>
        </w:pBdr>
      </w:pPr>
    </w:p>
    <w:p>
      <w:pPr>
        <w:spacing w:before="240" w:after="120" w:line="276" w:lineRule="auto"/>
        <w:jc w:val="left"/>
      </w:pPr>
      <w:r>
        <w:rPr>
          <w:rFonts w:ascii="Arial" w:hAnsi="Arial"/>
          <w:b/>
          <w:i w:val="0"/>
          <w:color w:val="000000"/>
          <w:sz w:val="24"/>
        </w:rPr>
        <w:t>PUBLIC SECTOR PENSION INVESTMENT BOARD (PSP INVESTMENTS)</w:t>
      </w:r>
    </w:p>
    <w:p>
      <w:pPr>
        <w:spacing w:after="60" w:line="276" w:lineRule="auto"/>
      </w:pPr>
      <w:r>
        <w:rPr>
          <w:rFonts w:ascii="Arial" w:hAnsi="Arial"/>
          <w:b/>
          <w:color w:val="000000"/>
          <w:sz w:val="20"/>
        </w:rPr>
        <w:t xml:space="preserve">Role: </w:t>
      </w:r>
      <w:r>
        <w:rPr>
          <w:rFonts w:ascii="Arial" w:hAnsi="Arial"/>
          <w:b w:val="0"/>
          <w:color w:val="000000"/>
          <w:sz w:val="20"/>
        </w:rPr>
        <w:t>IT Project Manager</w:t>
      </w:r>
    </w:p>
    <w:p>
      <w:pPr>
        <w:spacing w:after="60" w:line="276" w:lineRule="auto"/>
      </w:pPr>
      <w:r>
        <w:rPr>
          <w:rFonts w:ascii="Arial" w:hAnsi="Arial"/>
          <w:b/>
          <w:color w:val="000000"/>
          <w:sz w:val="20"/>
        </w:rPr>
        <w:t xml:space="preserve">Period: </w:t>
      </w:r>
      <w:r>
        <w:rPr>
          <w:rFonts w:ascii="Arial" w:hAnsi="Arial"/>
          <w:b w:val="0"/>
          <w:color w:val="000000"/>
          <w:sz w:val="20"/>
        </w:rPr>
        <w:t>January 2018 – December 2019</w:t>
      </w:r>
    </w:p>
    <w:p>
      <w:pPr>
        <w:spacing w:after="60" w:line="276" w:lineRule="auto"/>
      </w:pPr>
      <w:r>
        <w:rPr>
          <w:rFonts w:ascii="Arial" w:hAnsi="Arial"/>
          <w:b/>
          <w:color w:val="000000"/>
          <w:sz w:val="20"/>
        </w:rPr>
        <w:t xml:space="preserve">Location: </w:t>
      </w:r>
      <w:r>
        <w:rPr>
          <w:rFonts w:ascii="Arial" w:hAnsi="Arial"/>
          <w:b w:val="0"/>
          <w:color w:val="000000"/>
          <w:sz w:val="20"/>
        </w:rPr>
        <w:t>Montreal, QC, Canada</w:t>
      </w:r>
    </w:p>
    <w:p>
      <w:pPr>
        <w:spacing w:after="60" w:line="276" w:lineRule="auto"/>
      </w:pPr>
      <w:r>
        <w:rPr>
          <w:rFonts w:ascii="Arial" w:hAnsi="Arial"/>
          <w:b/>
          <w:color w:val="000000"/>
          <w:sz w:val="20"/>
        </w:rPr>
        <w:t xml:space="preserve">Website: </w:t>
      </w:r>
      <w:r>
        <w:rPr>
          <w:rFonts w:ascii="Arial" w:hAnsi="Arial"/>
          <w:b w:val="0"/>
          <w:color w:val="000000"/>
          <w:sz w:val="20"/>
        </w:rPr>
        <w:t>https://www.investpsp.com</w:t>
      </w:r>
    </w:p>
    <w:p>
      <w:pPr>
        <w:spacing w:after="120" w:line="276" w:lineRule="auto"/>
      </w:pPr>
      <w:r>
        <w:rPr>
          <w:rFonts w:ascii="Arial" w:hAnsi="Arial"/>
          <w:b/>
          <w:color w:val="333333"/>
          <w:sz w:val="19"/>
        </w:rPr>
        <w:t xml:space="preserve">About: </w:t>
      </w:r>
      <w:r>
        <w:rPr>
          <w:rFonts w:ascii="Arial" w:hAnsi="Arial"/>
          <w:i/>
          <w:color w:val="333333"/>
          <w:sz w:val="19"/>
        </w:rPr>
        <w:t>PSP Investments is one of Canada's largest pension investment managers, with over $200 billion in net assets under management, serving as the investment manager for the pension plans of the federal public sector, Canadian Forces, and Royal Canadian Mounted Police.</w:t>
      </w:r>
    </w:p>
    <w:p>
      <w:pPr>
        <w:spacing w:before="120" w:after="120"/>
      </w:pPr>
      <w:r>
        <w:rPr>
          <w:rFonts w:ascii="Arial" w:hAnsi="Arial"/>
          <w:color w:val="666666"/>
          <w:sz w:val="16"/>
        </w:rPr>
        <w:t>[THUMBNAIL]</w:t>
      </w:r>
    </w:p>
    <w:p>
      <w:pPr>
        <w:spacing w:before="160" w:after="80" w:line="276" w:lineRule="auto"/>
        <w:jc w:val="left"/>
      </w:pPr>
      <w:r>
        <w:rPr>
          <w:rFonts w:ascii="Arial" w:hAnsi="Arial"/>
          <w:b/>
          <w:i w:val="0"/>
          <w:color w:val="000000"/>
          <w:sz w:val="22"/>
        </w:rPr>
        <w:t>KEY RESPONSIBILITIES &amp; ACHIEVEMENTS:</w:t>
      </w:r>
    </w:p>
    <w:p>
      <w:pPr>
        <w:pStyle w:val="ListBullet"/>
        <w:spacing w:after="80" w:line="276" w:lineRule="auto"/>
      </w:pPr>
      <w:r>
        <w:rPr>
          <w:rFonts w:ascii="Arial" w:hAnsi="Arial"/>
          <w:b w:val="0"/>
          <w:color w:val="000000"/>
          <w:sz w:val="21"/>
        </w:rPr>
        <w:t>Managed a $50 million IT infrastructure investment portfolio encompassing cybersecurity governance, system integration, and regulatory compliance for one of Canada's largest pension investment managers.</w:t>
      </w:r>
    </w:p>
    <w:p>
      <w:pPr>
        <w:pStyle w:val="ListBullet"/>
        <w:spacing w:after="80" w:line="276" w:lineRule="auto"/>
      </w:pPr>
      <w:r>
        <w:rPr>
          <w:rFonts w:ascii="Arial" w:hAnsi="Arial"/>
          <w:b w:val="0"/>
          <w:color w:val="000000"/>
          <w:sz w:val="21"/>
        </w:rPr>
        <w:t>Designed and implemented cybersecurity governance frameworks aligned with federal Canadian regulatory requirements for financial institutions managing public pension assets.</w:t>
      </w:r>
    </w:p>
    <w:p>
      <w:pPr>
        <w:pStyle w:val="ListBullet"/>
        <w:spacing w:after="80" w:line="276" w:lineRule="auto"/>
      </w:pPr>
      <w:r>
        <w:rPr>
          <w:rFonts w:ascii="Arial" w:hAnsi="Arial"/>
          <w:b w:val="0"/>
          <w:color w:val="000000"/>
          <w:sz w:val="21"/>
        </w:rPr>
        <w:t>Coordinated multi-vendor technology implementations, managing relationships with technology providers and ensuring alignment with institutional security standards.</w:t>
      </w:r>
    </w:p>
    <w:p>
      <w:pPr>
        <w:pStyle w:val="ListBullet"/>
        <w:spacing w:after="80" w:line="276" w:lineRule="auto"/>
      </w:pPr>
      <w:r>
        <w:rPr>
          <w:rFonts w:ascii="Arial" w:hAnsi="Arial"/>
          <w:b w:val="0"/>
          <w:color w:val="000000"/>
          <w:sz w:val="21"/>
        </w:rPr>
        <w:t>Ensured compliance assurance for regulated investment management operations, including data governance, access control, and audit trail requirements.</w:t>
      </w:r>
    </w:p>
    <w:p>
      <w:pPr>
        <w:pStyle w:val="ListBullet"/>
        <w:spacing w:after="80" w:line="276" w:lineRule="auto"/>
      </w:pPr>
      <w:r>
        <w:rPr>
          <w:rFonts w:ascii="Arial" w:hAnsi="Arial"/>
          <w:b w:val="0"/>
          <w:color w:val="000000"/>
          <w:sz w:val="21"/>
        </w:rPr>
        <w:t>Developed project governance structures for IT infrastructure investments, including risk assessment, milestone tracking, and executive reporting.</w:t>
      </w:r>
    </w:p>
    <w:p>
      <w:pPr>
        <w:spacing w:before="160" w:after="80" w:line="276" w:lineRule="auto"/>
        <w:jc w:val="left"/>
      </w:pPr>
      <w:r>
        <w:rPr>
          <w:rFonts w:ascii="Arial" w:hAnsi="Arial"/>
          <w:b/>
          <w:i w:val="0"/>
          <w:color w:val="000000"/>
          <w:sz w:val="22"/>
        </w:rPr>
        <w:t>STRATEGIC IMPACTS &amp; RESULTS:</w:t>
      </w:r>
    </w:p>
    <w:p>
      <w:pPr>
        <w:pStyle w:val="ListBullet"/>
        <w:spacing w:after="80" w:line="276" w:lineRule="auto"/>
      </w:pPr>
      <w:r>
        <w:rPr>
          <w:rFonts w:ascii="Arial" w:hAnsi="Arial"/>
          <w:b w:val="0"/>
          <w:color w:val="000000"/>
          <w:sz w:val="21"/>
        </w:rPr>
        <w:t>Successfully managed a $50 million IT infrastructure portfolio, ensuring on-time delivery and compliance with federal regulatory requirements (Exhibit 16).</w:t>
      </w:r>
    </w:p>
    <w:p>
      <w:pPr>
        <w:pStyle w:val="ListBullet"/>
        <w:spacing w:after="80" w:line="276" w:lineRule="auto"/>
      </w:pPr>
      <w:r>
        <w:rPr>
          <w:rFonts w:ascii="Arial" w:hAnsi="Arial"/>
          <w:b w:val="0"/>
          <w:color w:val="000000"/>
          <w:sz w:val="21"/>
        </w:rPr>
        <w:t>Expanded expertise into cybersecurity governance and regulatory compliance — domains that became Service Line 4 of DRM Solutions LLC.</w:t>
      </w:r>
    </w:p>
    <w:p>
      <w:pPr>
        <w:pStyle w:val="ListBullet"/>
        <w:spacing w:after="80" w:line="276" w:lineRule="auto"/>
      </w:pPr>
      <w:r>
        <w:rPr>
          <w:rFonts w:ascii="Arial" w:hAnsi="Arial"/>
          <w:b w:val="0"/>
          <w:color w:val="000000"/>
          <w:sz w:val="21"/>
        </w:rPr>
        <w:t>Recommended by Françoise Guindon (SNC-Lavalin/PSP Investments), who corroborated the management of the $50M IT portfolio and cybersecurity governance implementation (Exhibit 29).</w:t>
      </w:r>
    </w:p>
    <w:p>
      <w:pPr>
        <w:spacing w:before="120" w:after="120"/>
        <w:pBdr>
          <w:bottom w:val="single" w:sz="4" w:space="1" w:color="CCCCCC"/>
        </w:pBdr>
      </w:pPr>
    </w:p>
    <w:p>
      <w:pPr>
        <w:spacing w:before="240" w:after="120" w:line="276" w:lineRule="auto"/>
        <w:jc w:val="left"/>
      </w:pPr>
      <w:r>
        <w:rPr>
          <w:rFonts w:ascii="Arial" w:hAnsi="Arial"/>
          <w:b/>
          <w:i w:val="0"/>
          <w:color w:val="000000"/>
          <w:sz w:val="24"/>
        </w:rPr>
        <w:t>RESOLUTE FOREST PRODUCTS</w:t>
      </w:r>
    </w:p>
    <w:p>
      <w:pPr>
        <w:spacing w:after="60" w:line="276" w:lineRule="auto"/>
      </w:pPr>
      <w:r>
        <w:rPr>
          <w:rFonts w:ascii="Arial" w:hAnsi="Arial"/>
          <w:b/>
          <w:color w:val="000000"/>
          <w:sz w:val="20"/>
        </w:rPr>
        <w:t xml:space="preserve">Role: </w:t>
      </w:r>
      <w:r>
        <w:rPr>
          <w:rFonts w:ascii="Arial" w:hAnsi="Arial"/>
          <w:b w:val="0"/>
          <w:color w:val="000000"/>
          <w:sz w:val="20"/>
        </w:rPr>
        <w:t>SAP Management Accounting Analyst</w:t>
      </w:r>
    </w:p>
    <w:p>
      <w:pPr>
        <w:spacing w:after="60" w:line="276" w:lineRule="auto"/>
      </w:pPr>
      <w:r>
        <w:rPr>
          <w:rFonts w:ascii="Arial" w:hAnsi="Arial"/>
          <w:b/>
          <w:color w:val="000000"/>
          <w:sz w:val="20"/>
        </w:rPr>
        <w:t xml:space="preserve">Period: </w:t>
      </w:r>
      <w:r>
        <w:rPr>
          <w:rFonts w:ascii="Arial" w:hAnsi="Arial"/>
          <w:b w:val="0"/>
          <w:color w:val="000000"/>
          <w:sz w:val="20"/>
        </w:rPr>
        <w:t>January 2015 – December 2018</w:t>
      </w:r>
    </w:p>
    <w:p>
      <w:pPr>
        <w:spacing w:after="60" w:line="276" w:lineRule="auto"/>
      </w:pPr>
      <w:r>
        <w:rPr>
          <w:rFonts w:ascii="Arial" w:hAnsi="Arial"/>
          <w:b/>
          <w:color w:val="000000"/>
          <w:sz w:val="20"/>
        </w:rPr>
        <w:t xml:space="preserve">Location: </w:t>
      </w:r>
      <w:r>
        <w:rPr>
          <w:rFonts w:ascii="Arial" w:hAnsi="Arial"/>
          <w:b w:val="0"/>
          <w:color w:val="000000"/>
          <w:sz w:val="20"/>
        </w:rPr>
        <w:t>Montreal, QC, Canada</w:t>
      </w:r>
    </w:p>
    <w:p>
      <w:pPr>
        <w:spacing w:after="60" w:line="276" w:lineRule="auto"/>
      </w:pPr>
      <w:r>
        <w:rPr>
          <w:rFonts w:ascii="Arial" w:hAnsi="Arial"/>
          <w:b/>
          <w:color w:val="000000"/>
          <w:sz w:val="20"/>
        </w:rPr>
        <w:t xml:space="preserve">Website: </w:t>
      </w:r>
      <w:r>
        <w:rPr>
          <w:rFonts w:ascii="Arial" w:hAnsi="Arial"/>
          <w:b w:val="0"/>
          <w:color w:val="000000"/>
          <w:sz w:val="20"/>
        </w:rPr>
        <w:t>https://www.resolutefp.com</w:t>
      </w:r>
    </w:p>
    <w:p>
      <w:pPr>
        <w:spacing w:after="120" w:line="276" w:lineRule="auto"/>
      </w:pPr>
      <w:r>
        <w:rPr>
          <w:rFonts w:ascii="Arial" w:hAnsi="Arial"/>
          <w:b/>
          <w:color w:val="333333"/>
          <w:sz w:val="19"/>
        </w:rPr>
        <w:t xml:space="preserve">About: </w:t>
      </w:r>
      <w:r>
        <w:rPr>
          <w:rFonts w:ascii="Arial" w:hAnsi="Arial"/>
          <w:i/>
          <w:color w:val="333333"/>
          <w:sz w:val="19"/>
        </w:rPr>
        <w:t>Resolute Forest Products is one of the world's largest producers of newsprint, commercial printing papers, and wood products, with annual revenue exceeding $2 billion, operations in 30+ geographic locations across North America, and over 8,000 direct system users across five currencies and four business lines.</w:t>
      </w:r>
    </w:p>
    <w:p>
      <w:pPr>
        <w:spacing w:before="120" w:after="120"/>
      </w:pPr>
      <w:r>
        <w:rPr>
          <w:rFonts w:ascii="Arial" w:hAnsi="Arial"/>
          <w:color w:val="666666"/>
          <w:sz w:val="16"/>
        </w:rPr>
        <w:t>[THUMBNAIL]</w:t>
      </w:r>
    </w:p>
    <w:p>
      <w:pPr>
        <w:spacing w:before="160" w:after="80" w:line="276" w:lineRule="auto"/>
        <w:jc w:val="left"/>
      </w:pPr>
      <w:r>
        <w:rPr>
          <w:rFonts w:ascii="Arial" w:hAnsi="Arial"/>
          <w:b/>
          <w:i w:val="0"/>
          <w:color w:val="000000"/>
          <w:sz w:val="22"/>
        </w:rPr>
        <w:t>KEY RESPONSIBILITIES &amp; ACHIEVEMENTS:</w:t>
      </w:r>
    </w:p>
    <w:p>
      <w:pPr>
        <w:pStyle w:val="ListBullet"/>
        <w:spacing w:after="80" w:line="276" w:lineRule="auto"/>
      </w:pPr>
      <w:r>
        <w:rPr>
          <w:rFonts w:ascii="Arial" w:hAnsi="Arial"/>
          <w:b w:val="0"/>
          <w:color w:val="000000"/>
          <w:sz w:val="21"/>
        </w:rPr>
        <w:t>Led the redesign of the financial consolidation process through SAP Business Planning and Consolidation (BPC), evaluating three alternative solutions before implementing an automated consolidation workflow across 30+ entities.</w:t>
      </w:r>
    </w:p>
    <w:p>
      <w:pPr>
        <w:pStyle w:val="ListBullet"/>
        <w:spacing w:after="80" w:line="276" w:lineRule="auto"/>
      </w:pPr>
      <w:r>
        <w:rPr>
          <w:rFonts w:ascii="Arial" w:hAnsi="Arial"/>
          <w:b w:val="0"/>
          <w:color w:val="000000"/>
          <w:sz w:val="21"/>
        </w:rPr>
        <w:t>Redesigned currency conversion and intercompany elimination processes across five operating currencies (CAD, USD, BRL, EUR, GBP), managing the complexity of multinational financial reporting.</w:t>
      </w:r>
    </w:p>
    <w:p>
      <w:pPr>
        <w:pStyle w:val="ListBullet"/>
        <w:spacing w:after="80" w:line="276" w:lineRule="auto"/>
      </w:pPr>
      <w:r>
        <w:rPr>
          <w:rFonts w:ascii="Arial" w:hAnsi="Arial"/>
          <w:b w:val="0"/>
          <w:color w:val="000000"/>
          <w:sz w:val="21"/>
        </w:rPr>
        <w:t>Developed and delivered training programs for accounting and finance teams across 30+ locations, building internal capacity for ongoing SAP utilization.</w:t>
      </w:r>
    </w:p>
    <w:p>
      <w:pPr>
        <w:pStyle w:val="ListBullet"/>
        <w:spacing w:after="80" w:line="276" w:lineRule="auto"/>
      </w:pPr>
      <w:r>
        <w:rPr>
          <w:rFonts w:ascii="Arial" w:hAnsi="Arial"/>
          <w:b w:val="0"/>
          <w:color w:val="000000"/>
          <w:sz w:val="21"/>
        </w:rPr>
        <w:t>Managed SAP Management Accounting (CO) module operations including cost center accounting, profit center accounting, and internal orders for a $2B+ revenue organization.</w:t>
      </w:r>
    </w:p>
    <w:p>
      <w:pPr>
        <w:pStyle w:val="ListBullet"/>
        <w:spacing w:after="80" w:line="276" w:lineRule="auto"/>
      </w:pPr>
      <w:r>
        <w:rPr>
          <w:rFonts w:ascii="Arial" w:hAnsi="Arial"/>
          <w:b w:val="0"/>
          <w:color w:val="000000"/>
          <w:sz w:val="21"/>
        </w:rPr>
        <w:t>Coordinated with cross-functional teams across finance, operations, and technology to ensure alignment between financial reporting requirements and system capabilities.</w:t>
      </w:r>
    </w:p>
    <w:p>
      <w:pPr>
        <w:pStyle w:val="ListBullet"/>
        <w:spacing w:after="80" w:line="276" w:lineRule="auto"/>
      </w:pPr>
      <w:r>
        <w:rPr>
          <w:rFonts w:ascii="Arial" w:hAnsi="Arial"/>
          <w:b w:val="0"/>
          <w:color w:val="000000"/>
          <w:sz w:val="21"/>
        </w:rPr>
        <w:t>Designed financial reporting structures supporting multi-entity consolidation across four business lines and five currencies.</w:t>
      </w:r>
    </w:p>
    <w:p>
      <w:pPr>
        <w:spacing w:before="160" w:after="80" w:line="276" w:lineRule="auto"/>
        <w:jc w:val="left"/>
      </w:pPr>
      <w:r>
        <w:rPr>
          <w:rFonts w:ascii="Arial" w:hAnsi="Arial"/>
          <w:b/>
          <w:i w:val="0"/>
          <w:color w:val="000000"/>
          <w:sz w:val="22"/>
        </w:rPr>
        <w:t>STRATEGIC IMPACTS &amp; RESULTS:</w:t>
      </w:r>
    </w:p>
    <w:p>
      <w:pPr>
        <w:pStyle w:val="ListBullet"/>
        <w:spacing w:after="80" w:line="276" w:lineRule="auto"/>
      </w:pPr>
      <w:r>
        <w:rPr>
          <w:rFonts w:ascii="Arial" w:hAnsi="Arial"/>
          <w:b w:val="0"/>
          <w:color w:val="000000"/>
          <w:sz w:val="21"/>
        </w:rPr>
        <w:t>Achieved a 60% reduction in financial consolidation time — from 15 business days to 6 days — through redesign and automation of the consolidation process using SAP BPC (Exhibit 15).</w:t>
      </w:r>
    </w:p>
    <w:p>
      <w:pPr>
        <w:pStyle w:val="ListBullet"/>
        <w:spacing w:after="80" w:line="276" w:lineRule="auto"/>
      </w:pPr>
      <w:r>
        <w:rPr>
          <w:rFonts w:ascii="Arial" w:hAnsi="Arial"/>
          <w:b w:val="0"/>
          <w:color w:val="000000"/>
          <w:sz w:val="21"/>
        </w:rPr>
        <w:t>Liberated approximately $1.2 million in annual personnel costs previously dedicated to manual consolidation activities, allowing reallocation to higher-value analytical functions.</w:t>
      </w:r>
    </w:p>
    <w:p>
      <w:pPr>
        <w:pStyle w:val="ListBullet"/>
        <w:spacing w:after="80" w:line="276" w:lineRule="auto"/>
      </w:pPr>
      <w:r>
        <w:rPr>
          <w:rFonts w:ascii="Arial" w:hAnsi="Arial"/>
          <w:b w:val="0"/>
          <w:color w:val="000000"/>
          <w:sz w:val="21"/>
        </w:rPr>
        <w:t>Reduced reconciliation errors by an estimated 40% through redesigned currency conversion and intercompany elimination processes across five operating currencies.</w:t>
      </w:r>
    </w:p>
    <w:p>
      <w:pPr>
        <w:pStyle w:val="ListBullet"/>
        <w:spacing w:after="80" w:line="276" w:lineRule="auto"/>
      </w:pPr>
      <w:r>
        <w:rPr>
          <w:rFonts w:ascii="Arial" w:hAnsi="Arial"/>
          <w:b w:val="0"/>
          <w:color w:val="000000"/>
          <w:sz w:val="21"/>
        </w:rPr>
        <w:t>Recommended by Hugues Tremblay (Resolute Forest Products/IBM), who corroborated the financial consolidation redesign, the 60% time reduction, and the $1.2M annual savings (Exhibit 28).</w:t>
      </w:r>
    </w:p>
    <w:p>
      <w:pPr>
        <w:spacing w:before="120" w:after="120"/>
        <w:pBdr>
          <w:bottom w:val="single" w:sz="4" w:space="1" w:color="CCCCCC"/>
        </w:pBdr>
      </w:pPr>
    </w:p>
    <w:p>
      <w:pPr>
        <w:spacing w:before="240" w:after="120" w:line="276" w:lineRule="auto"/>
        <w:jc w:val="left"/>
      </w:pPr>
      <w:r>
        <w:rPr>
          <w:rFonts w:ascii="Arial" w:hAnsi="Arial"/>
          <w:b/>
          <w:i w:val="0"/>
          <w:color w:val="000000"/>
          <w:sz w:val="24"/>
        </w:rPr>
        <w:t>STM (SOCIÉTÉ DE TRANSPORT DE MONTRÉAL)</w:t>
      </w:r>
    </w:p>
    <w:p>
      <w:pPr>
        <w:spacing w:after="60" w:line="276" w:lineRule="auto"/>
      </w:pPr>
      <w:r>
        <w:rPr>
          <w:rFonts w:ascii="Arial" w:hAnsi="Arial"/>
          <w:b/>
          <w:color w:val="000000"/>
          <w:sz w:val="20"/>
        </w:rPr>
        <w:t xml:space="preserve">Role: </w:t>
      </w:r>
      <w:r>
        <w:rPr>
          <w:rFonts w:ascii="Arial" w:hAnsi="Arial"/>
          <w:b w:val="0"/>
          <w:color w:val="000000"/>
          <w:sz w:val="20"/>
        </w:rPr>
        <w:t>Business Analyst, SAP</w:t>
      </w:r>
    </w:p>
    <w:p>
      <w:pPr>
        <w:spacing w:after="60" w:line="276" w:lineRule="auto"/>
      </w:pPr>
      <w:r>
        <w:rPr>
          <w:rFonts w:ascii="Arial" w:hAnsi="Arial"/>
          <w:b/>
          <w:color w:val="000000"/>
          <w:sz w:val="20"/>
        </w:rPr>
        <w:t xml:space="preserve">Period: </w:t>
      </w:r>
      <w:r>
        <w:rPr>
          <w:rFonts w:ascii="Arial" w:hAnsi="Arial"/>
          <w:b w:val="0"/>
          <w:color w:val="000000"/>
          <w:sz w:val="20"/>
        </w:rPr>
        <w:t>January 2012 – December 2015</w:t>
      </w:r>
    </w:p>
    <w:p>
      <w:pPr>
        <w:spacing w:after="60" w:line="276" w:lineRule="auto"/>
      </w:pPr>
      <w:r>
        <w:rPr>
          <w:rFonts w:ascii="Arial" w:hAnsi="Arial"/>
          <w:b/>
          <w:color w:val="000000"/>
          <w:sz w:val="20"/>
        </w:rPr>
        <w:t xml:space="preserve">Location: </w:t>
      </w:r>
      <w:r>
        <w:rPr>
          <w:rFonts w:ascii="Arial" w:hAnsi="Arial"/>
          <w:b w:val="0"/>
          <w:color w:val="000000"/>
          <w:sz w:val="20"/>
        </w:rPr>
        <w:t>Montreal, QC, Canada</w:t>
      </w:r>
    </w:p>
    <w:p>
      <w:pPr>
        <w:spacing w:after="60" w:line="276" w:lineRule="auto"/>
      </w:pPr>
      <w:r>
        <w:rPr>
          <w:rFonts w:ascii="Arial" w:hAnsi="Arial"/>
          <w:b/>
          <w:color w:val="000000"/>
          <w:sz w:val="20"/>
        </w:rPr>
        <w:t xml:space="preserve">Website: </w:t>
      </w:r>
      <w:r>
        <w:rPr>
          <w:rFonts w:ascii="Arial" w:hAnsi="Arial"/>
          <w:b w:val="0"/>
          <w:color w:val="000000"/>
          <w:sz w:val="20"/>
        </w:rPr>
        <w:t>https://www.stm.info</w:t>
      </w:r>
    </w:p>
    <w:p>
      <w:pPr>
        <w:spacing w:after="120" w:line="276" w:lineRule="auto"/>
      </w:pPr>
      <w:r>
        <w:rPr>
          <w:rFonts w:ascii="Arial" w:hAnsi="Arial"/>
          <w:b/>
          <w:color w:val="333333"/>
          <w:sz w:val="19"/>
        </w:rPr>
        <w:t xml:space="preserve">About: </w:t>
      </w:r>
      <w:r>
        <w:rPr>
          <w:rFonts w:ascii="Arial" w:hAnsi="Arial"/>
          <w:i/>
          <w:color w:val="333333"/>
          <w:sz w:val="19"/>
        </w:rPr>
        <w:t>STM (Société de transport de Montréal) is one of the largest public transit operators in North America, with annual revenue of approximately $75 million and over 150 direct technology users across multiple business lines.</w:t>
      </w:r>
    </w:p>
    <w:p>
      <w:pPr>
        <w:spacing w:before="120" w:after="120"/>
      </w:pPr>
      <w:r>
        <w:rPr>
          <w:rFonts w:ascii="Arial" w:hAnsi="Arial"/>
          <w:color w:val="666666"/>
          <w:sz w:val="16"/>
        </w:rPr>
        <w:t>[THUMBNAIL]</w:t>
      </w:r>
    </w:p>
    <w:p>
      <w:pPr>
        <w:spacing w:before="160" w:after="80" w:line="276" w:lineRule="auto"/>
        <w:jc w:val="left"/>
      </w:pPr>
      <w:r>
        <w:rPr>
          <w:rFonts w:ascii="Arial" w:hAnsi="Arial"/>
          <w:b/>
          <w:i w:val="0"/>
          <w:color w:val="000000"/>
          <w:sz w:val="22"/>
        </w:rPr>
        <w:t>KEY RESPONSIBILITIES &amp; ACHIEVEMENTS:</w:t>
      </w:r>
    </w:p>
    <w:p>
      <w:pPr>
        <w:pStyle w:val="ListBullet"/>
        <w:spacing w:after="80" w:line="276" w:lineRule="auto"/>
      </w:pPr>
      <w:r>
        <w:rPr>
          <w:rFonts w:ascii="Arial" w:hAnsi="Arial"/>
          <w:b w:val="0"/>
          <w:color w:val="000000"/>
          <w:sz w:val="21"/>
        </w:rPr>
        <w:t>Designed and implemented operational monitoring dashboards integrating data from three business lines within the SAP environment to support real-time operational decision-making.</w:t>
      </w:r>
    </w:p>
    <w:p>
      <w:pPr>
        <w:pStyle w:val="ListBullet"/>
        <w:spacing w:after="80" w:line="276" w:lineRule="auto"/>
      </w:pPr>
      <w:r>
        <w:rPr>
          <w:rFonts w:ascii="Arial" w:hAnsi="Arial"/>
          <w:b w:val="0"/>
          <w:color w:val="000000"/>
          <w:sz w:val="21"/>
        </w:rPr>
        <w:t>Led requirements gathering with stakeholders across three distinct business units with different operational priorities, KPI structures, and reporting needs.</w:t>
      </w:r>
    </w:p>
    <w:p>
      <w:pPr>
        <w:pStyle w:val="ListBullet"/>
        <w:spacing w:after="80" w:line="276" w:lineRule="auto"/>
      </w:pPr>
      <w:r>
        <w:rPr>
          <w:rFonts w:ascii="Arial" w:hAnsi="Arial"/>
          <w:b w:val="0"/>
          <w:color w:val="000000"/>
          <w:sz w:val="21"/>
        </w:rPr>
        <w:t>Developed analytical solutions translating complex operational data into actionable dashboards for non-technical decision-makers across the organization.</w:t>
      </w:r>
    </w:p>
    <w:p>
      <w:pPr>
        <w:pStyle w:val="ListBullet"/>
        <w:spacing w:after="80" w:line="276" w:lineRule="auto"/>
      </w:pPr>
      <w:r>
        <w:rPr>
          <w:rFonts w:ascii="Arial" w:hAnsi="Arial"/>
          <w:b w:val="0"/>
          <w:color w:val="000000"/>
          <w:sz w:val="21"/>
        </w:rPr>
        <w:t>Managed the business analysis lifecycle from stakeholder interviews through solution design, development, testing, and deployment.</w:t>
      </w:r>
    </w:p>
    <w:p>
      <w:pPr>
        <w:pStyle w:val="ListBullet"/>
        <w:spacing w:after="80" w:line="276" w:lineRule="auto"/>
      </w:pPr>
      <w:r>
        <w:rPr>
          <w:rFonts w:ascii="Arial" w:hAnsi="Arial"/>
          <w:b w:val="0"/>
          <w:color w:val="000000"/>
          <w:sz w:val="21"/>
        </w:rPr>
        <w:t>Coordinated with technical development teams to ensure BI solutions met business requirements while maintaining data integrity and system performance.</w:t>
      </w:r>
    </w:p>
    <w:p>
      <w:pPr>
        <w:spacing w:before="160" w:after="80" w:line="276" w:lineRule="auto"/>
        <w:jc w:val="left"/>
      </w:pPr>
      <w:r>
        <w:rPr>
          <w:rFonts w:ascii="Arial" w:hAnsi="Arial"/>
          <w:b/>
          <w:i w:val="0"/>
          <w:color w:val="000000"/>
          <w:sz w:val="22"/>
        </w:rPr>
        <w:t>STRATEGIC IMPACTS &amp; RESULTS:</w:t>
      </w:r>
    </w:p>
    <w:p>
      <w:pPr>
        <w:pStyle w:val="ListBullet"/>
        <w:spacing w:after="80" w:line="276" w:lineRule="auto"/>
      </w:pPr>
      <w:r>
        <w:rPr>
          <w:rFonts w:ascii="Arial" w:hAnsi="Arial"/>
          <w:b w:val="0"/>
          <w:color w:val="000000"/>
          <w:sz w:val="21"/>
        </w:rPr>
        <w:t>Reduced time-to-access for critical operational data by 50% — from 4 hours to 30 minutes — through implementation of integrated operational dashboards (Exhibit 14).</w:t>
      </w:r>
    </w:p>
    <w:p>
      <w:pPr>
        <w:pStyle w:val="ListBullet"/>
        <w:spacing w:after="80" w:line="276" w:lineRule="auto"/>
      </w:pPr>
      <w:r>
        <w:rPr>
          <w:rFonts w:ascii="Arial" w:hAnsi="Arial"/>
          <w:b w:val="0"/>
          <w:color w:val="000000"/>
          <w:sz w:val="21"/>
        </w:rPr>
        <w:t>Increased the frequency of data-driven decisions by 30%, as measured by management reporting cycles, through dashboard adoption across three business units.</w:t>
      </w:r>
    </w:p>
    <w:p>
      <w:pPr>
        <w:pStyle w:val="ListBullet"/>
        <w:spacing w:after="80" w:line="276" w:lineRule="auto"/>
      </w:pPr>
      <w:r>
        <w:rPr>
          <w:rFonts w:ascii="Arial" w:hAnsi="Arial"/>
          <w:b w:val="0"/>
          <w:color w:val="000000"/>
          <w:sz w:val="21"/>
        </w:rPr>
        <w:t>Established foundational expertise in large-scale business intelligence implementation that became Service Line 3 (BI and Data Analytics) of DRM Solutions LLC.</w:t>
      </w:r>
    </w:p>
    <w:p>
      <w:pPr>
        <w:spacing w:before="120" w:after="120"/>
        <w:pBdr>
          <w:bottom w:val="single" w:sz="4" w:space="1" w:color="CCCCCC"/>
        </w:pBdr>
      </w:pPr>
    </w:p>
    <w:p>
      <w:pPr>
        <w:spacing w:before="240" w:after="120" w:line="276" w:lineRule="auto"/>
        <w:jc w:val="left"/>
      </w:pPr>
      <w:r>
        <w:rPr>
          <w:rFonts w:ascii="Arial" w:hAnsi="Arial"/>
          <w:b/>
          <w:i w:val="0"/>
          <w:color w:val="000000"/>
          <w:sz w:val="24"/>
        </w:rPr>
        <w:t>ERA CONSULTING (First Engagement)</w:t>
      </w:r>
    </w:p>
    <w:p>
      <w:pPr>
        <w:spacing w:after="60" w:line="276" w:lineRule="auto"/>
      </w:pPr>
      <w:r>
        <w:rPr>
          <w:rFonts w:ascii="Arial" w:hAnsi="Arial"/>
          <w:b/>
          <w:color w:val="000000"/>
          <w:sz w:val="20"/>
        </w:rPr>
        <w:t xml:space="preserve">Role: </w:t>
      </w:r>
      <w:r>
        <w:rPr>
          <w:rFonts w:ascii="Arial" w:hAnsi="Arial"/>
          <w:b w:val="0"/>
          <w:color w:val="000000"/>
          <w:sz w:val="20"/>
        </w:rPr>
        <w:t>Project Coordinator, ERP Implementations</w:t>
      </w:r>
    </w:p>
    <w:p>
      <w:pPr>
        <w:spacing w:after="60" w:line="276" w:lineRule="auto"/>
      </w:pPr>
      <w:r>
        <w:rPr>
          <w:rFonts w:ascii="Arial" w:hAnsi="Arial"/>
          <w:b/>
          <w:color w:val="000000"/>
          <w:sz w:val="20"/>
        </w:rPr>
        <w:t xml:space="preserve">Period: </w:t>
      </w:r>
      <w:r>
        <w:rPr>
          <w:rFonts w:ascii="Arial" w:hAnsi="Arial"/>
          <w:b w:val="0"/>
          <w:color w:val="000000"/>
          <w:sz w:val="20"/>
        </w:rPr>
        <w:t>January 2010 – December 2012</w:t>
      </w:r>
    </w:p>
    <w:p>
      <w:pPr>
        <w:spacing w:after="60" w:line="276" w:lineRule="auto"/>
      </w:pPr>
      <w:r>
        <w:rPr>
          <w:rFonts w:ascii="Arial" w:hAnsi="Arial"/>
          <w:b/>
          <w:color w:val="000000"/>
          <w:sz w:val="20"/>
        </w:rPr>
        <w:t xml:space="preserve">Location: </w:t>
      </w:r>
      <w:r>
        <w:rPr>
          <w:rFonts w:ascii="Arial" w:hAnsi="Arial"/>
          <w:b w:val="0"/>
          <w:color w:val="000000"/>
          <w:sz w:val="20"/>
        </w:rPr>
        <w:t>Montreal, QC, Canada</w:t>
      </w:r>
    </w:p>
    <w:p>
      <w:pPr>
        <w:spacing w:after="120" w:line="276" w:lineRule="auto"/>
      </w:pPr>
      <w:r>
        <w:rPr>
          <w:rFonts w:ascii="Arial" w:hAnsi="Arial"/>
          <w:b/>
          <w:color w:val="333333"/>
          <w:sz w:val="19"/>
        </w:rPr>
        <w:t xml:space="preserve">About: </w:t>
      </w:r>
      <w:r>
        <w:rPr>
          <w:rFonts w:ascii="Arial" w:hAnsi="Arial"/>
          <w:i/>
          <w:color w:val="333333"/>
          <w:sz w:val="19"/>
        </w:rPr>
        <w:t>ERA Consulting is a technology consulting firm specializing in ERP implementation and enterprise technology advisory services for organizations across North America.</w:t>
      </w:r>
    </w:p>
    <w:p>
      <w:pPr>
        <w:spacing w:before="120" w:after="120"/>
      </w:pPr>
      <w:r>
        <w:rPr>
          <w:rFonts w:ascii="Arial" w:hAnsi="Arial"/>
          <w:color w:val="666666"/>
          <w:sz w:val="16"/>
        </w:rPr>
        <w:t>[THUMBNAIL]</w:t>
      </w:r>
    </w:p>
    <w:p>
      <w:pPr>
        <w:spacing w:before="160" w:after="80" w:line="276" w:lineRule="auto"/>
        <w:jc w:val="left"/>
      </w:pPr>
      <w:r>
        <w:rPr>
          <w:rFonts w:ascii="Arial" w:hAnsi="Arial"/>
          <w:b/>
          <w:i w:val="0"/>
          <w:color w:val="000000"/>
          <w:sz w:val="22"/>
        </w:rPr>
        <w:t>KEY RESPONSIBILITIES &amp; ACHIEVEMENTS:</w:t>
      </w:r>
    </w:p>
    <w:p>
      <w:pPr>
        <w:pStyle w:val="ListBullet"/>
        <w:spacing w:after="80" w:line="276" w:lineRule="auto"/>
      </w:pPr>
      <w:r>
        <w:rPr>
          <w:rFonts w:ascii="Arial" w:hAnsi="Arial"/>
          <w:b w:val="0"/>
          <w:color w:val="000000"/>
          <w:sz w:val="21"/>
        </w:rPr>
        <w:t>Coordinated ERP implementation projects from requirements gathering through go-live for multiple clients simultaneously.</w:t>
      </w:r>
    </w:p>
    <w:p>
      <w:pPr>
        <w:pStyle w:val="ListBullet"/>
        <w:spacing w:after="80" w:line="276" w:lineRule="auto"/>
      </w:pPr>
      <w:r>
        <w:rPr>
          <w:rFonts w:ascii="Arial" w:hAnsi="Arial"/>
          <w:b w:val="0"/>
          <w:color w:val="000000"/>
          <w:sz w:val="21"/>
        </w:rPr>
        <w:t>Managed multi-stakeholder communication between technical teams and business users, ensuring alignment between project deliverables and business objectives.</w:t>
      </w:r>
    </w:p>
    <w:p>
      <w:pPr>
        <w:pStyle w:val="ListBullet"/>
        <w:spacing w:after="80" w:line="276" w:lineRule="auto"/>
      </w:pPr>
      <w:r>
        <w:rPr>
          <w:rFonts w:ascii="Arial" w:hAnsi="Arial"/>
          <w:b w:val="0"/>
          <w:color w:val="000000"/>
          <w:sz w:val="21"/>
        </w:rPr>
        <w:t>Performed quality assurance of implementation deliverables against project specifications and client requirements.</w:t>
      </w:r>
    </w:p>
    <w:p>
      <w:pPr>
        <w:pStyle w:val="ListBullet"/>
        <w:spacing w:after="80" w:line="276" w:lineRule="auto"/>
      </w:pPr>
      <w:r>
        <w:rPr>
          <w:rFonts w:ascii="Arial" w:hAnsi="Arial"/>
          <w:b w:val="0"/>
          <w:color w:val="000000"/>
          <w:sz w:val="21"/>
        </w:rPr>
        <w:t>Supported change management activities including user training, documentation development, and post-go-live stabilization.</w:t>
      </w:r>
    </w:p>
    <w:p>
      <w:pPr>
        <w:pStyle w:val="ListBullet"/>
        <w:spacing w:after="80" w:line="276" w:lineRule="auto"/>
      </w:pPr>
      <w:r>
        <w:rPr>
          <w:rFonts w:ascii="Arial" w:hAnsi="Arial"/>
          <w:b w:val="0"/>
          <w:color w:val="000000"/>
          <w:sz w:val="21"/>
        </w:rPr>
        <w:t>Transitioned from technical execution to project-level coordination, developing management skills for complex multi-party technology implementations.</w:t>
      </w:r>
    </w:p>
    <w:p>
      <w:pPr>
        <w:spacing w:before="160" w:after="80" w:line="276" w:lineRule="auto"/>
        <w:jc w:val="left"/>
      </w:pPr>
      <w:r>
        <w:rPr>
          <w:rFonts w:ascii="Arial" w:hAnsi="Arial"/>
          <w:b/>
          <w:i w:val="0"/>
          <w:color w:val="000000"/>
          <w:sz w:val="22"/>
        </w:rPr>
        <w:t>STRATEGIC IMPACTS &amp; RESULTS:</w:t>
      </w:r>
    </w:p>
    <w:p>
      <w:pPr>
        <w:pStyle w:val="ListBullet"/>
        <w:spacing w:after="80" w:line="276" w:lineRule="auto"/>
      </w:pPr>
      <w:r>
        <w:rPr>
          <w:rFonts w:ascii="Arial" w:hAnsi="Arial"/>
          <w:b w:val="0"/>
          <w:color w:val="000000"/>
          <w:sz w:val="21"/>
        </w:rPr>
        <w:t>Successfully coordinated multiple simultaneous ERP implementation projects, developing the project management capabilities required for leading DRM Solutions LLC engagements (Exhibit 13).</w:t>
      </w:r>
    </w:p>
    <w:p>
      <w:pPr>
        <w:pStyle w:val="ListBullet"/>
        <w:spacing w:after="80" w:line="276" w:lineRule="auto"/>
      </w:pPr>
      <w:r>
        <w:rPr>
          <w:rFonts w:ascii="Arial" w:hAnsi="Arial"/>
          <w:b w:val="0"/>
          <w:color w:val="000000"/>
          <w:sz w:val="21"/>
        </w:rPr>
        <w:t>Experience managing multiple simultaneous projects directly informed the structured phasing of the DRM Success Framework methodology.</w:t>
      </w:r>
    </w:p>
    <w:p>
      <w:pPr>
        <w:pStyle w:val="ListBullet"/>
        <w:spacing w:after="80" w:line="276" w:lineRule="auto"/>
      </w:pPr>
      <w:r>
        <w:rPr>
          <w:rFonts w:ascii="Arial" w:hAnsi="Arial"/>
          <w:b w:val="0"/>
          <w:color w:val="000000"/>
          <w:sz w:val="21"/>
        </w:rPr>
        <w:t>Marked the transition from individual technical contribution to project-level management of complex technology implementations.</w:t>
      </w:r>
    </w:p>
    <w:p>
      <w:pPr>
        <w:spacing w:before="120" w:after="120"/>
        <w:pBdr>
          <w:bottom w:val="single" w:sz="4" w:space="1" w:color="CCCCCC"/>
        </w:pBdr>
      </w:pPr>
    </w:p>
    <w:p>
      <w:pPr>
        <w:spacing w:before="240" w:after="120" w:line="276" w:lineRule="auto"/>
        <w:jc w:val="left"/>
      </w:pPr>
      <w:r>
        <w:rPr>
          <w:rFonts w:ascii="Arial" w:hAnsi="Arial"/>
          <w:b/>
          <w:i w:val="0"/>
          <w:color w:val="000000"/>
          <w:sz w:val="24"/>
        </w:rPr>
        <w:t>ALLERGAN (Now Part of AbbVie)</w:t>
      </w:r>
    </w:p>
    <w:p>
      <w:pPr>
        <w:spacing w:after="60" w:line="276" w:lineRule="auto"/>
      </w:pPr>
      <w:r>
        <w:rPr>
          <w:rFonts w:ascii="Arial" w:hAnsi="Arial"/>
          <w:b/>
          <w:color w:val="000000"/>
          <w:sz w:val="20"/>
        </w:rPr>
        <w:t xml:space="preserve">Role: </w:t>
      </w:r>
      <w:r>
        <w:rPr>
          <w:rFonts w:ascii="Arial" w:hAnsi="Arial"/>
          <w:b w:val="0"/>
          <w:color w:val="000000"/>
          <w:sz w:val="20"/>
        </w:rPr>
        <w:t>SAP Finance Analyst</w:t>
      </w:r>
    </w:p>
    <w:p>
      <w:pPr>
        <w:spacing w:after="60" w:line="276" w:lineRule="auto"/>
      </w:pPr>
      <w:r>
        <w:rPr>
          <w:rFonts w:ascii="Arial" w:hAnsi="Arial"/>
          <w:b/>
          <w:color w:val="000000"/>
          <w:sz w:val="20"/>
        </w:rPr>
        <w:t xml:space="preserve">Period: </w:t>
      </w:r>
      <w:r>
        <w:rPr>
          <w:rFonts w:ascii="Arial" w:hAnsi="Arial"/>
          <w:b w:val="0"/>
          <w:color w:val="000000"/>
          <w:sz w:val="20"/>
        </w:rPr>
        <w:t>January 2008 – December 2009</w:t>
      </w:r>
    </w:p>
    <w:p>
      <w:pPr>
        <w:spacing w:after="60" w:line="276" w:lineRule="auto"/>
      </w:pPr>
      <w:r>
        <w:rPr>
          <w:rFonts w:ascii="Arial" w:hAnsi="Arial"/>
          <w:b/>
          <w:color w:val="000000"/>
          <w:sz w:val="20"/>
        </w:rPr>
        <w:t xml:space="preserve">Location: </w:t>
      </w:r>
      <w:r>
        <w:rPr>
          <w:rFonts w:ascii="Arial" w:hAnsi="Arial"/>
          <w:b w:val="0"/>
          <w:color w:val="000000"/>
          <w:sz w:val="20"/>
        </w:rPr>
        <w:t>Canada</w:t>
      </w:r>
    </w:p>
    <w:p>
      <w:pPr>
        <w:spacing w:after="60" w:line="276" w:lineRule="auto"/>
      </w:pPr>
      <w:r>
        <w:rPr>
          <w:rFonts w:ascii="Arial" w:hAnsi="Arial"/>
          <w:b/>
          <w:color w:val="000000"/>
          <w:sz w:val="20"/>
        </w:rPr>
        <w:t xml:space="preserve">Website: </w:t>
      </w:r>
      <w:r>
        <w:rPr>
          <w:rFonts w:ascii="Arial" w:hAnsi="Arial"/>
          <w:b w:val="0"/>
          <w:color w:val="000000"/>
          <w:sz w:val="20"/>
        </w:rPr>
        <w:t>https://www.abbvie.com</w:t>
      </w:r>
    </w:p>
    <w:p>
      <w:pPr>
        <w:spacing w:after="120" w:line="276" w:lineRule="auto"/>
      </w:pPr>
      <w:r>
        <w:rPr>
          <w:rFonts w:ascii="Arial" w:hAnsi="Arial"/>
          <w:b/>
          <w:color w:val="333333"/>
          <w:sz w:val="19"/>
        </w:rPr>
        <w:t xml:space="preserve">About: </w:t>
      </w:r>
      <w:r>
        <w:rPr>
          <w:rFonts w:ascii="Arial" w:hAnsi="Arial"/>
          <w:i/>
          <w:color w:val="333333"/>
          <w:sz w:val="19"/>
        </w:rPr>
        <w:t>Allergan is a multinational pharmaceutical corporation (now part of AbbVie) with global operations across dozens of countries and annual revenues exceeding $15 billion at the time of engagement, operating in the pharmaceutical, medical device, and eye care sectors.</w:t>
      </w:r>
    </w:p>
    <w:p>
      <w:pPr>
        <w:spacing w:before="120" w:after="120"/>
      </w:pPr>
      <w:r>
        <w:rPr>
          <w:rFonts w:ascii="Arial" w:hAnsi="Arial"/>
          <w:color w:val="666666"/>
          <w:sz w:val="16"/>
        </w:rPr>
        <w:t>[THUMBNAIL]</w:t>
      </w:r>
    </w:p>
    <w:p>
      <w:pPr>
        <w:spacing w:before="160" w:after="80" w:line="276" w:lineRule="auto"/>
        <w:jc w:val="left"/>
      </w:pPr>
      <w:r>
        <w:rPr>
          <w:rFonts w:ascii="Arial" w:hAnsi="Arial"/>
          <w:b/>
          <w:i w:val="0"/>
          <w:color w:val="000000"/>
          <w:sz w:val="22"/>
        </w:rPr>
        <w:t>KEY RESPONSIBILITIES &amp; ACHIEVEMENTS:</w:t>
      </w:r>
    </w:p>
    <w:p>
      <w:pPr>
        <w:pStyle w:val="ListBullet"/>
        <w:spacing w:after="80" w:line="276" w:lineRule="auto"/>
      </w:pPr>
      <w:r>
        <w:rPr>
          <w:rFonts w:ascii="Arial" w:hAnsi="Arial"/>
          <w:b w:val="0"/>
          <w:color w:val="000000"/>
          <w:sz w:val="21"/>
        </w:rPr>
        <w:t>Implemented and managed the SAP Financial Accounting (FI) module configuration for management accounting and financial reporting within a complex multinational environment.</w:t>
      </w:r>
    </w:p>
    <w:p>
      <w:pPr>
        <w:pStyle w:val="ListBullet"/>
        <w:spacing w:after="80" w:line="276" w:lineRule="auto"/>
      </w:pPr>
      <w:r>
        <w:rPr>
          <w:rFonts w:ascii="Arial" w:hAnsi="Arial"/>
          <w:b w:val="0"/>
          <w:color w:val="000000"/>
          <w:sz w:val="21"/>
        </w:rPr>
        <w:t>Managed intercompany transactions and currency conversion processes across multiple legal entities operating in different jurisdictions.</w:t>
      </w:r>
    </w:p>
    <w:p>
      <w:pPr>
        <w:pStyle w:val="ListBullet"/>
        <w:spacing w:after="80" w:line="276" w:lineRule="auto"/>
      </w:pPr>
      <w:r>
        <w:rPr>
          <w:rFonts w:ascii="Arial" w:hAnsi="Arial"/>
          <w:b w:val="0"/>
          <w:color w:val="000000"/>
          <w:sz w:val="21"/>
        </w:rPr>
        <w:t>Designed financial reporting structures supporting multi-entity consolidation for a Fortune 500 pharmaceutical corporation.</w:t>
      </w:r>
    </w:p>
    <w:p>
      <w:pPr>
        <w:pStyle w:val="ListBullet"/>
        <w:spacing w:after="80" w:line="276" w:lineRule="auto"/>
      </w:pPr>
      <w:r>
        <w:rPr>
          <w:rFonts w:ascii="Arial" w:hAnsi="Arial"/>
          <w:b w:val="0"/>
          <w:color w:val="000000"/>
          <w:sz w:val="21"/>
        </w:rPr>
        <w:t>Collaborated with global finance teams to ensure alignment between local regulatory requirements and consolidated financial reporting standards.</w:t>
      </w:r>
    </w:p>
    <w:p>
      <w:pPr>
        <w:pStyle w:val="ListBullet"/>
        <w:spacing w:after="80" w:line="276" w:lineRule="auto"/>
      </w:pPr>
      <w:r>
        <w:rPr>
          <w:rFonts w:ascii="Arial" w:hAnsi="Arial"/>
          <w:b w:val="0"/>
          <w:color w:val="000000"/>
          <w:sz w:val="21"/>
        </w:rPr>
        <w:t>Provided technical support and troubleshooting for SAP FI module operations across multiple geographic locations.</w:t>
      </w:r>
    </w:p>
    <w:p>
      <w:pPr>
        <w:spacing w:before="160" w:after="80" w:line="276" w:lineRule="auto"/>
        <w:jc w:val="left"/>
      </w:pPr>
      <w:r>
        <w:rPr>
          <w:rFonts w:ascii="Arial" w:hAnsi="Arial"/>
          <w:b/>
          <w:i w:val="0"/>
          <w:color w:val="000000"/>
          <w:sz w:val="22"/>
        </w:rPr>
        <w:t>STRATEGIC IMPACTS &amp; RESULTS:</w:t>
      </w:r>
    </w:p>
    <w:p>
      <w:pPr>
        <w:pStyle w:val="ListBullet"/>
        <w:spacing w:after="80" w:line="276" w:lineRule="auto"/>
      </w:pPr>
      <w:r>
        <w:rPr>
          <w:rFonts w:ascii="Arial" w:hAnsi="Arial"/>
          <w:b w:val="0"/>
          <w:color w:val="000000"/>
          <w:sz w:val="21"/>
        </w:rPr>
        <w:t>Established foundational expertise in enterprise resource planning — specifically in financial module configuration — which forms the technical core of DRM Solutions LLC Service Line 2 (ERP Implementation for SMEs) (Exhibit 12).</w:t>
      </w:r>
    </w:p>
    <w:p>
      <w:pPr>
        <w:pStyle w:val="ListBullet"/>
        <w:spacing w:after="80" w:line="276" w:lineRule="auto"/>
      </w:pPr>
      <w:r>
        <w:rPr>
          <w:rFonts w:ascii="Arial" w:hAnsi="Arial"/>
          <w:b w:val="0"/>
          <w:color w:val="000000"/>
          <w:sz w:val="21"/>
        </w:rPr>
        <w:t>Experience with multinational complexity at Fortune 500 scale provided deep platform knowledge now applied to design simplified, cost-effective implementations for SMEs.</w:t>
      </w:r>
    </w:p>
    <w:p>
      <w:pPr>
        <w:pStyle w:val="ListBullet"/>
        <w:spacing w:after="80" w:line="276" w:lineRule="auto"/>
      </w:pPr>
      <w:r>
        <w:rPr>
          <w:rFonts w:ascii="Arial" w:hAnsi="Arial"/>
          <w:b w:val="0"/>
          <w:color w:val="000000"/>
          <w:sz w:val="21"/>
        </w:rPr>
        <w:t>Initiated a 17-year career trajectory in enterprise digital transformation, progressing from technical execution to strategic leadership.</w:t>
      </w:r>
    </w:p>
    <w:p>
      <w:pPr>
        <w:spacing w:before="120" w:after="120"/>
        <w:pBdr>
          <w:bottom w:val="single" w:sz="4" w:space="1" w:color="CCCCCC"/>
        </w:pBdr>
      </w:pPr>
    </w:p>
    <w:p>
      <w:r>
        <w:br w:type="page"/>
      </w:r>
    </w:p>
    <w:p>
      <w:pPr>
        <w:spacing w:before="480" w:after="240" w:line="276" w:lineRule="auto"/>
        <w:jc w:val="left"/>
      </w:pPr>
      <w:r>
        <w:rPr>
          <w:rFonts w:ascii="Arial" w:hAnsi="Arial"/>
          <w:b/>
          <w:i w:val="0"/>
          <w:color w:val="000000"/>
          <w:sz w:val="28"/>
        </w:rPr>
        <w:t>ACADEMIC BACKGROUND</w:t>
      </w:r>
    </w:p>
    <w:p>
      <w:pPr>
        <w:spacing w:before="240" w:after="120" w:line="276" w:lineRule="auto"/>
        <w:jc w:val="left"/>
      </w:pPr>
      <w:r>
        <w:rPr>
          <w:rFonts w:ascii="Arial" w:hAnsi="Arial"/>
          <w:b/>
          <w:i w:val="0"/>
          <w:color w:val="000000"/>
          <w:sz w:val="24"/>
        </w:rPr>
        <w:t>Bachelor of Business Administration — Universidade Anhembi Morumbi</w:t>
      </w:r>
    </w:p>
    <w:p>
      <w:pPr>
        <w:spacing w:after="60" w:line="276" w:lineRule="auto"/>
      </w:pPr>
      <w:r>
        <w:rPr>
          <w:rFonts w:ascii="Arial" w:hAnsi="Arial"/>
          <w:b/>
          <w:color w:val="000000"/>
          <w:sz w:val="20"/>
        </w:rPr>
        <w:t xml:space="preserve">Institution: </w:t>
      </w:r>
      <w:r>
        <w:rPr>
          <w:rFonts w:ascii="Arial" w:hAnsi="Arial"/>
          <w:b w:val="0"/>
          <w:color w:val="000000"/>
          <w:sz w:val="20"/>
        </w:rPr>
        <w:t>Universidade Anhembi Morumbi</w:t>
      </w:r>
    </w:p>
    <w:p>
      <w:pPr>
        <w:spacing w:after="60" w:line="276" w:lineRule="auto"/>
      </w:pPr>
      <w:r>
        <w:rPr>
          <w:rFonts w:ascii="Arial" w:hAnsi="Arial"/>
          <w:b/>
          <w:color w:val="000000"/>
          <w:sz w:val="20"/>
        </w:rPr>
        <w:t xml:space="preserve">Degree: </w:t>
      </w:r>
      <w:r>
        <w:rPr>
          <w:rFonts w:ascii="Arial" w:hAnsi="Arial"/>
          <w:b w:val="0"/>
          <w:color w:val="000000"/>
          <w:sz w:val="20"/>
        </w:rPr>
        <w:t>Bacharelado em Administração (Bachelor of Business Administration)</w:t>
      </w:r>
    </w:p>
    <w:p>
      <w:pPr>
        <w:spacing w:after="60" w:line="276" w:lineRule="auto"/>
      </w:pPr>
      <w:r>
        <w:rPr>
          <w:rFonts w:ascii="Arial" w:hAnsi="Arial"/>
          <w:b/>
          <w:color w:val="000000"/>
          <w:sz w:val="20"/>
        </w:rPr>
        <w:t xml:space="preserve">Location: </w:t>
      </w:r>
      <w:r>
        <w:rPr>
          <w:rFonts w:ascii="Arial" w:hAnsi="Arial"/>
          <w:b w:val="0"/>
          <w:color w:val="000000"/>
          <w:sz w:val="20"/>
        </w:rPr>
        <w:t>São Paulo, SP, Brazil</w:t>
      </w:r>
    </w:p>
    <w:p>
      <w:pPr>
        <w:spacing w:after="60" w:line="276" w:lineRule="auto"/>
      </w:pPr>
      <w:r>
        <w:rPr>
          <w:rFonts w:ascii="Arial" w:hAnsi="Arial"/>
          <w:b/>
          <w:color w:val="000000"/>
          <w:sz w:val="20"/>
        </w:rPr>
        <w:t xml:space="preserve">Accreditation: </w:t>
      </w:r>
      <w:r>
        <w:rPr>
          <w:rFonts w:ascii="Arial" w:hAnsi="Arial"/>
          <w:b w:val="0"/>
          <w:color w:val="000000"/>
          <w:sz w:val="20"/>
        </w:rPr>
        <w:t>Brazilian Ministry of Education (MEC)</w:t>
      </w:r>
    </w:p>
    <w:p>
      <w:pPr>
        <w:spacing w:after="60" w:line="276" w:lineRule="auto"/>
      </w:pPr>
      <w:r>
        <w:rPr>
          <w:rFonts w:ascii="Arial" w:hAnsi="Arial"/>
          <w:b/>
          <w:color w:val="000000"/>
          <w:sz w:val="20"/>
        </w:rPr>
        <w:t xml:space="preserve">Exhibit: </w:t>
      </w:r>
      <w:r>
        <w:rPr>
          <w:rFonts w:ascii="Arial" w:hAnsi="Arial"/>
          <w:b w:val="0"/>
          <w:color w:val="000000"/>
          <w:sz w:val="20"/>
        </w:rPr>
        <w:t>Exhibit 2 — Diploma</w:t>
      </w:r>
    </w:p>
    <w:p>
      <w:pPr>
        <w:spacing w:before="80" w:after="80"/>
      </w:pPr>
      <w:r>
        <w:rPr>
          <w:rFonts w:ascii="Arial" w:hAnsi="Arial"/>
          <w:color w:val="666666"/>
          <w:sz w:val="16"/>
        </w:rPr>
        <w:t>[THUMBNAIL]</w:t>
      </w:r>
    </w:p>
    <w:p>
      <w:pPr>
        <w:spacing w:before="120" w:after="80" w:line="276" w:lineRule="auto"/>
        <w:jc w:val="left"/>
      </w:pPr>
      <w:r>
        <w:rPr>
          <w:rFonts w:ascii="Arial" w:hAnsi="Arial"/>
          <w:b/>
          <w:i w:val="0"/>
          <w:color w:val="000000"/>
          <w:sz w:val="21"/>
        </w:rPr>
        <w:t>Academic Summary:</w:t>
      </w:r>
    </w:p>
    <w:p>
      <w:pPr>
        <w:pStyle w:val="ListBullet"/>
        <w:spacing w:after="80" w:line="276" w:lineRule="auto"/>
      </w:pPr>
      <w:r>
        <w:rPr>
          <w:rFonts w:ascii="Arial" w:hAnsi="Arial"/>
          <w:b w:val="0"/>
          <w:color w:val="000000"/>
          <w:sz w:val="21"/>
        </w:rPr>
        <w:t>Foundational coursework in organizational management, financial analysis, strategic planning, operations management, and business governance.</w:t>
      </w:r>
    </w:p>
    <w:p>
      <w:pPr>
        <w:pStyle w:val="ListBullet"/>
        <w:spacing w:after="80" w:line="276" w:lineRule="auto"/>
      </w:pPr>
      <w:r>
        <w:rPr>
          <w:rFonts w:ascii="Arial" w:hAnsi="Arial"/>
          <w:b w:val="0"/>
          <w:color w:val="000000"/>
          <w:sz w:val="21"/>
        </w:rPr>
        <w:t>Specific instruction in quantitative analysis, organizational behavior, financial accounting, marketing strategy, and information systems.</w:t>
      </w:r>
    </w:p>
    <w:p>
      <w:pPr>
        <w:pStyle w:val="ListBullet"/>
        <w:spacing w:after="80" w:line="276" w:lineRule="auto"/>
      </w:pPr>
      <w:r>
        <w:rPr>
          <w:rFonts w:ascii="Arial" w:hAnsi="Arial"/>
          <w:b w:val="0"/>
          <w:color w:val="000000"/>
          <w:sz w:val="21"/>
        </w:rPr>
        <w:t>Foundational knowledge in business governance essential to developing the ability to bridge the gap between technology implementation and business strategy — the core capability of DRM Solutions LLC.</w:t>
      </w:r>
    </w:p>
    <w:p>
      <w:pPr>
        <w:pStyle w:val="ListBullet"/>
        <w:spacing w:after="80" w:line="276" w:lineRule="auto"/>
      </w:pPr>
      <w:r>
        <w:rPr>
          <w:rFonts w:ascii="Arial" w:hAnsi="Arial"/>
          <w:b w:val="0"/>
          <w:color w:val="000000"/>
          <w:sz w:val="21"/>
        </w:rPr>
        <w:t>Credential evaluation by NACES-member evaluator confirms this degree, combined with 17+ years of progressive experience and professional certifications, is equivalent to a Master of Business Administration with concentration in Information Technology Management (Exhibit 1).</w:t>
      </w:r>
    </w:p>
    <w:p>
      <w:pPr>
        <w:spacing w:before="120" w:after="120"/>
        <w:pBdr>
          <w:bottom w:val="single" w:sz="4" w:space="1" w:color="CCCCCC"/>
        </w:pBdr>
      </w:pPr>
    </w:p>
    <w:p>
      <w:pPr>
        <w:spacing w:before="240" w:after="120" w:line="276" w:lineRule="auto"/>
        <w:jc w:val="left"/>
      </w:pPr>
      <w:r>
        <w:rPr>
          <w:rFonts w:ascii="Arial" w:hAnsi="Arial"/>
          <w:b/>
          <w:i w:val="0"/>
          <w:color w:val="000000"/>
          <w:sz w:val="24"/>
        </w:rPr>
        <w:t>Business Analyst of Information Technology — Montreal College</w:t>
      </w:r>
    </w:p>
    <w:p>
      <w:pPr>
        <w:spacing w:after="60" w:line="276" w:lineRule="auto"/>
      </w:pPr>
      <w:r>
        <w:rPr>
          <w:rFonts w:ascii="Arial" w:hAnsi="Arial"/>
          <w:b/>
          <w:color w:val="000000"/>
          <w:sz w:val="20"/>
        </w:rPr>
        <w:t xml:space="preserve">Institution: </w:t>
      </w:r>
      <w:r>
        <w:rPr>
          <w:rFonts w:ascii="Arial" w:hAnsi="Arial"/>
          <w:b w:val="0"/>
          <w:color w:val="000000"/>
          <w:sz w:val="20"/>
        </w:rPr>
        <w:t>CDI College / Montreal College</w:t>
      </w:r>
    </w:p>
    <w:p>
      <w:pPr>
        <w:spacing w:after="60" w:line="276" w:lineRule="auto"/>
      </w:pPr>
      <w:r>
        <w:rPr>
          <w:rFonts w:ascii="Arial" w:hAnsi="Arial"/>
          <w:b/>
          <w:color w:val="000000"/>
          <w:sz w:val="20"/>
        </w:rPr>
        <w:t xml:space="preserve">Program: </w:t>
      </w:r>
      <w:r>
        <w:rPr>
          <w:rFonts w:ascii="Arial" w:hAnsi="Arial"/>
          <w:b w:val="0"/>
          <w:color w:val="000000"/>
          <w:sz w:val="20"/>
        </w:rPr>
        <w:t>Business Analysis of Information Technology</w:t>
      </w:r>
    </w:p>
    <w:p>
      <w:pPr>
        <w:spacing w:after="60" w:line="276" w:lineRule="auto"/>
      </w:pPr>
      <w:r>
        <w:rPr>
          <w:rFonts w:ascii="Arial" w:hAnsi="Arial"/>
          <w:b/>
          <w:color w:val="000000"/>
          <w:sz w:val="20"/>
        </w:rPr>
        <w:t xml:space="preserve">Date: </w:t>
      </w:r>
      <w:r>
        <w:rPr>
          <w:rFonts w:ascii="Arial" w:hAnsi="Arial"/>
          <w:b w:val="0"/>
          <w:color w:val="000000"/>
          <w:sz w:val="20"/>
        </w:rPr>
        <w:t>2020</w:t>
      </w:r>
    </w:p>
    <w:p>
      <w:pPr>
        <w:spacing w:after="60" w:line="276" w:lineRule="auto"/>
      </w:pPr>
      <w:r>
        <w:rPr>
          <w:rFonts w:ascii="Arial" w:hAnsi="Arial"/>
          <w:b/>
          <w:color w:val="000000"/>
          <w:sz w:val="20"/>
        </w:rPr>
        <w:t xml:space="preserve">Location: </w:t>
      </w:r>
      <w:r>
        <w:rPr>
          <w:rFonts w:ascii="Arial" w:hAnsi="Arial"/>
          <w:b w:val="0"/>
          <w:color w:val="000000"/>
          <w:sz w:val="20"/>
        </w:rPr>
        <w:t>Montreal, QC, Canada</w:t>
      </w:r>
    </w:p>
    <w:p>
      <w:pPr>
        <w:spacing w:after="60" w:line="276" w:lineRule="auto"/>
      </w:pPr>
      <w:r>
        <w:rPr>
          <w:rFonts w:ascii="Arial" w:hAnsi="Arial"/>
          <w:b/>
          <w:color w:val="000000"/>
          <w:sz w:val="20"/>
        </w:rPr>
        <w:t xml:space="preserve">Exhibit: </w:t>
      </w:r>
      <w:r>
        <w:rPr>
          <w:rFonts w:ascii="Arial" w:hAnsi="Arial"/>
          <w:b w:val="0"/>
          <w:color w:val="000000"/>
          <w:sz w:val="20"/>
        </w:rPr>
        <w:t>Exhibit 3 — Certificate</w:t>
      </w:r>
    </w:p>
    <w:p>
      <w:pPr>
        <w:spacing w:after="80"/>
      </w:pPr>
      <w:r>
        <w:rPr>
          <w:rFonts w:ascii="Arial" w:hAnsi="Arial"/>
          <w:color w:val="666666"/>
          <w:sz w:val="16"/>
        </w:rPr>
        <w:t>[THUMBNAIL]</w:t>
      </w:r>
    </w:p>
    <w:p>
      <w:pPr>
        <w:spacing w:before="120" w:after="80" w:line="276" w:lineRule="auto"/>
        <w:jc w:val="left"/>
      </w:pPr>
      <w:r>
        <w:rPr>
          <w:rFonts w:ascii="Arial" w:hAnsi="Arial"/>
          <w:b/>
          <w:i w:val="0"/>
          <w:color w:val="000000"/>
          <w:sz w:val="21"/>
        </w:rPr>
        <w:t>Academic Summary:</w:t>
      </w:r>
    </w:p>
    <w:p>
      <w:pPr>
        <w:pStyle w:val="ListBullet"/>
        <w:spacing w:after="80" w:line="276" w:lineRule="auto"/>
      </w:pPr>
      <w:r>
        <w:rPr>
          <w:rFonts w:ascii="Arial" w:hAnsi="Arial"/>
          <w:b w:val="0"/>
          <w:color w:val="000000"/>
          <w:sz w:val="21"/>
        </w:rPr>
        <w:t>Specialized training in requirements gathering and documentation for IT projects, business process modeling, data analysis methodologies, IT-business alignment, and agile development frameworks.</w:t>
      </w:r>
    </w:p>
    <w:p>
      <w:pPr>
        <w:pStyle w:val="ListBullet"/>
        <w:spacing w:after="80" w:line="276" w:lineRule="auto"/>
      </w:pPr>
      <w:r>
        <w:rPr>
          <w:rFonts w:ascii="Arial" w:hAnsi="Arial"/>
          <w:b w:val="0"/>
          <w:color w:val="000000"/>
          <w:sz w:val="21"/>
        </w:rPr>
        <w:t>Formalized the analytical methodology developed empirically over the preceding 12 years of hands-on ERP and BI implementation work.</w:t>
      </w:r>
    </w:p>
    <w:p>
      <w:pPr>
        <w:pStyle w:val="ListBullet"/>
        <w:spacing w:after="80" w:line="276" w:lineRule="auto"/>
      </w:pPr>
      <w:r>
        <w:rPr>
          <w:rFonts w:ascii="Arial" w:hAnsi="Arial"/>
          <w:b w:val="0"/>
          <w:color w:val="000000"/>
          <w:sz w:val="21"/>
        </w:rPr>
        <w:t>Provided a structured framework for the diagnostic and mapping phases of what became the DRM Success Framework — specifically Phase 1 (Operational Diagnosis) and Phase 2 (Critical Process Mapping).</w:t>
      </w:r>
    </w:p>
    <w:p>
      <w:r>
        <w:br w:type="page"/>
      </w:r>
    </w:p>
    <w:p>
      <w:pPr>
        <w:spacing w:before="480" w:after="240" w:line="276" w:lineRule="auto"/>
        <w:jc w:val="left"/>
      </w:pPr>
      <w:r>
        <w:rPr>
          <w:rFonts w:ascii="Arial" w:hAnsi="Arial"/>
          <w:b/>
          <w:i w:val="0"/>
          <w:color w:val="000000"/>
          <w:sz w:val="28"/>
        </w:rPr>
        <w:t>COMPLEMENTARY COURSES, TRAINING &amp; CERTIFICATIONS</w:t>
      </w:r>
    </w:p>
    <w:p>
      <w:pPr>
        <w:spacing w:before="200" w:after="80" w:line="276" w:lineRule="auto"/>
        <w:jc w:val="left"/>
      </w:pPr>
      <w:r>
        <w:rPr>
          <w:rFonts w:ascii="Arial" w:hAnsi="Arial"/>
          <w:b/>
          <w:i w:val="0"/>
          <w:color w:val="000000"/>
          <w:sz w:val="22"/>
        </w:rPr>
        <w:t>SAP S/4HANA Management Accounting Certification</w:t>
      </w:r>
    </w:p>
    <w:p>
      <w:pPr>
        <w:spacing w:after="60" w:line="276" w:lineRule="auto"/>
      </w:pPr>
      <w:r>
        <w:rPr>
          <w:rFonts w:ascii="Arial" w:hAnsi="Arial"/>
          <w:b/>
          <w:color w:val="000000"/>
          <w:sz w:val="20"/>
        </w:rPr>
        <w:t xml:space="preserve">Institution: </w:t>
      </w:r>
      <w:r>
        <w:rPr>
          <w:rFonts w:ascii="Arial" w:hAnsi="Arial"/>
          <w:b w:val="0"/>
          <w:color w:val="000000"/>
          <w:sz w:val="20"/>
        </w:rPr>
        <w:t>SAP SE</w:t>
      </w:r>
    </w:p>
    <w:p>
      <w:pPr>
        <w:spacing w:after="60" w:line="276" w:lineRule="auto"/>
      </w:pPr>
      <w:r>
        <w:rPr>
          <w:rFonts w:ascii="Arial" w:hAnsi="Arial"/>
          <w:b/>
          <w:color w:val="000000"/>
          <w:sz w:val="20"/>
        </w:rPr>
        <w:t xml:space="preserve">Date: </w:t>
      </w:r>
      <w:r>
        <w:rPr>
          <w:rFonts w:ascii="Arial" w:hAnsi="Arial"/>
          <w:b w:val="0"/>
          <w:color w:val="000000"/>
          <w:sz w:val="20"/>
        </w:rPr>
        <w:t>2021</w:t>
      </w:r>
    </w:p>
    <w:p>
      <w:pPr>
        <w:spacing w:after="60" w:line="276" w:lineRule="auto"/>
      </w:pPr>
      <w:r>
        <w:rPr>
          <w:rFonts w:ascii="Arial" w:hAnsi="Arial"/>
          <w:b/>
          <w:color w:val="000000"/>
          <w:sz w:val="20"/>
        </w:rPr>
        <w:t xml:space="preserve">Location: </w:t>
      </w:r>
      <w:r>
        <w:rPr>
          <w:rFonts w:ascii="Arial" w:hAnsi="Arial"/>
          <w:b w:val="0"/>
          <w:color w:val="000000"/>
          <w:sz w:val="20"/>
        </w:rPr>
        <w:t>Online</w:t>
      </w:r>
    </w:p>
    <w:p>
      <w:pPr>
        <w:spacing w:after="80"/>
      </w:pPr>
      <w:r>
        <w:rPr>
          <w:rFonts w:ascii="Arial" w:hAnsi="Arial"/>
          <w:color w:val="666666"/>
          <w:sz w:val="16"/>
        </w:rPr>
        <w:t>[THUMBNAIL]</w:t>
      </w:r>
    </w:p>
    <w:p>
      <w:pPr>
        <w:spacing w:before="80" w:after="120" w:line="276" w:lineRule="auto"/>
        <w:jc w:val="left"/>
      </w:pPr>
      <w:r>
        <w:rPr>
          <w:rFonts w:ascii="Arial" w:hAnsi="Arial"/>
          <w:b w:val="0"/>
          <w:i w:val="0"/>
          <w:color w:val="000000"/>
          <w:sz w:val="21"/>
        </w:rPr>
        <w:t>One of the most technically demanding certifications in the enterprise resource planning ecosystem. Validates deep expertise in management accounting configuration in the SAP S/4HANA environment, including cost center accounting, profit center accounting, internal orders, product costing, profitability analysis, and financial consolidation across multi-entity structures. Directly relevant to DRM Solutions LLC Service Line 2 (ERP Implementation for SMEs), ensuring the deepest available technical knowledge of the SAP platform architecture. SAP is the world's leading ERP platform, used by 87% of Forbes Global 2000 companies. (Exhibit 4)</w:t>
      </w:r>
    </w:p>
    <w:p>
      <w:pPr>
        <w:spacing w:before="120" w:after="120"/>
        <w:pBdr>
          <w:bottom w:val="single" w:sz="4" w:space="1" w:color="CCCCCC"/>
        </w:pBdr>
      </w:pPr>
    </w:p>
    <w:p>
      <w:pPr>
        <w:spacing w:before="200" w:after="80" w:line="276" w:lineRule="auto"/>
        <w:jc w:val="left"/>
      </w:pPr>
      <w:r>
        <w:rPr>
          <w:rFonts w:ascii="Arial" w:hAnsi="Arial"/>
          <w:b/>
          <w:i w:val="0"/>
          <w:color w:val="000000"/>
          <w:sz w:val="22"/>
        </w:rPr>
        <w:t>PMI Disciplined Agile Scrum Master (DASM)</w:t>
      </w:r>
    </w:p>
    <w:p>
      <w:pPr>
        <w:spacing w:after="60" w:line="276" w:lineRule="auto"/>
      </w:pPr>
      <w:r>
        <w:rPr>
          <w:rFonts w:ascii="Arial" w:hAnsi="Arial"/>
          <w:b/>
          <w:color w:val="000000"/>
          <w:sz w:val="20"/>
        </w:rPr>
        <w:t xml:space="preserve">Institution: </w:t>
      </w:r>
      <w:r>
        <w:rPr>
          <w:rFonts w:ascii="Arial" w:hAnsi="Arial"/>
          <w:b w:val="0"/>
          <w:color w:val="000000"/>
          <w:sz w:val="20"/>
        </w:rPr>
        <w:t>Project Management Institute (PMI)</w:t>
      </w:r>
    </w:p>
    <w:p>
      <w:pPr>
        <w:spacing w:after="60" w:line="276" w:lineRule="auto"/>
      </w:pPr>
      <w:r>
        <w:rPr>
          <w:rFonts w:ascii="Arial" w:hAnsi="Arial"/>
          <w:b/>
          <w:color w:val="000000"/>
          <w:sz w:val="20"/>
        </w:rPr>
        <w:t xml:space="preserve">Date: </w:t>
      </w:r>
      <w:r>
        <w:rPr>
          <w:rFonts w:ascii="Arial" w:hAnsi="Arial"/>
          <w:b w:val="0"/>
          <w:color w:val="000000"/>
          <w:sz w:val="20"/>
        </w:rPr>
        <w:t>[VERIFICAR]</w:t>
      </w:r>
    </w:p>
    <w:p>
      <w:pPr>
        <w:spacing w:after="60" w:line="276" w:lineRule="auto"/>
      </w:pPr>
      <w:r>
        <w:rPr>
          <w:rFonts w:ascii="Arial" w:hAnsi="Arial"/>
          <w:b/>
          <w:color w:val="000000"/>
          <w:sz w:val="20"/>
        </w:rPr>
        <w:t xml:space="preserve">Location: </w:t>
      </w:r>
      <w:r>
        <w:rPr>
          <w:rFonts w:ascii="Arial" w:hAnsi="Arial"/>
          <w:b w:val="0"/>
          <w:color w:val="000000"/>
          <w:sz w:val="20"/>
        </w:rPr>
        <w:t>Online</w:t>
      </w:r>
    </w:p>
    <w:p>
      <w:pPr>
        <w:spacing w:after="80"/>
      </w:pPr>
      <w:r>
        <w:rPr>
          <w:rFonts w:ascii="Arial" w:hAnsi="Arial"/>
          <w:color w:val="666666"/>
          <w:sz w:val="16"/>
        </w:rPr>
        <w:t>[THUMBNAIL]</w:t>
      </w:r>
    </w:p>
    <w:p>
      <w:pPr>
        <w:spacing w:before="80" w:after="120" w:line="276" w:lineRule="auto"/>
        <w:jc w:val="left"/>
      </w:pPr>
      <w:r>
        <w:rPr>
          <w:rFonts w:ascii="Arial" w:hAnsi="Arial"/>
          <w:b w:val="0"/>
          <w:i w:val="0"/>
          <w:color w:val="000000"/>
          <w:sz w:val="21"/>
        </w:rPr>
        <w:t>Certification from the world's leading professional association for project management with over 700,000 members globally. Validates competence in agile project management methodologies, Scrum framework implementation, iterative delivery in complex technology environments, stakeholder management, and adaptive planning. Directly applicable to the phased implementation methodology embedded in the DRM Success Framework Phase 4, where each technology deployment follows a structured sprint cycle with measurable milestones, stakeholder review gates, and iterative refinement based on real operational data. (Exhibit 5)</w:t>
      </w:r>
    </w:p>
    <w:p>
      <w:pPr>
        <w:spacing w:before="120" w:after="120"/>
        <w:pBdr>
          <w:bottom w:val="single" w:sz="4" w:space="1" w:color="CCCCCC"/>
        </w:pBdr>
      </w:pPr>
    </w:p>
    <w:p>
      <w:pPr>
        <w:spacing w:before="200" w:after="80" w:line="276" w:lineRule="auto"/>
        <w:jc w:val="left"/>
      </w:pPr>
      <w:r>
        <w:rPr>
          <w:rFonts w:ascii="Arial" w:hAnsi="Arial"/>
          <w:b/>
          <w:i w:val="0"/>
          <w:color w:val="000000"/>
          <w:sz w:val="22"/>
        </w:rPr>
        <w:t>IEEE Senior Membership</w:t>
      </w:r>
    </w:p>
    <w:p>
      <w:pPr>
        <w:spacing w:after="60" w:line="276" w:lineRule="auto"/>
      </w:pPr>
      <w:r>
        <w:rPr>
          <w:rFonts w:ascii="Arial" w:hAnsi="Arial"/>
          <w:b/>
          <w:color w:val="000000"/>
          <w:sz w:val="20"/>
        </w:rPr>
        <w:t xml:space="preserve">Institution: </w:t>
      </w:r>
      <w:r>
        <w:rPr>
          <w:rFonts w:ascii="Arial" w:hAnsi="Arial"/>
          <w:b w:val="0"/>
          <w:color w:val="000000"/>
          <w:sz w:val="20"/>
        </w:rPr>
        <w:t>Institute of Electrical and Electronics Engineers (IEEE)</w:t>
      </w:r>
    </w:p>
    <w:p>
      <w:pPr>
        <w:spacing w:after="60" w:line="276" w:lineRule="auto"/>
      </w:pPr>
      <w:r>
        <w:rPr>
          <w:rFonts w:ascii="Arial" w:hAnsi="Arial"/>
          <w:b/>
          <w:color w:val="000000"/>
          <w:sz w:val="20"/>
        </w:rPr>
        <w:t xml:space="preserve">Date: </w:t>
      </w:r>
      <w:r>
        <w:rPr>
          <w:rFonts w:ascii="Arial" w:hAnsi="Arial"/>
          <w:b w:val="0"/>
          <w:color w:val="000000"/>
          <w:sz w:val="20"/>
        </w:rPr>
        <w:t>[VERIFICAR]</w:t>
      </w:r>
    </w:p>
    <w:p>
      <w:pPr>
        <w:spacing w:after="60" w:line="276" w:lineRule="auto"/>
      </w:pPr>
      <w:r>
        <w:rPr>
          <w:rFonts w:ascii="Arial" w:hAnsi="Arial"/>
          <w:b/>
          <w:color w:val="000000"/>
          <w:sz w:val="20"/>
        </w:rPr>
        <w:t xml:space="preserve">Location: </w:t>
      </w:r>
      <w:r>
        <w:rPr>
          <w:rFonts w:ascii="Arial" w:hAnsi="Arial"/>
          <w:b w:val="0"/>
          <w:color w:val="000000"/>
          <w:sz w:val="20"/>
        </w:rPr>
        <w:t>Global</w:t>
      </w:r>
    </w:p>
    <w:p>
      <w:pPr>
        <w:spacing w:after="80"/>
      </w:pPr>
      <w:r>
        <w:rPr>
          <w:rFonts w:ascii="Arial" w:hAnsi="Arial"/>
          <w:color w:val="666666"/>
          <w:sz w:val="16"/>
        </w:rPr>
        <w:t>[THUMBNAIL]</w:t>
      </w:r>
    </w:p>
    <w:p>
      <w:pPr>
        <w:spacing w:before="80" w:after="120" w:line="276" w:lineRule="auto"/>
        <w:jc w:val="left"/>
      </w:pPr>
      <w:r>
        <w:rPr>
          <w:rFonts w:ascii="Arial" w:hAnsi="Arial"/>
          <w:b w:val="0"/>
          <w:i w:val="0"/>
          <w:color w:val="000000"/>
          <w:sz w:val="21"/>
        </w:rPr>
        <w:t>Senior Member of the world's largest technical professional organization with over 400,000 members in 160 countries. IEEE Senior Membership is a distinguished professional grade requiring a minimum of 10 years of professional practice in IEEE-designated fields, significant performance over at least five of those years, nomination and review by existing IEEE Senior Members or Fellows, and evidence of technical contributions and professional standing. Independently validates technical expertise at a level recognized by the global engineering and technology community. Provides access to the latest research, standards, and best practices in information technology, artificial intelligence, and digital systems — knowledge directly feeding into the technology selection and governance components of the DRM Success Framework. (Exhibit 6)</w:t>
      </w:r>
    </w:p>
    <w:p>
      <w:r>
        <w:br w:type="page"/>
      </w:r>
    </w:p>
    <w:p>
      <w:pPr>
        <w:spacing w:before="480" w:after="240" w:line="276" w:lineRule="auto"/>
        <w:jc w:val="left"/>
      </w:pPr>
      <w:r>
        <w:rPr>
          <w:rFonts w:ascii="Arial" w:hAnsi="Arial"/>
          <w:b/>
          <w:i w:val="0"/>
          <w:color w:val="000000"/>
          <w:sz w:val="28"/>
        </w:rPr>
        <w:t>TECHNICAL &amp; SCIENTIFIC OUTPUT</w:t>
      </w:r>
    </w:p>
    <w:p>
      <w:pPr>
        <w:spacing w:before="0" w:after="200" w:line="276" w:lineRule="auto"/>
        <w:jc w:val="left"/>
      </w:pPr>
      <w:r>
        <w:rPr>
          <w:rFonts w:ascii="Arial" w:hAnsi="Arial"/>
          <w:b w:val="0"/>
          <w:i w:val="0"/>
          <w:color w:val="000000"/>
          <w:sz w:val="21"/>
        </w:rPr>
        <w:t>Deni Ruben Moreira has authored three peer-reviewed articles published in academic journals addressing various dimensions of enterprise technology management, digital transformation, and organizational development. Publication in peer-reviewed journals requires evaluation and approval by independent subject matter experts, confirming the rigor and originality of the intellectual contributions. These publications demonstrate expertise extending beyond practical implementation to encompass the theoretical foundations and emerging research frontiers of digital transformation — a combination of practical and academic depth particularly rare among practitioners serving the SME market.</w:t>
      </w:r>
    </w:p>
    <w:p>
      <w:pPr>
        <w:spacing w:before="240" w:after="120" w:line="276" w:lineRule="auto"/>
        <w:jc w:val="left"/>
      </w:pPr>
      <w:r>
        <w:rPr>
          <w:rFonts w:ascii="Arial" w:hAnsi="Arial"/>
          <w:b/>
          <w:i w:val="0"/>
          <w:color w:val="000000"/>
          <w:sz w:val="22"/>
        </w:rPr>
        <w:t>Published Article — CMSRV Journal</w:t>
      </w:r>
    </w:p>
    <w:p>
      <w:pPr>
        <w:spacing w:after="60" w:line="276" w:lineRule="auto"/>
      </w:pPr>
      <w:r>
        <w:rPr>
          <w:rFonts w:ascii="Arial" w:hAnsi="Arial"/>
          <w:b/>
          <w:color w:val="000000"/>
          <w:sz w:val="20"/>
        </w:rPr>
        <w:t xml:space="preserve">Type: </w:t>
      </w:r>
      <w:r>
        <w:rPr>
          <w:rFonts w:ascii="Arial" w:hAnsi="Arial"/>
          <w:b w:val="0"/>
          <w:color w:val="000000"/>
          <w:sz w:val="20"/>
        </w:rPr>
        <w:t>Peer-Reviewed Article</w:t>
      </w:r>
    </w:p>
    <w:p>
      <w:pPr>
        <w:spacing w:after="60" w:line="276" w:lineRule="auto"/>
      </w:pPr>
      <w:r>
        <w:rPr>
          <w:rFonts w:ascii="Arial" w:hAnsi="Arial"/>
          <w:b/>
          <w:color w:val="000000"/>
          <w:sz w:val="20"/>
        </w:rPr>
        <w:t xml:space="preserve">Published In: </w:t>
      </w:r>
      <w:r>
        <w:rPr>
          <w:rFonts w:ascii="Arial" w:hAnsi="Arial"/>
          <w:b w:val="0"/>
          <w:color w:val="000000"/>
          <w:sz w:val="20"/>
        </w:rPr>
        <w:t>CMSRV Journal</w:t>
      </w:r>
    </w:p>
    <w:p>
      <w:pPr>
        <w:spacing w:after="60" w:line="276" w:lineRule="auto"/>
      </w:pPr>
      <w:r>
        <w:rPr>
          <w:rFonts w:ascii="Arial" w:hAnsi="Arial"/>
          <w:b/>
          <w:color w:val="000000"/>
          <w:sz w:val="20"/>
        </w:rPr>
        <w:t xml:space="preserve">Exhibit: </w:t>
      </w:r>
      <w:r>
        <w:rPr>
          <w:rFonts w:ascii="Arial" w:hAnsi="Arial"/>
          <w:b w:val="0"/>
          <w:color w:val="000000"/>
          <w:sz w:val="20"/>
        </w:rPr>
        <w:t>Exhibit 35</w:t>
      </w:r>
    </w:p>
    <w:p>
      <w:pPr>
        <w:spacing w:after="80"/>
      </w:pPr>
      <w:r>
        <w:rPr>
          <w:rFonts w:ascii="Arial" w:hAnsi="Arial"/>
          <w:color w:val="666666"/>
          <w:sz w:val="16"/>
        </w:rPr>
        <w:t>[THUMBNAIL]</w:t>
      </w:r>
    </w:p>
    <w:p>
      <w:pPr>
        <w:spacing w:before="120" w:after="120"/>
        <w:pBdr>
          <w:bottom w:val="single" w:sz="4" w:space="1" w:color="CCCCCC"/>
        </w:pBdr>
      </w:pPr>
    </w:p>
    <w:p>
      <w:pPr>
        <w:spacing w:before="240" w:after="120" w:line="276" w:lineRule="auto"/>
        <w:jc w:val="left"/>
      </w:pPr>
      <w:r>
        <w:rPr>
          <w:rFonts w:ascii="Arial" w:hAnsi="Arial"/>
          <w:b/>
          <w:i w:val="0"/>
          <w:color w:val="000000"/>
          <w:sz w:val="22"/>
        </w:rPr>
        <w:t>Published Article — JMH (Journal of Management &amp; Health)</w:t>
      </w:r>
    </w:p>
    <w:p>
      <w:pPr>
        <w:spacing w:after="60" w:line="276" w:lineRule="auto"/>
      </w:pPr>
      <w:r>
        <w:rPr>
          <w:rFonts w:ascii="Arial" w:hAnsi="Arial"/>
          <w:b/>
          <w:color w:val="000000"/>
          <w:sz w:val="20"/>
        </w:rPr>
        <w:t xml:space="preserve">Type: </w:t>
      </w:r>
      <w:r>
        <w:rPr>
          <w:rFonts w:ascii="Arial" w:hAnsi="Arial"/>
          <w:b w:val="0"/>
          <w:color w:val="000000"/>
          <w:sz w:val="20"/>
        </w:rPr>
        <w:t>Peer-Reviewed Article</w:t>
      </w:r>
    </w:p>
    <w:p>
      <w:pPr>
        <w:spacing w:after="60" w:line="276" w:lineRule="auto"/>
      </w:pPr>
      <w:r>
        <w:rPr>
          <w:rFonts w:ascii="Arial" w:hAnsi="Arial"/>
          <w:b/>
          <w:color w:val="000000"/>
          <w:sz w:val="20"/>
        </w:rPr>
        <w:t xml:space="preserve">Published In: </w:t>
      </w:r>
      <w:r>
        <w:rPr>
          <w:rFonts w:ascii="Arial" w:hAnsi="Arial"/>
          <w:b w:val="0"/>
          <w:color w:val="000000"/>
          <w:sz w:val="20"/>
        </w:rPr>
        <w:t>JMH (Journal of Management &amp; Health)</w:t>
      </w:r>
    </w:p>
    <w:p>
      <w:pPr>
        <w:spacing w:after="60" w:line="276" w:lineRule="auto"/>
      </w:pPr>
      <w:r>
        <w:rPr>
          <w:rFonts w:ascii="Arial" w:hAnsi="Arial"/>
          <w:b/>
          <w:color w:val="000000"/>
          <w:sz w:val="20"/>
        </w:rPr>
        <w:t xml:space="preserve">Exhibit: </w:t>
      </w:r>
      <w:r>
        <w:rPr>
          <w:rFonts w:ascii="Arial" w:hAnsi="Arial"/>
          <w:b w:val="0"/>
          <w:color w:val="000000"/>
          <w:sz w:val="20"/>
        </w:rPr>
        <w:t>Exhibit 36</w:t>
      </w:r>
    </w:p>
    <w:p>
      <w:pPr>
        <w:spacing w:after="80"/>
      </w:pPr>
      <w:r>
        <w:rPr>
          <w:rFonts w:ascii="Arial" w:hAnsi="Arial"/>
          <w:color w:val="666666"/>
          <w:sz w:val="16"/>
        </w:rPr>
        <w:t>[THUMBNAIL]</w:t>
      </w:r>
    </w:p>
    <w:p>
      <w:pPr>
        <w:spacing w:before="120" w:after="120"/>
        <w:pBdr>
          <w:bottom w:val="single" w:sz="4" w:space="1" w:color="CCCCCC"/>
        </w:pBdr>
      </w:pPr>
    </w:p>
    <w:p>
      <w:pPr>
        <w:spacing w:before="240" w:after="120" w:line="276" w:lineRule="auto"/>
        <w:jc w:val="left"/>
      </w:pPr>
      <w:r>
        <w:rPr>
          <w:rFonts w:ascii="Arial" w:hAnsi="Arial"/>
          <w:b/>
          <w:i w:val="0"/>
          <w:color w:val="000000"/>
          <w:sz w:val="22"/>
        </w:rPr>
        <w:t>Published Article — ACADEMIA Journal</w:t>
      </w:r>
    </w:p>
    <w:p>
      <w:pPr>
        <w:spacing w:after="60" w:line="276" w:lineRule="auto"/>
      </w:pPr>
      <w:r>
        <w:rPr>
          <w:rFonts w:ascii="Arial" w:hAnsi="Arial"/>
          <w:b/>
          <w:color w:val="000000"/>
          <w:sz w:val="20"/>
        </w:rPr>
        <w:t xml:space="preserve">Type: </w:t>
      </w:r>
      <w:r>
        <w:rPr>
          <w:rFonts w:ascii="Arial" w:hAnsi="Arial"/>
          <w:b w:val="0"/>
          <w:color w:val="000000"/>
          <w:sz w:val="20"/>
        </w:rPr>
        <w:t>Peer-Reviewed Article</w:t>
      </w:r>
    </w:p>
    <w:p>
      <w:pPr>
        <w:spacing w:after="60" w:line="276" w:lineRule="auto"/>
      </w:pPr>
      <w:r>
        <w:rPr>
          <w:rFonts w:ascii="Arial" w:hAnsi="Arial"/>
          <w:b/>
          <w:color w:val="000000"/>
          <w:sz w:val="20"/>
        </w:rPr>
        <w:t xml:space="preserve">Published In: </w:t>
      </w:r>
      <w:r>
        <w:rPr>
          <w:rFonts w:ascii="Arial" w:hAnsi="Arial"/>
          <w:b w:val="0"/>
          <w:color w:val="000000"/>
          <w:sz w:val="20"/>
        </w:rPr>
        <w:t>ACADEMIA Journal</w:t>
      </w:r>
    </w:p>
    <w:p>
      <w:pPr>
        <w:spacing w:after="60" w:line="276" w:lineRule="auto"/>
      </w:pPr>
      <w:r>
        <w:rPr>
          <w:rFonts w:ascii="Arial" w:hAnsi="Arial"/>
          <w:b/>
          <w:color w:val="000000"/>
          <w:sz w:val="20"/>
        </w:rPr>
        <w:t xml:space="preserve">Exhibit: </w:t>
      </w:r>
      <w:r>
        <w:rPr>
          <w:rFonts w:ascii="Arial" w:hAnsi="Arial"/>
          <w:b w:val="0"/>
          <w:color w:val="000000"/>
          <w:sz w:val="20"/>
        </w:rPr>
        <w:t>Exhibit 37</w:t>
      </w:r>
    </w:p>
    <w:p>
      <w:pPr>
        <w:spacing w:after="80"/>
      </w:pPr>
      <w:r>
        <w:rPr>
          <w:rFonts w:ascii="Arial" w:hAnsi="Arial"/>
          <w:color w:val="666666"/>
          <w:sz w:val="16"/>
        </w:rPr>
        <w:t>[THUMBNAIL]</w:t>
      </w:r>
    </w:p>
    <w:p>
      <w:pPr>
        <w:spacing w:before="120" w:after="120"/>
        <w:pBdr>
          <w:bottom w:val="single" w:sz="4" w:space="1" w:color="CCCCCC"/>
        </w:pBdr>
      </w:pPr>
    </w:p>
    <w:p>
      <w:pPr>
        <w:spacing w:before="240" w:after="120" w:line="276" w:lineRule="auto"/>
        <w:jc w:val="left"/>
      </w:pPr>
      <w:r>
        <w:rPr>
          <w:rFonts w:ascii="Arial" w:hAnsi="Arial"/>
          <w:b/>
          <w:i w:val="0"/>
          <w:color w:val="000000"/>
          <w:sz w:val="24"/>
        </w:rPr>
        <w:t>Peer Review Activities</w:t>
      </w:r>
    </w:p>
    <w:p>
      <w:pPr>
        <w:spacing w:before="0" w:after="120" w:line="276" w:lineRule="auto"/>
        <w:jc w:val="left"/>
      </w:pPr>
      <w:r>
        <w:rPr>
          <w:rFonts w:ascii="Arial" w:hAnsi="Arial"/>
          <w:b w:val="0"/>
          <w:i w:val="0"/>
          <w:color w:val="000000"/>
          <w:sz w:val="21"/>
        </w:rPr>
        <w:t>Invited to serve as a peer reviewer for SAMR (Society for the Advancement of Management Research), an academic organization dedicated to advancing management science. Selection as a peer reviewer indicates recognition of expertise sufficient to evaluate the scholarly contributions of other researchers in the field. Peer review service represents a bidirectional validation: it confirms standing as a recognized expert and engagement with the frontiers of knowledge in enterprise digital transformation.</w:t>
      </w:r>
    </w:p>
    <w:p>
      <w:pPr>
        <w:spacing w:after="60" w:line="276" w:lineRule="auto"/>
      </w:pPr>
      <w:r>
        <w:rPr>
          <w:rFonts w:ascii="Arial" w:hAnsi="Arial"/>
          <w:b/>
          <w:color w:val="000000"/>
          <w:sz w:val="20"/>
        </w:rPr>
        <w:t xml:space="preserve">Exhibit: </w:t>
      </w:r>
      <w:r>
        <w:rPr>
          <w:rFonts w:ascii="Arial" w:hAnsi="Arial"/>
          <w:b w:val="0"/>
          <w:color w:val="000000"/>
          <w:sz w:val="20"/>
        </w:rPr>
        <w:t>Exhibit 38 — SAMR Peer Reviewer Invitation</w:t>
      </w:r>
    </w:p>
    <w:p>
      <w:pPr>
        <w:spacing w:after="60" w:line="276" w:lineRule="auto"/>
      </w:pPr>
      <w:r>
        <w:rPr>
          <w:rFonts w:ascii="Arial" w:hAnsi="Arial"/>
          <w:b/>
          <w:color w:val="000000"/>
          <w:sz w:val="20"/>
        </w:rPr>
        <w:t xml:space="preserve">Exhibit: </w:t>
      </w:r>
      <w:r>
        <w:rPr>
          <w:rFonts w:ascii="Arial" w:hAnsi="Arial"/>
          <w:b w:val="0"/>
          <w:color w:val="000000"/>
          <w:sz w:val="20"/>
        </w:rPr>
        <w:t>Exhibit 39 — SAMR Peer Reviewer Certificate</w:t>
      </w:r>
    </w:p>
    <w:p>
      <w:pPr>
        <w:spacing w:after="80"/>
      </w:pPr>
      <w:r>
        <w:rPr>
          <w:rFonts w:ascii="Arial" w:hAnsi="Arial"/>
          <w:color w:val="666666"/>
          <w:sz w:val="16"/>
        </w:rPr>
        <w:t>[THUMBNAIL]</w:t>
      </w:r>
    </w:p>
    <w:p>
      <w:r>
        <w:br w:type="page"/>
      </w:r>
    </w:p>
    <w:p>
      <w:pPr>
        <w:spacing w:before="480" w:after="240" w:line="276" w:lineRule="auto"/>
        <w:jc w:val="left"/>
      </w:pPr>
      <w:r>
        <w:rPr>
          <w:rFonts w:ascii="Arial" w:hAnsi="Arial"/>
          <w:b/>
          <w:i w:val="0"/>
          <w:color w:val="000000"/>
          <w:sz w:val="28"/>
        </w:rPr>
        <w:t>PROFESSIONAL AWARDS &amp; RECOGNITION</w:t>
      </w:r>
    </w:p>
    <w:p>
      <w:pPr>
        <w:spacing w:before="240" w:after="120" w:line="276" w:lineRule="auto"/>
        <w:jc w:val="left"/>
      </w:pPr>
      <w:r>
        <w:rPr>
          <w:rFonts w:ascii="Arial" w:hAnsi="Arial"/>
          <w:b/>
          <w:i w:val="0"/>
          <w:color w:val="000000"/>
          <w:sz w:val="24"/>
        </w:rPr>
        <w:t>IEEE Senior Membership — Distinguished Professional Grade</w:t>
      </w:r>
    </w:p>
    <w:p>
      <w:pPr>
        <w:spacing w:after="60" w:line="276" w:lineRule="auto"/>
      </w:pPr>
      <w:r>
        <w:rPr>
          <w:rFonts w:ascii="Arial" w:hAnsi="Arial"/>
          <w:b/>
          <w:color w:val="000000"/>
          <w:sz w:val="20"/>
        </w:rPr>
        <w:t xml:space="preserve">Issuing Entity: </w:t>
      </w:r>
      <w:r>
        <w:rPr>
          <w:rFonts w:ascii="Arial" w:hAnsi="Arial"/>
          <w:b w:val="0"/>
          <w:color w:val="000000"/>
          <w:sz w:val="20"/>
        </w:rPr>
        <w:t>Institute of Electrical and Electronics Engineers (IEEE)</w:t>
      </w:r>
    </w:p>
    <w:p>
      <w:pPr>
        <w:spacing w:after="60" w:line="276" w:lineRule="auto"/>
      </w:pPr>
      <w:r>
        <w:rPr>
          <w:rFonts w:ascii="Arial" w:hAnsi="Arial"/>
          <w:b/>
          <w:color w:val="000000"/>
          <w:sz w:val="20"/>
        </w:rPr>
        <w:t xml:space="preserve">Date: </w:t>
      </w:r>
      <w:r>
        <w:rPr>
          <w:rFonts w:ascii="Arial" w:hAnsi="Arial"/>
          <w:b w:val="0"/>
          <w:color w:val="000000"/>
          <w:sz w:val="20"/>
        </w:rPr>
        <w:t>[VERIFICAR]</w:t>
      </w:r>
    </w:p>
    <w:p>
      <w:pPr>
        <w:spacing w:after="60" w:line="276" w:lineRule="auto"/>
      </w:pPr>
      <w:r>
        <w:rPr>
          <w:rFonts w:ascii="Arial" w:hAnsi="Arial"/>
          <w:b/>
          <w:color w:val="000000"/>
          <w:sz w:val="20"/>
        </w:rPr>
        <w:t xml:space="preserve">Exhibit: </w:t>
      </w:r>
      <w:r>
        <w:rPr>
          <w:rFonts w:ascii="Arial" w:hAnsi="Arial"/>
          <w:b w:val="0"/>
          <w:color w:val="000000"/>
          <w:sz w:val="20"/>
        </w:rPr>
        <w:t>Exhibit 6</w:t>
      </w:r>
    </w:p>
    <w:p>
      <w:pPr>
        <w:spacing w:after="80"/>
      </w:pPr>
      <w:r>
        <w:rPr>
          <w:rFonts w:ascii="Arial" w:hAnsi="Arial"/>
          <w:color w:val="666666"/>
          <w:sz w:val="16"/>
        </w:rPr>
        <w:t>[THUMBNAIL]</w:t>
      </w:r>
    </w:p>
    <w:p>
      <w:pPr>
        <w:spacing w:before="80" w:after="80" w:line="276" w:lineRule="auto"/>
        <w:jc w:val="left"/>
      </w:pPr>
      <w:r>
        <w:rPr>
          <w:rFonts w:ascii="Arial" w:hAnsi="Arial"/>
          <w:b/>
          <w:i w:val="0"/>
          <w:color w:val="000000"/>
          <w:sz w:val="21"/>
        </w:rPr>
        <w:t>Context:</w:t>
      </w:r>
    </w:p>
    <w:p>
      <w:pPr>
        <w:spacing w:before="0" w:after="120" w:line="276" w:lineRule="auto"/>
        <w:jc w:val="left"/>
      </w:pPr>
      <w:r>
        <w:rPr>
          <w:rFonts w:ascii="Arial" w:hAnsi="Arial"/>
          <w:b w:val="0"/>
          <w:i w:val="0"/>
          <w:color w:val="000000"/>
          <w:sz w:val="21"/>
        </w:rPr>
        <w:t>IEEE Senior Membership is awarded to the top tier of IEEE professionals worldwide, requiring a minimum of 10 years of professional practice, significant performance over at least five years, and nomination and review by existing IEEE Senior Members or Fellows. Selected from a membership base of over 400,000 professionals in 160 countries.</w:t>
      </w:r>
    </w:p>
    <w:p>
      <w:pPr>
        <w:spacing w:before="80" w:after="80" w:line="276" w:lineRule="auto"/>
        <w:jc w:val="left"/>
      </w:pPr>
      <w:r>
        <w:rPr>
          <w:rFonts w:ascii="Arial" w:hAnsi="Arial"/>
          <w:b/>
          <w:i w:val="0"/>
          <w:color w:val="000000"/>
          <w:sz w:val="21"/>
        </w:rPr>
        <w:t>Impact:</w:t>
      </w:r>
    </w:p>
    <w:p>
      <w:pPr>
        <w:spacing w:before="0" w:after="120" w:line="276" w:lineRule="auto"/>
        <w:jc w:val="left"/>
      </w:pPr>
      <w:r>
        <w:rPr>
          <w:rFonts w:ascii="Arial" w:hAnsi="Arial"/>
          <w:b w:val="0"/>
          <w:i w:val="0"/>
          <w:color w:val="000000"/>
          <w:sz w:val="21"/>
        </w:rPr>
        <w:t>Independently validates technical expertise at a level recognized by the global engineering and technology community, outside the immigration context. Demonstrates sustained professional excellence in information technology and digital systems.</w:t>
      </w:r>
    </w:p>
    <w:p>
      <w:pPr>
        <w:spacing w:before="120" w:after="120"/>
        <w:pBdr>
          <w:bottom w:val="single" w:sz="4" w:space="1" w:color="CCCCCC"/>
        </w:pBdr>
      </w:pPr>
    </w:p>
    <w:p>
      <w:pPr>
        <w:spacing w:before="240" w:after="120" w:line="276" w:lineRule="auto"/>
        <w:jc w:val="left"/>
      </w:pPr>
      <w:r>
        <w:rPr>
          <w:rFonts w:ascii="Arial" w:hAnsi="Arial"/>
          <w:b/>
          <w:i w:val="0"/>
          <w:color w:val="000000"/>
          <w:sz w:val="24"/>
        </w:rPr>
        <w:t>SAMR Peer Reviewer Selection</w:t>
      </w:r>
    </w:p>
    <w:p>
      <w:pPr>
        <w:spacing w:after="60" w:line="276" w:lineRule="auto"/>
      </w:pPr>
      <w:r>
        <w:rPr>
          <w:rFonts w:ascii="Arial" w:hAnsi="Arial"/>
          <w:b/>
          <w:color w:val="000000"/>
          <w:sz w:val="20"/>
        </w:rPr>
        <w:t xml:space="preserve">Issuing Entity: </w:t>
      </w:r>
      <w:r>
        <w:rPr>
          <w:rFonts w:ascii="Arial" w:hAnsi="Arial"/>
          <w:b w:val="0"/>
          <w:color w:val="000000"/>
          <w:sz w:val="20"/>
        </w:rPr>
        <w:t>Society for the Advancement of Management Research (SAMR)</w:t>
      </w:r>
    </w:p>
    <w:p>
      <w:pPr>
        <w:spacing w:after="60" w:line="276" w:lineRule="auto"/>
      </w:pPr>
      <w:r>
        <w:rPr>
          <w:rFonts w:ascii="Arial" w:hAnsi="Arial"/>
          <w:b/>
          <w:color w:val="000000"/>
          <w:sz w:val="20"/>
        </w:rPr>
        <w:t xml:space="preserve">Date: </w:t>
      </w:r>
      <w:r>
        <w:rPr>
          <w:rFonts w:ascii="Arial" w:hAnsi="Arial"/>
          <w:b w:val="0"/>
          <w:color w:val="000000"/>
          <w:sz w:val="20"/>
        </w:rPr>
        <w:t>[VERIFICAR]</w:t>
      </w:r>
    </w:p>
    <w:p>
      <w:pPr>
        <w:spacing w:after="60" w:line="276" w:lineRule="auto"/>
      </w:pPr>
      <w:r>
        <w:rPr>
          <w:rFonts w:ascii="Arial" w:hAnsi="Arial"/>
          <w:b/>
          <w:color w:val="000000"/>
          <w:sz w:val="20"/>
        </w:rPr>
        <w:t xml:space="preserve">Exhibits: </w:t>
      </w:r>
      <w:r>
        <w:rPr>
          <w:rFonts w:ascii="Arial" w:hAnsi="Arial"/>
          <w:b w:val="0"/>
          <w:color w:val="000000"/>
          <w:sz w:val="20"/>
        </w:rPr>
        <w:t>Exhibit 38 (Invitation), Exhibit 39 (Certificate)</w:t>
      </w:r>
    </w:p>
    <w:p>
      <w:pPr>
        <w:spacing w:after="80"/>
      </w:pPr>
      <w:r>
        <w:rPr>
          <w:rFonts w:ascii="Arial" w:hAnsi="Arial"/>
          <w:color w:val="666666"/>
          <w:sz w:val="16"/>
        </w:rPr>
        <w:t>[THUMBNAIL]</w:t>
      </w:r>
    </w:p>
    <w:p>
      <w:pPr>
        <w:spacing w:before="80" w:after="80" w:line="276" w:lineRule="auto"/>
        <w:jc w:val="left"/>
      </w:pPr>
      <w:r>
        <w:rPr>
          <w:rFonts w:ascii="Arial" w:hAnsi="Arial"/>
          <w:b/>
          <w:i w:val="0"/>
          <w:color w:val="000000"/>
          <w:sz w:val="21"/>
        </w:rPr>
        <w:t>Context:</w:t>
      </w:r>
    </w:p>
    <w:p>
      <w:pPr>
        <w:spacing w:before="0" w:after="120" w:line="276" w:lineRule="auto"/>
        <w:jc w:val="left"/>
      </w:pPr>
      <w:r>
        <w:rPr>
          <w:rFonts w:ascii="Arial" w:hAnsi="Arial"/>
          <w:b w:val="0"/>
          <w:i w:val="0"/>
          <w:color w:val="000000"/>
          <w:sz w:val="21"/>
        </w:rPr>
        <w:t>Invited to serve as peer reviewer for an academic organization dedicated to advancing management science. Selection as a peer reviewer indicates that the academic community recognizes the expertise as sufficient to evaluate the scholarly contributions of other researchers in the field of enterprise digital transformation.</w:t>
      </w:r>
    </w:p>
    <w:p>
      <w:r>
        <w:br w:type="page"/>
      </w:r>
    </w:p>
    <w:p>
      <w:pPr>
        <w:spacing w:before="480" w:after="240" w:line="276" w:lineRule="auto"/>
        <w:jc w:val="left"/>
      </w:pPr>
      <w:r>
        <w:rPr>
          <w:rFonts w:ascii="Arial" w:hAnsi="Arial"/>
          <w:b/>
          <w:i w:val="0"/>
          <w:color w:val="000000"/>
          <w:sz w:val="28"/>
        </w:rPr>
        <w:t>PROFESSIONAL AFFILIATIONS &amp; ASSOCIATIONS</w:t>
      </w:r>
    </w:p>
    <w:p>
      <w:pPr>
        <w:spacing w:before="240" w:after="120" w:line="276" w:lineRule="auto"/>
        <w:jc w:val="left"/>
      </w:pPr>
      <w:r>
        <w:rPr>
          <w:rFonts w:ascii="Arial" w:hAnsi="Arial"/>
          <w:b/>
          <w:i w:val="0"/>
          <w:color w:val="000000"/>
          <w:sz w:val="24"/>
        </w:rPr>
        <w:t>Institute of Electrical and Electronics Engineers (IEEE)</w:t>
      </w:r>
    </w:p>
    <w:p>
      <w:pPr>
        <w:spacing w:after="60" w:line="276" w:lineRule="auto"/>
      </w:pPr>
      <w:r>
        <w:rPr>
          <w:rFonts w:ascii="Arial" w:hAnsi="Arial"/>
          <w:b/>
          <w:color w:val="000000"/>
          <w:sz w:val="20"/>
        </w:rPr>
        <w:t xml:space="preserve">Type of Membership: </w:t>
      </w:r>
      <w:r>
        <w:rPr>
          <w:rFonts w:ascii="Arial" w:hAnsi="Arial"/>
          <w:b w:val="0"/>
          <w:color w:val="000000"/>
          <w:sz w:val="20"/>
        </w:rPr>
        <w:t>Senior Member</w:t>
      </w:r>
    </w:p>
    <w:p>
      <w:pPr>
        <w:spacing w:after="60" w:line="276" w:lineRule="auto"/>
      </w:pPr>
      <w:r>
        <w:rPr>
          <w:rFonts w:ascii="Arial" w:hAnsi="Arial"/>
          <w:b/>
          <w:color w:val="000000"/>
          <w:sz w:val="20"/>
        </w:rPr>
        <w:t xml:space="preserve">Period: </w:t>
      </w:r>
      <w:r>
        <w:rPr>
          <w:rFonts w:ascii="Arial" w:hAnsi="Arial"/>
          <w:b w:val="0"/>
          <w:color w:val="000000"/>
          <w:sz w:val="20"/>
        </w:rPr>
        <w:t>[VERIFICAR] – Present</w:t>
      </w:r>
    </w:p>
    <w:p>
      <w:pPr>
        <w:spacing w:after="60" w:line="276" w:lineRule="auto"/>
      </w:pPr>
      <w:r>
        <w:rPr>
          <w:rFonts w:ascii="Arial" w:hAnsi="Arial"/>
          <w:b/>
          <w:color w:val="000000"/>
          <w:sz w:val="20"/>
        </w:rPr>
        <w:t xml:space="preserve">Website: </w:t>
      </w:r>
      <w:r>
        <w:rPr>
          <w:rFonts w:ascii="Arial" w:hAnsi="Arial"/>
          <w:b w:val="0"/>
          <w:color w:val="000000"/>
          <w:sz w:val="20"/>
        </w:rPr>
        <w:t>https://www.ieee.org</w:t>
      </w:r>
    </w:p>
    <w:p>
      <w:pPr>
        <w:spacing w:before="80" w:after="160" w:line="276" w:lineRule="auto"/>
        <w:jc w:val="left"/>
      </w:pPr>
      <w:r>
        <w:rPr>
          <w:rFonts w:ascii="Arial" w:hAnsi="Arial"/>
          <w:b w:val="0"/>
          <w:i w:val="0"/>
          <w:color w:val="000000"/>
          <w:sz w:val="21"/>
        </w:rPr>
        <w:t>Objective: The world's largest technical professional organization with over 400,000 members in 160 countries. IEEE advances technology for the benefit of humanity through publications, conferences, standards, and professional development activities. Senior Membership provides access to the latest research, standards, and best practices in information technology, artificial intelligence, and digital systems.</w:t>
      </w:r>
    </w:p>
    <w:p>
      <w:pPr>
        <w:spacing w:before="120" w:after="120"/>
        <w:pBdr>
          <w:bottom w:val="single" w:sz="4" w:space="1" w:color="CCCCCC"/>
        </w:pBdr>
      </w:pPr>
    </w:p>
    <w:p>
      <w:pPr>
        <w:spacing w:before="240" w:after="120" w:line="276" w:lineRule="auto"/>
        <w:jc w:val="left"/>
      </w:pPr>
      <w:r>
        <w:rPr>
          <w:rFonts w:ascii="Arial" w:hAnsi="Arial"/>
          <w:b/>
          <w:i w:val="0"/>
          <w:color w:val="000000"/>
          <w:sz w:val="24"/>
        </w:rPr>
        <w:t>Project Management Institute (PMI)</w:t>
      </w:r>
    </w:p>
    <w:p>
      <w:pPr>
        <w:spacing w:after="60" w:line="276" w:lineRule="auto"/>
      </w:pPr>
      <w:r>
        <w:rPr>
          <w:rFonts w:ascii="Arial" w:hAnsi="Arial"/>
          <w:b/>
          <w:color w:val="000000"/>
          <w:sz w:val="20"/>
        </w:rPr>
        <w:t xml:space="preserve">Type of Membership: </w:t>
      </w:r>
      <w:r>
        <w:rPr>
          <w:rFonts w:ascii="Arial" w:hAnsi="Arial"/>
          <w:b w:val="0"/>
          <w:color w:val="000000"/>
          <w:sz w:val="20"/>
        </w:rPr>
        <w:t>Certified Member (DASM)</w:t>
      </w:r>
    </w:p>
    <w:p>
      <w:pPr>
        <w:spacing w:after="60" w:line="276" w:lineRule="auto"/>
      </w:pPr>
      <w:r>
        <w:rPr>
          <w:rFonts w:ascii="Arial" w:hAnsi="Arial"/>
          <w:b/>
          <w:color w:val="000000"/>
          <w:sz w:val="20"/>
        </w:rPr>
        <w:t xml:space="preserve">Period: </w:t>
      </w:r>
      <w:r>
        <w:rPr>
          <w:rFonts w:ascii="Arial" w:hAnsi="Arial"/>
          <w:b w:val="0"/>
          <w:color w:val="000000"/>
          <w:sz w:val="20"/>
        </w:rPr>
        <w:t>[VERIFICAR] – Present</w:t>
      </w:r>
    </w:p>
    <w:p>
      <w:pPr>
        <w:spacing w:after="60" w:line="276" w:lineRule="auto"/>
      </w:pPr>
      <w:r>
        <w:rPr>
          <w:rFonts w:ascii="Arial" w:hAnsi="Arial"/>
          <w:b/>
          <w:color w:val="000000"/>
          <w:sz w:val="20"/>
        </w:rPr>
        <w:t xml:space="preserve">Website: </w:t>
      </w:r>
      <w:r>
        <w:rPr>
          <w:rFonts w:ascii="Arial" w:hAnsi="Arial"/>
          <w:b w:val="0"/>
          <w:color w:val="000000"/>
          <w:sz w:val="20"/>
        </w:rPr>
        <w:t>https://www.pmi.org</w:t>
      </w:r>
    </w:p>
    <w:p>
      <w:pPr>
        <w:spacing w:before="80" w:after="160" w:line="276" w:lineRule="auto"/>
        <w:jc w:val="left"/>
      </w:pPr>
      <w:r>
        <w:rPr>
          <w:rFonts w:ascii="Arial" w:hAnsi="Arial"/>
          <w:b w:val="0"/>
          <w:i w:val="0"/>
          <w:color w:val="000000"/>
          <w:sz w:val="21"/>
        </w:rPr>
        <w:t>Objective: The world's leading professional association for project management with over 700,000 members globally. PMI sets global standards for project, program, and portfolio management, and its certifications are recognized worldwide as the benchmark for project management competence.</w:t>
      </w:r>
    </w:p>
    <w:p>
      <w:pPr>
        <w:spacing w:before="120" w:after="120"/>
        <w:pBdr>
          <w:bottom w:val="single" w:sz="4" w:space="1" w:color="CCCCCC"/>
        </w:pBdr>
      </w:pPr>
    </w:p>
    <w:p>
      <w:pPr>
        <w:spacing w:before="240" w:after="120" w:line="276" w:lineRule="auto"/>
        <w:jc w:val="left"/>
      </w:pPr>
      <w:r>
        <w:rPr>
          <w:rFonts w:ascii="Arial" w:hAnsi="Arial"/>
          <w:b/>
          <w:i w:val="0"/>
          <w:color w:val="000000"/>
          <w:sz w:val="24"/>
        </w:rPr>
        <w:t>Society for the Advancement of Management Research (SAMR)</w:t>
      </w:r>
    </w:p>
    <w:p>
      <w:pPr>
        <w:spacing w:after="60" w:line="276" w:lineRule="auto"/>
      </w:pPr>
      <w:r>
        <w:rPr>
          <w:rFonts w:ascii="Arial" w:hAnsi="Arial"/>
          <w:b/>
          <w:color w:val="000000"/>
          <w:sz w:val="20"/>
        </w:rPr>
        <w:t xml:space="preserve">Type of Membership: </w:t>
      </w:r>
      <w:r>
        <w:rPr>
          <w:rFonts w:ascii="Arial" w:hAnsi="Arial"/>
          <w:b w:val="0"/>
          <w:color w:val="000000"/>
          <w:sz w:val="20"/>
        </w:rPr>
        <w:t>Peer Reviewer</w:t>
      </w:r>
    </w:p>
    <w:p>
      <w:pPr>
        <w:spacing w:after="60" w:line="276" w:lineRule="auto"/>
      </w:pPr>
      <w:r>
        <w:rPr>
          <w:rFonts w:ascii="Arial" w:hAnsi="Arial"/>
          <w:b/>
          <w:color w:val="000000"/>
          <w:sz w:val="20"/>
        </w:rPr>
        <w:t xml:space="preserve">Period: </w:t>
      </w:r>
      <w:r>
        <w:rPr>
          <w:rFonts w:ascii="Arial" w:hAnsi="Arial"/>
          <w:b w:val="0"/>
          <w:color w:val="000000"/>
          <w:sz w:val="20"/>
        </w:rPr>
        <w:t>[VERIFICAR] – Present</w:t>
      </w:r>
    </w:p>
    <w:p>
      <w:pPr>
        <w:spacing w:before="80" w:after="160" w:line="276" w:lineRule="auto"/>
        <w:jc w:val="left"/>
      </w:pPr>
      <w:r>
        <w:rPr>
          <w:rFonts w:ascii="Arial" w:hAnsi="Arial"/>
          <w:b w:val="0"/>
          <w:i w:val="0"/>
          <w:color w:val="000000"/>
          <w:sz w:val="21"/>
        </w:rPr>
        <w:t>Objective: Academic organization dedicated to advancing management science through research, publication, and peer review. SAMR facilitates the exchange of knowledge between academic researchers and industry practitioners in management and business administration.</w:t>
      </w:r>
    </w:p>
    <w:p>
      <w:pPr>
        <w:spacing w:before="120" w:after="120"/>
        <w:pBdr>
          <w:bottom w:val="single" w:sz="4" w:space="1" w:color="CCCCCC"/>
        </w:pBdr>
      </w:pPr>
    </w:p>
    <w:p>
      <w:r>
        <w:br w:type="page"/>
      </w:r>
    </w:p>
    <w:p>
      <w:pPr>
        <w:spacing w:before="480" w:after="240" w:line="276" w:lineRule="auto"/>
        <w:jc w:val="left"/>
      </w:pPr>
      <w:r>
        <w:rPr>
          <w:rFonts w:ascii="Arial" w:hAnsi="Arial"/>
          <w:b/>
          <w:i w:val="0"/>
          <w:color w:val="000000"/>
          <w:sz w:val="28"/>
        </w:rPr>
        <w:t>NATIONAL/SECTORAL IMPACT, MEDIA &amp; FUTURE STRATEGIC OBJECTIVES</w:t>
      </w:r>
    </w:p>
    <w:p>
      <w:pPr>
        <w:spacing w:before="240" w:after="120" w:line="276" w:lineRule="auto"/>
        <w:jc w:val="left"/>
      </w:pPr>
      <w:r>
        <w:rPr>
          <w:rFonts w:ascii="Arial" w:hAnsi="Arial"/>
          <w:b/>
          <w:i w:val="0"/>
          <w:color w:val="000000"/>
          <w:sz w:val="24"/>
        </w:rPr>
        <w:t>National and Sectoral Impact</w:t>
      </w:r>
    </w:p>
    <w:p>
      <w:pPr>
        <w:spacing w:before="0" w:after="120" w:line="276" w:lineRule="auto"/>
        <w:jc w:val="left"/>
      </w:pPr>
      <w:r>
        <w:rPr>
          <w:rFonts w:ascii="Arial" w:hAnsi="Arial"/>
          <w:b w:val="0"/>
          <w:i w:val="0"/>
          <w:color w:val="000000"/>
          <w:sz w:val="21"/>
        </w:rPr>
        <w:t>Deni Ruben Moreira's professional trajectory demonstrates documented impact across critical economic sectors at both national and multinational scales. The quantified outcomes achieved across nine organizations validate the ability to deliver enterprise-wide transformation with measurable results:</w:t>
      </w:r>
    </w:p>
    <w:tbl>
      <w:tblPr>
        <w:tblW w:type="auto" w:w="0"/>
        <w:jc w:val="center"/>
        <w:tblLook w:firstColumn="1" w:firstRow="1" w:lastColumn="0" w:lastRow="0" w:noHBand="0" w:noVBand="1" w:val="04A0"/>
      </w:tblPr>
      <w:tblGrid>
        <w:gridCol w:w="3120"/>
        <w:gridCol w:w="3120"/>
        <w:gridCol w:w="3120"/>
      </w:tblGrid>
      <w:tr>
        <w:tc>
          <w:tcPr>
            <w:tcW w:type="dxa" w:w="3120"/>
            <w:shd w:fill="D5E8F0"/>
            <w:tcBorders>
              <w:top w:val="single" w:sz="4" w:space="0" w:color="CCCCCC"/>
              <w:bottom w:val="single" w:sz="4" w:space="0" w:color="CCCCCC"/>
              <w:left w:val="single" w:sz="4" w:space="0" w:color="CCCCCC"/>
              <w:right w:val="single" w:sz="4" w:space="0" w:color="CCCCCC"/>
            </w:tcBorders>
          </w:tcPr>
          <w:p>
            <w:r>
              <w:rPr>
                <w:rFonts w:ascii="Arial" w:hAnsi="Arial"/>
                <w:b/>
                <w:color w:val="000000"/>
                <w:sz w:val="20"/>
              </w:rPr>
              <w:t>Sector / Domain</w:t>
            </w:r>
          </w:p>
        </w:tc>
        <w:tc>
          <w:tcPr>
            <w:tcW w:type="dxa" w:w="3120"/>
            <w:shd w:fill="D5E8F0"/>
            <w:tcBorders>
              <w:top w:val="single" w:sz="4" w:space="0" w:color="CCCCCC"/>
              <w:bottom w:val="single" w:sz="4" w:space="0" w:color="CCCCCC"/>
              <w:left w:val="single" w:sz="4" w:space="0" w:color="CCCCCC"/>
              <w:right w:val="single" w:sz="4" w:space="0" w:color="CCCCCC"/>
            </w:tcBorders>
          </w:tcPr>
          <w:p>
            <w:r>
              <w:rPr>
                <w:rFonts w:ascii="Arial" w:hAnsi="Arial"/>
                <w:b/>
                <w:color w:val="000000"/>
                <w:sz w:val="20"/>
              </w:rPr>
              <w:t>Impact</w:t>
            </w:r>
          </w:p>
        </w:tc>
        <w:tc>
          <w:tcPr>
            <w:tcW w:type="dxa" w:w="3120"/>
            <w:shd w:fill="D5E8F0"/>
            <w:tcBorders>
              <w:top w:val="single" w:sz="4" w:space="0" w:color="CCCCCC"/>
              <w:bottom w:val="single" w:sz="4" w:space="0" w:color="CCCCCC"/>
              <w:left w:val="single" w:sz="4" w:space="0" w:color="CCCCCC"/>
              <w:right w:val="single" w:sz="4" w:space="0" w:color="CCCCCC"/>
            </w:tcBorders>
          </w:tcPr>
          <w:p>
            <w:r>
              <w:rPr>
                <w:rFonts w:ascii="Arial" w:hAnsi="Arial"/>
                <w:b/>
                <w:color w:val="000000"/>
                <w:sz w:val="20"/>
              </w:rPr>
              <w:t>Evidence</w:t>
            </w:r>
          </w:p>
        </w:tc>
      </w:tr>
      <w:tr>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Manufacturing (Resolute, $2B+)</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60% reduction in financial consolidation time; $1.2M annual savings</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Exhibit 15</w:t>
            </w:r>
          </w:p>
        </w:tc>
      </w:tr>
      <w:tr>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Agriculture (Sollio, FSMA)</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Zero FSMA audit findings; 75% traceability improvement</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Exhibit 18</w:t>
            </w:r>
          </w:p>
        </w:tc>
      </w:tr>
      <w:tr>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Financial Services (PSP, $200B+)</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$50M IT portfolio managed; cybersecurity governance implemented</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Exhibit 16</w:t>
            </w:r>
          </w:p>
        </w:tc>
      </w:tr>
      <w:tr>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Public Transit (STM, $75M)</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50% data access time reduction; 30% data-driven decision increase</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Exhibit 14</w:t>
            </w:r>
          </w:p>
        </w:tc>
      </w:tr>
      <w:tr>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SME Digital Transformation</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10+ simultaneous SME implementations; DRM Success Framework developed</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color w:val="000000"/>
                <w:sz w:val="20"/>
              </w:rPr>
              <w:t>Exhibits 8, 17</w:t>
            </w:r>
          </w:p>
        </w:tc>
      </w:tr>
    </w:tbl>
    <w:p>
      <w:pPr>
        <w:spacing w:before="120" w:after="120" w:line="276" w:lineRule="auto"/>
        <w:jc w:val="left"/>
      </w:pPr>
      <w:r>
        <w:rPr>
          <w:rFonts w:ascii="Arial" w:hAnsi="Arial"/>
          <w:b w:val="0"/>
          <w:i w:val="0"/>
          <w:color w:val="000000"/>
          <w:sz w:val="12"/>
        </w:rPr>
      </w:r>
    </w:p>
    <w:p>
      <w:pPr>
        <w:spacing w:before="0" w:after="200" w:line="276" w:lineRule="auto"/>
        <w:jc w:val="left"/>
      </w:pPr>
      <w:r>
        <w:rPr>
          <w:rFonts w:ascii="Arial" w:hAnsi="Arial"/>
          <w:b w:val="0"/>
          <w:i w:val="0"/>
          <w:color w:val="000000"/>
          <w:sz w:val="21"/>
        </w:rPr>
        <w:t>The rarity of the five-domain integration (ERP + BI + RPA + Regulatory Compliance + Workforce Training) is estimated at fewer than 50 professionals in the United States with verified experience across all five domains simultaneously. This cross-domain expertise directly addresses the $340 billion efficiency gap among 5.6 million American SMEs identified by federal sources (U.S. Department of Commerce, SBA Office of Advocacy, BLS).</w:t>
      </w:r>
    </w:p>
    <w:p>
      <w:pPr>
        <w:spacing w:before="240" w:after="120" w:line="276" w:lineRule="auto"/>
        <w:jc w:val="left"/>
      </w:pPr>
      <w:r>
        <w:rPr>
          <w:rFonts w:ascii="Arial" w:hAnsi="Arial"/>
          <w:b/>
          <w:i w:val="0"/>
          <w:color w:val="000000"/>
          <w:sz w:val="24"/>
        </w:rPr>
        <w:t>Expert and Professional Validation</w:t>
      </w:r>
    </w:p>
    <w:p>
      <w:pPr>
        <w:spacing w:before="0" w:after="120" w:line="276" w:lineRule="auto"/>
        <w:jc w:val="left"/>
      </w:pPr>
      <w:r>
        <w:rPr>
          <w:rFonts w:ascii="Arial" w:hAnsi="Arial"/>
          <w:b w:val="0"/>
          <w:i w:val="0"/>
          <w:color w:val="000000"/>
          <w:sz w:val="21"/>
        </w:rPr>
        <w:t>Deni Ruben Moreira's qualifications and proposed endeavor have been independently validated by the following experts and professionals:</w:t>
      </w:r>
    </w:p>
    <w:p>
      <w:pPr>
        <w:pStyle w:val="ListBullet"/>
        <w:spacing w:after="80" w:line="276" w:lineRule="auto"/>
      </w:pPr>
      <w:r>
        <w:rPr>
          <w:rFonts w:ascii="Arial" w:hAnsi="Arial"/>
          <w:b w:val="0"/>
          <w:color w:val="000000"/>
          <w:sz w:val="21"/>
        </w:rPr>
        <w:t>Dr. Tamjid Al Rahat (Amazon Web Services) — Expert Opinion Letter validating technical rigor of the DRM Success Framework, alignment between professional experience and enterprise digital transformation requirements, and the rarity of the five-domain expertise combination (Exhibit 25).</w:t>
      </w:r>
    </w:p>
    <w:p>
      <w:pPr>
        <w:pStyle w:val="ListBullet"/>
        <w:spacing w:after="80" w:line="276" w:lineRule="auto"/>
      </w:pPr>
      <w:r>
        <w:rPr>
          <w:rFonts w:ascii="Arial" w:hAnsi="Arial"/>
          <w:b w:val="0"/>
          <w:color w:val="000000"/>
          <w:sz w:val="21"/>
        </w:rPr>
        <w:t>Dr. Nihad Bassis — Expert Opinion Letter evaluating qualifications from an academic and research perspective, addressing the intellectual contribution of published research and peer review activities (Exhibit 26).</w:t>
      </w:r>
    </w:p>
    <w:p>
      <w:pPr>
        <w:pStyle w:val="ListBullet"/>
        <w:spacing w:after="80" w:line="276" w:lineRule="auto"/>
      </w:pPr>
      <w:r>
        <w:rPr>
          <w:rFonts w:ascii="Arial" w:hAnsi="Arial"/>
          <w:b w:val="0"/>
          <w:color w:val="000000"/>
          <w:sz w:val="21"/>
        </w:rPr>
        <w:t>Seven recommendation letters from direct supervisors and industry peers across six organizations: Florian Schmitt (ERA/Souris Mini), Urbano Cerqueira Matos Jr, Mathieu Boldireff (Nexus Innovation), Hugues Tremblay (Resolute/IBM), Françoise Guindon (PSP Investments), Céline Le Bon (BRP/SNC-Lavalin), Francisco Edgar (Verssur) (Exhibits 23, 24, 27–31).</w:t>
      </w:r>
    </w:p>
    <w:p>
      <w:pPr>
        <w:pStyle w:val="ListBullet"/>
        <w:spacing w:after="80" w:line="276" w:lineRule="auto"/>
      </w:pPr>
      <w:r>
        <w:rPr>
          <w:rFonts w:ascii="Arial" w:hAnsi="Arial"/>
          <w:b w:val="0"/>
          <w:color w:val="000000"/>
          <w:sz w:val="21"/>
        </w:rPr>
        <w:t>Two independent investors — VNW Construtora ($100,000) and Alvonil Revestimentos ($200,000) — committed a total of $300,000 in capital to DRM Solutions LLC, representing informed financial decisions by parties with their own capital at risk (Exhibits 33, 34).</w:t>
      </w:r>
    </w:p>
    <w:p>
      <w:pPr>
        <w:pStyle w:val="ListBullet"/>
        <w:spacing w:after="80" w:line="276" w:lineRule="auto"/>
      </w:pPr>
      <w:r>
        <w:rPr>
          <w:rFonts w:ascii="Arial" w:hAnsi="Arial"/>
          <w:b w:val="0"/>
          <w:color w:val="000000"/>
          <w:sz w:val="21"/>
        </w:rPr>
        <w:t>Galax School Corp. (Florida) — Letter of Intent expressing formal interest in engaging DRM Solutions LLC for digital transformation services, validating actual market demand (Exhibit 32).</w:t>
      </w:r>
    </w:p>
    <w:p>
      <w:pPr>
        <w:spacing w:before="240" w:after="120" w:line="276" w:lineRule="auto"/>
        <w:jc w:val="left"/>
      </w:pPr>
      <w:r>
        <w:rPr>
          <w:rFonts w:ascii="Arial" w:hAnsi="Arial"/>
          <w:b/>
          <w:i w:val="0"/>
          <w:color w:val="000000"/>
          <w:sz w:val="24"/>
        </w:rPr>
        <w:t>Future Strategic Objectives in the United States</w:t>
      </w:r>
    </w:p>
    <w:p>
      <w:pPr>
        <w:spacing w:before="0" w:after="160" w:line="276" w:lineRule="auto"/>
        <w:jc w:val="left"/>
      </w:pPr>
      <w:r>
        <w:rPr>
          <w:rFonts w:ascii="Arial" w:hAnsi="Arial"/>
          <w:b w:val="0"/>
          <w:i w:val="0"/>
          <w:color w:val="000000"/>
          <w:sz w:val="21"/>
        </w:rPr>
        <w:t>The proposed endeavor is the design, implementation, and governance of integrated digital transformation solutions for American small and medium-sized enterprises (SMEs) in critical economic sectors, through DRM Solutions LLC, established in Dallas-Fort Worth, Texas. The following strategic objectives connect Deni Ruben Moreira's 17-year professional trajectory to specific, measurable contributions to the American economy:</w:t>
      </w:r>
    </w:p>
    <w:p>
      <w:pPr>
        <w:pStyle w:val="ListBullet"/>
        <w:spacing w:after="80" w:line="276" w:lineRule="auto"/>
      </w:pPr>
      <w:r>
        <w:rPr>
          <w:rFonts w:ascii="Arial" w:hAnsi="Arial"/>
          <w:b w:val="0"/>
          <w:color w:val="000000"/>
          <w:sz w:val="21"/>
        </w:rPr>
        <w:t>Close the Digital Efficiency Gap for American SMEs: Deploy the proprietary DRM Success Framework to address the $340 billion efficiency deficit among 5.6 million American SMEs with 20–500 employees that lack integrated enterprise planning systems. Target 10–15 client engagements in Year 1, growing to 60–75 by Year 5, with focus on five critical infrastructure sectors (Financial Services, Food and Agriculture, Healthcare, Critical Manufacturing, Information Technology).</w:t>
      </w:r>
    </w:p>
    <w:p>
      <w:pPr>
        <w:pStyle w:val="ListBullet"/>
        <w:spacing w:after="80" w:line="276" w:lineRule="auto"/>
      </w:pPr>
      <w:r>
        <w:rPr>
          <w:rFonts w:ascii="Arial" w:hAnsi="Arial"/>
          <w:b w:val="0"/>
          <w:color w:val="000000"/>
          <w:sz w:val="21"/>
        </w:rPr>
        <w:t>Create American Jobs: Generate 3–4 direct employment positions in Year 1, growing to 22–28 by Year 5, plus 30–48 indirect jobs in Year 1 growing to 200–336 by Year 5 through client digital transformation implementations. Position types include senior consultants, junior analysts, and administrative support — all hired in the United States.</w:t>
      </w:r>
    </w:p>
    <w:p>
      <w:pPr>
        <w:pStyle w:val="ListBullet"/>
        <w:spacing w:after="80" w:line="276" w:lineRule="auto"/>
      </w:pPr>
      <w:r>
        <w:rPr>
          <w:rFonts w:ascii="Arial" w:hAnsi="Arial"/>
          <w:b w:val="0"/>
          <w:color w:val="000000"/>
          <w:sz w:val="21"/>
        </w:rPr>
        <w:t>Enable Regulatory Compliance for Critical Sectors: Implement technology-enabled governance frameworks for FSMA (food safety, 2026 compliance deadline), HIPAA (healthcare), SOX (financial reporting), Gramm-Leach-Bliley (financial services), and CMMC 2.0 (defense contracting, 2025–2026 phased implementation). Apply the zero-FSMA-findings methodology proven at Sollio Agriculture to American food manufacturers facing imminent compliance deadlines.</w:t>
      </w:r>
    </w:p>
    <w:p>
      <w:pPr>
        <w:pStyle w:val="ListBullet"/>
        <w:spacing w:after="80" w:line="276" w:lineRule="auto"/>
      </w:pPr>
      <w:r>
        <w:rPr>
          <w:rFonts w:ascii="Arial" w:hAnsi="Arial"/>
          <w:b w:val="0"/>
          <w:color w:val="000000"/>
          <w:sz w:val="21"/>
        </w:rPr>
        <w:t>Generate Economic Value: Project revenue growth from $680K–$1M in Year 1 to $3.2M–$3.8M in Year 5. Contribute $80K–$120K in estimated tax revenue in Year 1, growing to $500K–$650K by Year 5. Generate $2.5M–$4M in client efficiency gains in Year 1, growing to $25M–$35M by Year 5 through operational productivity improvements of 15–25% per client engagement.</w:t>
      </w:r>
    </w:p>
    <w:p>
      <w:pPr>
        <w:pStyle w:val="ListBullet"/>
        <w:spacing w:after="80" w:line="276" w:lineRule="auto"/>
      </w:pPr>
      <w:r>
        <w:rPr>
          <w:rFonts w:ascii="Arial" w:hAnsi="Arial"/>
          <w:b w:val="0"/>
          <w:color w:val="000000"/>
          <w:sz w:val="21"/>
        </w:rPr>
        <w:t>Advance Federal Technology Priorities: Directly implement the technology modernization and workforce development objectives established by the CHIPS and Science Act, WIOA, Infrastructure Act, Small Business Act, and CISA Act. Align operations with Executive Orders 14110 (AI), 14028 (Cybersecurity), 14017 (Supply Chains), and 14008 (Climate/Efficiency). Serve five of the 16 CISA-designated critical infrastructure sectors.</w:t>
      </w:r>
    </w:p>
    <w:p>
      <w:pPr>
        <w:pStyle w:val="ListBullet"/>
        <w:spacing w:after="80" w:line="276" w:lineRule="auto"/>
      </w:pPr>
      <w:r>
        <w:rPr>
          <w:rFonts w:ascii="Arial" w:hAnsi="Arial"/>
          <w:b w:val="0"/>
          <w:color w:val="000000"/>
          <w:sz w:val="21"/>
        </w:rPr>
        <w:t>Leverage Cross-Border Expertise: Apply trilingual (English, Portuguese, French) and multicultural professional experience spanning four countries to serve the increasingly global American SME market. Provide specialized support for SMEs in Texas and the southern United States that serve or source from Latin American markets, bridging cross-border business operations, regulatory frameworks, and cultural dynamics.</w:t>
      </w:r>
    </w:p>
    <w:p>
      <w:pPr>
        <w:spacing w:before="240" w:after="120" w:line="276" w:lineRule="auto"/>
        <w:jc w:val="left"/>
      </w:pPr>
      <w:r>
        <w:rPr>
          <w:rFonts w:ascii="Arial" w:hAnsi="Arial"/>
          <w:b/>
          <w:i w:val="0"/>
          <w:color w:val="000000"/>
          <w:sz w:val="22"/>
        </w:rPr>
        <w:t>DRM Solutions LLC — Five Integrated Service Lines</w:t>
      </w:r>
    </w:p>
    <w:tbl>
      <w:tblPr>
        <w:tblW w:type="auto" w:w="0"/>
        <w:jc w:val="center"/>
        <w:tblLook w:firstColumn="1" w:firstRow="1" w:lastColumn="0" w:lastRow="0" w:noHBand="0" w:noVBand="1" w:val="04A0"/>
      </w:tblPr>
      <w:tblGrid>
        <w:gridCol w:w="3120"/>
        <w:gridCol w:w="3120"/>
        <w:gridCol w:w="3120"/>
      </w:tblGrid>
      <w:tr>
        <w:tc>
          <w:tcPr>
            <w:tcW w:type="dxa" w:w="3120"/>
            <w:shd w:fill="D5E8F0"/>
            <w:tcBorders>
              <w:top w:val="single" w:sz="4" w:space="0" w:color="CCCCCC"/>
              <w:bottom w:val="single" w:sz="4" w:space="0" w:color="CCCCCC"/>
              <w:left w:val="single" w:sz="4" w:space="0" w:color="CCCCCC"/>
              <w:right w:val="single" w:sz="4" w:space="0" w:color="CCCCCC"/>
            </w:tcBorders>
          </w:tcPr>
          <w:p>
            <w:r>
              <w:rPr>
                <w:rFonts w:ascii="Arial" w:hAnsi="Arial"/>
                <w:b/>
                <w:color w:val="000000"/>
                <w:sz w:val="20"/>
              </w:rPr>
              <w:t>Service Line</w:t>
            </w:r>
          </w:p>
        </w:tc>
        <w:tc>
          <w:tcPr>
            <w:tcW w:type="dxa" w:w="3120"/>
            <w:shd w:fill="D5E8F0"/>
            <w:tcBorders>
              <w:top w:val="single" w:sz="4" w:space="0" w:color="CCCCCC"/>
              <w:bottom w:val="single" w:sz="4" w:space="0" w:color="CCCCCC"/>
              <w:left w:val="single" w:sz="4" w:space="0" w:color="CCCCCC"/>
              <w:right w:val="single" w:sz="4" w:space="0" w:color="CCCCCC"/>
            </w:tcBorders>
          </w:tcPr>
          <w:p>
            <w:r>
              <w:rPr>
                <w:rFonts w:ascii="Arial" w:hAnsi="Arial"/>
                <w:b/>
                <w:color w:val="000000"/>
                <w:sz w:val="20"/>
              </w:rPr>
              <w:t>Description</w:t>
            </w:r>
          </w:p>
        </w:tc>
        <w:tc>
          <w:tcPr>
            <w:tcW w:type="dxa" w:w="3120"/>
            <w:shd w:fill="D5E8F0"/>
            <w:tcBorders>
              <w:top w:val="single" w:sz="4" w:space="0" w:color="CCCCCC"/>
              <w:bottom w:val="single" w:sz="4" w:space="0" w:color="CCCCCC"/>
              <w:left w:val="single" w:sz="4" w:space="0" w:color="CCCCCC"/>
              <w:right w:val="single" w:sz="4" w:space="0" w:color="CCCCCC"/>
            </w:tcBorders>
          </w:tcPr>
          <w:p>
            <w:r>
              <w:rPr>
                <w:rFonts w:ascii="Arial" w:hAnsi="Arial"/>
                <w:b/>
                <w:color w:val="000000"/>
                <w:sz w:val="20"/>
              </w:rPr>
              <w:t>Year 1 Target</w:t>
            </w:r>
          </w:p>
        </w:tc>
      </w:tr>
      <w:tr>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Strategic Digital Transformation Consulting</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Diagnostic, technology selection, roadmap design</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$180K–$250K</w:t>
            </w:r>
          </w:p>
        </w:tc>
      </w:tr>
      <w:tr>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ERP Implementation for SMEs</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SAP Business One / Microsoft Business Central</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$200K–$300K</w:t>
            </w:r>
          </w:p>
        </w:tc>
      </w:tr>
      <w:tr>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Business Intelligence and Data Analytics</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BI architecture, dashboards, KPI design</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$120K–$180K</w:t>
            </w:r>
          </w:p>
        </w:tc>
      </w:tr>
      <w:tr>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Regulatory Compliance and Governance</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FSMA, HIPAA, SOX, Gramm-Leach-Bliley frameworks</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$100K–$150K</w:t>
            </w:r>
          </w:p>
        </w:tc>
      </w:tr>
      <w:tr>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Corporate Training in Digital Transformation</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4-module structured program</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val="0"/>
                <w:color w:val="000000"/>
                <w:sz w:val="20"/>
              </w:rPr>
              <w:t>$80K–$120K</w:t>
            </w:r>
          </w:p>
        </w:tc>
      </w:tr>
      <w:tr>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color w:val="000000"/>
                <w:sz w:val="20"/>
              </w:rPr>
              <w:t>Total Projected Year 1</w:t>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color w:val="000000"/>
                <w:sz w:val="20"/>
              </w:rPr>
            </w:r>
          </w:p>
        </w:tc>
        <w:tc>
          <w:tcPr>
            <w:tcW w:type="dxa" w:w="3120"/>
            <w:tcBorders>
              <w:top w:val="single" w:sz="4" w:space="0" w:color="CCCCCC"/>
              <w:bottom w:val="single" w:sz="4" w:space="0" w:color="CCCCCC"/>
              <w:left w:val="single" w:sz="4" w:space="0" w:color="CCCCCC"/>
              <w:right w:val="single" w:sz="4" w:space="0" w:color="CCCCCC"/>
            </w:tcBorders>
          </w:tcPr>
          <w:p>
            <w:r>
              <w:rPr>
                <w:rFonts w:ascii="Arial" w:hAnsi="Arial"/>
                <w:b/>
                <w:color w:val="000000"/>
                <w:sz w:val="20"/>
              </w:rPr>
              <w:t>$680K–$1,000K</w:t>
            </w:r>
          </w:p>
        </w:tc>
      </w:tr>
    </w:tbl>
    <w:p>
      <w:pPr>
        <w:spacing w:before="120" w:after="120" w:line="276" w:lineRule="auto"/>
        <w:jc w:val="left"/>
      </w:pPr>
      <w:r>
        <w:rPr>
          <w:rFonts w:ascii="Arial" w:hAnsi="Arial"/>
          <w:b w:val="0"/>
          <w:i w:val="0"/>
          <w:color w:val="000000"/>
          <w:sz w:val="12"/>
        </w:rPr>
      </w:r>
    </w:p>
    <w:p>
      <w:pPr>
        <w:spacing w:before="240" w:after="120" w:line="276" w:lineRule="auto"/>
        <w:jc w:val="left"/>
      </w:pPr>
      <w:r>
        <w:rPr>
          <w:rFonts w:ascii="Arial" w:hAnsi="Arial"/>
          <w:b/>
          <w:i w:val="0"/>
          <w:color w:val="000000"/>
          <w:sz w:val="22"/>
        </w:rPr>
        <w:t>Five-Year Growth Projections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D5E8F0"/>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20"/>
              </w:rPr>
              <w:t>Year</w:t>
            </w:r>
          </w:p>
        </w:tc>
        <w:tc>
          <w:tcPr>
            <w:tcW w:type="dxa" w:w="2340"/>
            <w:shd w:fill="D5E8F0"/>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20"/>
              </w:rPr>
              <w:t>Revenue</w:t>
            </w:r>
          </w:p>
        </w:tc>
        <w:tc>
          <w:tcPr>
            <w:tcW w:type="dxa" w:w="2340"/>
            <w:shd w:fill="D5E8F0"/>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20"/>
              </w:rPr>
              <w:t>Direct Employees</w:t>
            </w:r>
          </w:p>
        </w:tc>
        <w:tc>
          <w:tcPr>
            <w:tcW w:type="dxa" w:w="2340"/>
            <w:shd w:fill="D5E8F0"/>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000000"/>
                <w:sz w:val="20"/>
              </w:rPr>
              <w:t>Client Engagements</w:t>
            </w:r>
          </w:p>
        </w:tc>
      </w:tr>
      <w:tr>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Year 1</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$680K–$1.0M</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3–4</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10–15</w:t>
            </w:r>
          </w:p>
        </w:tc>
      </w:tr>
      <w:tr>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Year 2</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$1.2M–$1.5M</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6–8</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18–25</w:t>
            </w:r>
          </w:p>
        </w:tc>
      </w:tr>
      <w:tr>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Year 3</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$1.8M–$2.2M</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10–14</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30–40</w:t>
            </w:r>
          </w:p>
        </w:tc>
      </w:tr>
      <w:tr>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Year 4</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$2.5M–$3.0M</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16–20</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45–55</w:t>
            </w:r>
          </w:p>
        </w:tc>
      </w:tr>
      <w:tr>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Year 5</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$3.2M–$3.8M</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22–28</w:t>
            </w:r>
          </w:p>
        </w:tc>
        <w:tc>
          <w:tcPr>
            <w:tcW w:type="dxa" w:w="2340"/>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color w:val="000000"/>
                <w:sz w:val="20"/>
              </w:rPr>
              <w:t>60–75</w:t>
            </w:r>
          </w:p>
        </w:tc>
      </w:tr>
    </w:tbl>
    <w:p>
      <w:r>
        <w:br w:type="page"/>
      </w:r>
    </w:p>
    <w:p>
      <w:pPr>
        <w:spacing w:before="480" w:after="240" w:line="276" w:lineRule="auto"/>
        <w:jc w:val="left"/>
      </w:pPr>
      <w:r>
        <w:rPr>
          <w:rFonts w:ascii="Arial" w:hAnsi="Arial"/>
          <w:b/>
          <w:i w:val="0"/>
          <w:color w:val="000000"/>
          <w:sz w:val="28"/>
        </w:rPr>
        <w:t>NOTE REGARDING PRIOR PETITION</w:t>
      </w:r>
    </w:p>
    <w:p>
      <w:pPr>
        <w:spacing w:before="0" w:after="160" w:line="276" w:lineRule="auto"/>
        <w:jc w:val="left"/>
      </w:pPr>
      <w:r>
        <w:rPr>
          <w:rFonts w:ascii="Arial" w:hAnsi="Arial"/>
          <w:b w:val="0"/>
          <w:i w:val="0"/>
          <w:color w:val="000000"/>
          <w:sz w:val="21"/>
        </w:rPr>
        <w:t>This petition represents a refiling of an EB-2 National Interest Waiver petition for Deni Ruben Moreira. The present filing strengthens the evidentiary record through:</w:t>
      </w:r>
    </w:p>
    <w:p>
      <w:pPr>
        <w:pStyle w:val="ListBullet"/>
        <w:spacing w:after="80" w:line="276" w:lineRule="auto"/>
      </w:pPr>
      <w:r>
        <w:rPr>
          <w:rFonts w:ascii="Arial" w:hAnsi="Arial"/>
          <w:b w:val="0"/>
          <w:color w:val="000000"/>
          <w:sz w:val="21"/>
        </w:rPr>
        <w:t>Enhanced documentation of the proposed endeavor through the formation of DRM Solutions LLC in Texas, development of the proprietary DRM Success Framework, and a detailed five-year business plan with conservative financial projections (Exhibits 8, 9, 10, 11).</w:t>
      </w:r>
    </w:p>
    <w:p>
      <w:pPr>
        <w:pStyle w:val="ListBullet"/>
        <w:spacing w:after="80" w:line="276" w:lineRule="auto"/>
      </w:pPr>
      <w:r>
        <w:rPr>
          <w:rFonts w:ascii="Arial" w:hAnsi="Arial"/>
          <w:b w:val="0"/>
          <w:color w:val="000000"/>
          <w:sz w:val="21"/>
        </w:rPr>
        <w:t>Secured $300,000 in documented investor commitments from two independent investors (VNW Construtora and Alvonil Revestimentos), demonstrating third-party financial validation of the business model and market opportunity (Exhibits 33, 34).</w:t>
      </w:r>
    </w:p>
    <w:p>
      <w:pPr>
        <w:pStyle w:val="ListBullet"/>
        <w:spacing w:after="80" w:line="276" w:lineRule="auto"/>
      </w:pPr>
      <w:r>
        <w:rPr>
          <w:rFonts w:ascii="Arial" w:hAnsi="Arial"/>
          <w:b w:val="0"/>
          <w:color w:val="000000"/>
          <w:sz w:val="21"/>
        </w:rPr>
        <w:t>Obtained a Letter of Intent from Galax School Corp. (Florida), establishing active client interest and validating market demand for the proposed services in the United States (Exhibit 32).</w:t>
      </w:r>
    </w:p>
    <w:p>
      <w:pPr>
        <w:pStyle w:val="ListBullet"/>
        <w:spacing w:after="80" w:line="276" w:lineRule="auto"/>
      </w:pPr>
      <w:r>
        <w:rPr>
          <w:rFonts w:ascii="Arial" w:hAnsi="Arial"/>
          <w:b w:val="0"/>
          <w:color w:val="000000"/>
          <w:sz w:val="21"/>
        </w:rPr>
        <w:t>Two expert opinion letters from Dr. Tamjid Al Rahat (Amazon Web Services) and Dr. Nihad Bassis independently validating the technical rigor of the DRM Success Framework and the rarity of the five-domain expertise combination (Exhibits 25, 26).</w:t>
      </w:r>
    </w:p>
    <w:p>
      <w:pPr>
        <w:pStyle w:val="ListBullet"/>
        <w:spacing w:after="80" w:line="276" w:lineRule="auto"/>
      </w:pPr>
      <w:r>
        <w:rPr>
          <w:rFonts w:ascii="Arial" w:hAnsi="Arial"/>
          <w:b w:val="0"/>
          <w:color w:val="000000"/>
          <w:sz w:val="21"/>
        </w:rPr>
        <w:t>Seven recommendation letters from direct supervisors and industry peers across six organizations, with cross-validation matrix demonstrating that every core competency required for DRM Solutions LLC service lines is corroborated by at least two independent recommenders (Exhibits 23, 24, 27–31).</w:t>
      </w:r>
    </w:p>
    <w:p>
      <w:pPr>
        <w:pStyle w:val="ListBullet"/>
        <w:spacing w:after="80" w:line="276" w:lineRule="auto"/>
      </w:pPr>
      <w:r>
        <w:rPr>
          <w:rFonts w:ascii="Arial" w:hAnsi="Arial"/>
          <w:b w:val="0"/>
          <w:color w:val="000000"/>
          <w:sz w:val="21"/>
        </w:rPr>
        <w:t>Three peer-reviewed publications and peer review activities at SAMR, establishing academic credibility beyond practical implementation expertise (Exhibits 35–39).</w:t>
      </w:r>
    </w:p>
    <w:p>
      <w:pPr>
        <w:pStyle w:val="ListBullet"/>
        <w:spacing w:after="80" w:line="276" w:lineRule="auto"/>
      </w:pPr>
      <w:r>
        <w:rPr>
          <w:rFonts w:ascii="Arial" w:hAnsi="Arial"/>
          <w:b w:val="0"/>
          <w:color w:val="000000"/>
          <w:sz w:val="21"/>
        </w:rPr>
        <w:t>Additional professional experience gained since the prior filing, including multinational consulting at Verssur (4 continents, 2022–2024) and current senior engagement at ERA Consulting (2025–present), further strengthening the documented record of progressive success.</w:t>
      </w:r>
    </w:p>
    <w:p>
      <w:pPr>
        <w:pStyle w:val="ListBullet"/>
        <w:spacing w:after="80" w:line="276" w:lineRule="auto"/>
      </w:pPr>
      <w:r>
        <w:rPr>
          <w:rFonts w:ascii="Arial" w:hAnsi="Arial"/>
          <w:b w:val="0"/>
          <w:color w:val="000000"/>
          <w:sz w:val="21"/>
        </w:rPr>
        <w:t>Comprehensive alignment with federal priorities through documentation of five enacted federal laws, four Executive Orders, five Critical and Emerging Technology areas, and five CISA-designated critical infrastructure sectors directly served by the proposed endeavor.</w:t>
      </w:r>
    </w:p>
    <w:p>
      <w:pPr>
        <w:spacing w:before="160" w:after="160" w:line="276" w:lineRule="auto"/>
        <w:jc w:val="left"/>
      </w:pPr>
      <w:r>
        <w:rPr>
          <w:rFonts w:ascii="Arial" w:hAnsi="Arial"/>
          <w:b w:val="0"/>
          <w:i w:val="0"/>
          <w:color w:val="000000"/>
          <w:sz w:val="21"/>
        </w:rPr>
        <w:t>The totality of the evidence presented in this refiling addresses any concerns regarding the strength of the evidentiary record by providing comprehensive, independently validated documentation of qualifications, business viability, and alignment with the national interest.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pPr>
    <w:r>
      <w:rPr>
        <w:rFonts w:ascii="Arial" w:hAnsi="Arial"/>
        <w:color w:val="666666"/>
        <w:sz w:val="18"/>
      </w:rPr>
      <w:t xml:space="preserve">Page </w:t>
    </w:r>
    <w:r>
      <w:fldChar w:fldCharType="begin"/>
    </w:r>
    <w:r>
      <w:instrText xml:space="preserve"> PAGE </w:instrText>
    </w:r>
    <w:r>
      <w:fldChar w:fldCharType="end"/>
    </w:r>
    <w:r>
      <w:rPr>
        <w:rFonts w:ascii="Arial" w:hAnsi="Arial"/>
        <w:color w:val="666666"/>
        <w:sz w:val="18"/>
      </w:rPr>
      <w:t xml:space="preserve"> — Résumé Deni Ruben Moreira — EB-2 NIW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