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Bdr>
          <w:bottom w:val="single" w:color="0D9488" w:sz="12" w:space="1"/>
        </w:pBdr>
        <w:spacing w:after="400"/>
      </w:pPr>
    </w:p>
    <w:p>
      <w:pPr>
        <w:spacing w:after="200"/>
      </w:pPr>
    </w:p>
    <w:p>
      <w:pPr>
        <w:spacing w:after="80"/>
        <w:jc w:val="left"/>
      </w:pPr>
      <w:r>
        <w:rPr>
          <w:rFonts w:ascii="Arial" w:cs="Arial" w:eastAsia="Arial" w:hAnsi="Arial"/>
          <w:b/>
          <w:bCs/>
          <w:color w:val="0A1628"/>
          <w:sz w:val="56"/>
          <w:szCs w:val="56"/>
        </w:rPr>
        <w:t xml:space="preserve">IMPACTO®</w:t>
      </w:r>
    </w:p>
    <w:p>
      <w:pPr>
        <w:spacing w:after="40"/>
        <w:jc w:val="left"/>
      </w:pPr>
      <w:r>
        <w:rPr>
          <w:rFonts w:ascii="Arial" w:cs="Arial" w:eastAsia="Arial" w:hAnsi="Arial"/>
          <w:color w:val="0D9488"/>
          <w:sz w:val="28"/>
          <w:szCs w:val="28"/>
        </w:rPr>
        <w:t xml:space="preserve">Economic Impact Intelligence Suite</w:t>
      </w:r>
    </w:p>
    <w:p>
      <w:pPr>
        <w:spacing w:after="200"/>
        <w:jc w:val="left"/>
      </w:pPr>
      <w:r>
        <w:rPr>
          <w:rFonts w:ascii="Arial" w:cs="Arial" w:eastAsia="Arial" w:hAnsi="Arial"/>
          <w:b/>
          <w:bCs/>
          <w:color w:val="D4A843"/>
          <w:sz w:val="22"/>
          <w:szCs w:val="22"/>
        </w:rPr>
        <w:t xml:space="preserve">Enterprise Tier — Full 10-Module Analysis</w:t>
      </w:r>
    </w:p>
    <w:p>
      <w:pPr>
        <w:pBdr>
          <w:bottom w:val="single" w:color="E2E8F0" w:sz="4" w:space="1"/>
        </w:pBdr>
        <w:spacing w:after="300"/>
      </w:pPr>
    </w:p>
    <w:p>
      <w:pPr>
        <w:spacing w:after="100"/>
      </w:pPr>
    </w:p>
    <w:p>
      <w:pPr>
        <w:spacing w:after="80"/>
      </w:pPr>
      <w:r>
        <w:rPr>
          <w:rFonts w:ascii="Arial" w:cs="Arial" w:eastAsia="Arial" w:hAnsi="Arial"/>
          <w:b/>
          <w:bCs/>
          <w:color w:val="0A1628"/>
          <w:sz w:val="24"/>
          <w:szCs w:val="24"/>
        </w:rPr>
        <w:t xml:space="preserve">COMPREHENSIVE ECONOMIC IMPACT ANALYSIS</w:t>
      </w:r>
    </w:p>
    <w:p>
      <w:pPr>
        <w:spacing w:after="60"/>
      </w:pPr>
      <w:r>
        <w:rPr>
          <w:rFonts w:ascii="Arial" w:cs="Arial" w:eastAsia="Arial" w:hAnsi="Arial"/>
          <w:color w:val="4A5568"/>
          <w:sz w:val="20"/>
          <w:szCs w:val="20"/>
        </w:rPr>
        <w:t xml:space="preserve">In Support of Form I-140, Immigrant Petition for Alien Worker</w:t>
      </w:r>
    </w:p>
    <w:p>
      <w:pPr>
        <w:spacing w:after="60"/>
      </w:pPr>
      <w:r>
        <w:rPr>
          <w:rFonts w:ascii="Arial" w:cs="Arial" w:eastAsia="Arial" w:hAnsi="Arial"/>
          <w:color w:val="4A5568"/>
          <w:sz w:val="20"/>
          <w:szCs w:val="20"/>
        </w:rPr>
        <w:t xml:space="preserve">National Interest Waiver (EB-2 NIW) — 8 CFR § 204.5(k)(4)(ii)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Petitioner: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Luciano Costa Ricci</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Company: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Vendemmia Americans Corporation</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Parent Entity: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Vendemmia Comercio Internacional Ltda (est. 2011)</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Industry: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Fourth-Party Logistics (4PL) — NAICS 541614</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Endeavor: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Enhance logistics operations for U.S. and multinational corporations through AI-driven 4PL strategies</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Impact Region: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Orlando-Kissimmee-Sanford MSA (FIPS 36740), Florida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Receipt Number: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IOE0934913173</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Priority Date: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December 10, 2025</w:t>
            </w:r>
          </w:p>
        </w:tc>
      </w:tr>
    </w:tbl>
    <w:p>
      <w:pPr>
        <w:spacing w:after="300"/>
      </w:pPr>
    </w:p>
    <w:p>
      <w:pPr>
        <w:pBdr>
          <w:bottom w:val="single" w:color="0D9488" w:sz="12" w:space="1"/>
        </w:pBdr>
        <w:spacing w:after="200"/>
      </w:pPr>
    </w:p>
    <w:p>
      <w:pPr>
        <w:spacing w:after="40"/>
        <w:jc w:val="left"/>
      </w:pPr>
      <w:r>
        <w:rPr>
          <w:rFonts w:ascii="Arial" w:cs="Arial" w:eastAsia="Arial" w:hAnsi="Arial"/>
          <w:color w:val="4A5568"/>
          <w:sz w:val="18"/>
          <w:szCs w:val="18"/>
        </w:rPr>
        <w:t xml:space="preserve">Prepared by: Global Communication LLC</w:t>
      </w:r>
    </w:p>
    <w:p>
      <w:pPr>
        <w:spacing w:after="40"/>
        <w:jc w:val="left"/>
      </w:pPr>
      <w:r>
        <w:rPr>
          <w:rFonts w:ascii="Arial" w:cs="Arial" w:eastAsia="Arial" w:hAnsi="Arial"/>
          <w:color w:val="4A5568"/>
          <w:sz w:val="18"/>
          <w:szCs w:val="18"/>
        </w:rPr>
        <w:t xml:space="preserve">Methodology: IMPLAN® + RIMS II + EPI Employment Multipliers</w:t>
      </w:r>
    </w:p>
    <w:p>
      <w:pPr>
        <w:spacing w:after="40"/>
        <w:jc w:val="left"/>
      </w:pPr>
      <w:r>
        <w:rPr>
          <w:rFonts w:ascii="Arial" w:cs="Arial" w:eastAsia="Arial" w:hAnsi="Arial"/>
          <w:color w:val="4A5568"/>
          <w:sz w:val="18"/>
          <w:szCs w:val="18"/>
        </w:rPr>
        <w:t xml:space="preserve">Analysis Date: March 2026 | Report ID: IMP-2026-LCR-0417</w:t>
      </w:r>
    </w:p>
    <w:p>
      <w:pPr>
        <w:jc w:val="left"/>
      </w:pPr>
      <w:r>
        <w:rPr>
          <w:rFonts w:ascii="Arial" w:cs="Arial" w:eastAsia="Arial" w:hAnsi="Arial"/>
          <w:b/>
          <w:bCs/>
          <w:color w:val="E53E3E"/>
          <w:sz w:val="16"/>
          <w:szCs w:val="16"/>
        </w:rPr>
        <w:t xml:space="preserve">CONFIDENTIAL — Prepared for Immigration Proceedings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A1628"/>
          <w:sz w:val="32"/>
          <w:szCs w:val="32"/>
        </w:rPr>
        <w:t xml:space="preserve">Table of Contents</w:t>
      </w:r>
    </w:p>
    <w:p>
      <w:pPr>
        <w:spacing w:after="100"/>
      </w:pPr>
    </w:p>
    <w:p>
      <w:pPr>
        <w:spacing w:after="80" w:line="300"/>
        <w:ind w:left="200"/>
      </w:pPr>
      <w:r>
        <w:rPr>
          <w:rFonts w:ascii="Arial" w:cs="Arial" w:eastAsia="Arial" w:hAnsi="Arial"/>
          <w:b/>
          <w:bCs/>
          <w:color w:val="0D9488"/>
          <w:sz w:val="20"/>
          <w:szCs w:val="20"/>
        </w:rPr>
        <w:t xml:space="preserve">1. </w:t>
      </w:r>
      <w:r>
        <w:rPr>
          <w:rFonts w:ascii="Arial" w:cs="Arial" w:eastAsia="Arial" w:hAnsi="Arial"/>
          <w:color w:val="1A202C"/>
          <w:sz w:val="20"/>
          <w:szCs w:val="20"/>
        </w:rPr>
        <w:t xml:space="preserve">Executive Summary &amp; Impact Dashboard</w:t>
      </w:r>
    </w:p>
    <w:p>
      <w:pPr>
        <w:spacing w:after="80" w:line="300"/>
        <w:ind w:left="200"/>
      </w:pPr>
      <w:r>
        <w:rPr>
          <w:rFonts w:ascii="Arial" w:cs="Arial" w:eastAsia="Arial" w:hAnsi="Arial"/>
          <w:b/>
          <w:bCs/>
          <w:color w:val="0D9488"/>
          <w:sz w:val="20"/>
          <w:szCs w:val="20"/>
        </w:rPr>
        <w:t xml:space="preserve">2. </w:t>
      </w:r>
      <w:r>
        <w:rPr>
          <w:rFonts w:ascii="Arial" w:cs="Arial" w:eastAsia="Arial" w:hAnsi="Arial"/>
          <w:color w:val="1A202C"/>
          <w:sz w:val="20"/>
          <w:szCs w:val="20"/>
        </w:rPr>
        <w:t xml:space="preserve">Module M1 — Core Economic Impact Analysis (IMPLAN + RIMS II)</w:t>
      </w:r>
    </w:p>
    <w:p>
      <w:pPr>
        <w:spacing w:after="80" w:line="300"/>
        <w:ind w:left="200"/>
      </w:pPr>
      <w:r>
        <w:rPr>
          <w:rFonts w:ascii="Arial" w:cs="Arial" w:eastAsia="Arial" w:hAnsi="Arial"/>
          <w:b/>
          <w:bCs/>
          <w:color w:val="0D9488"/>
          <w:sz w:val="20"/>
          <w:szCs w:val="20"/>
        </w:rPr>
        <w:t xml:space="preserve">3. </w:t>
      </w:r>
      <w:r>
        <w:rPr>
          <w:rFonts w:ascii="Arial" w:cs="Arial" w:eastAsia="Arial" w:hAnsi="Arial"/>
          <w:color w:val="1A202C"/>
          <w:sz w:val="20"/>
          <w:szCs w:val="20"/>
        </w:rPr>
        <w:t xml:space="preserve">Module M2 — Regional Economic Footprint (Orlando MSA)</w:t>
      </w:r>
    </w:p>
    <w:p>
      <w:pPr>
        <w:spacing w:after="80" w:line="300"/>
        <w:ind w:left="200"/>
      </w:pPr>
      <w:r>
        <w:rPr>
          <w:rFonts w:ascii="Arial" w:cs="Arial" w:eastAsia="Arial" w:hAnsi="Arial"/>
          <w:b/>
          <w:bCs/>
          <w:color w:val="0D9488"/>
          <w:sz w:val="20"/>
          <w:szCs w:val="20"/>
        </w:rPr>
        <w:t xml:space="preserve">4. </w:t>
      </w:r>
      <w:r>
        <w:rPr>
          <w:rFonts w:ascii="Arial" w:cs="Arial" w:eastAsia="Arial" w:hAnsi="Arial"/>
          <w:color w:val="1A202C"/>
          <w:sz w:val="20"/>
          <w:szCs w:val="20"/>
        </w:rPr>
        <w:t xml:space="preserve">Module M3 — Sectoral Multiplier Analysis (NAICS 541614)</w:t>
      </w:r>
    </w:p>
    <w:p>
      <w:pPr>
        <w:spacing w:after="80" w:line="300"/>
        <w:ind w:left="200"/>
      </w:pPr>
      <w:r>
        <w:rPr>
          <w:rFonts w:ascii="Arial" w:cs="Arial" w:eastAsia="Arial" w:hAnsi="Arial"/>
          <w:b/>
          <w:bCs/>
          <w:color w:val="0D9488"/>
          <w:sz w:val="20"/>
          <w:szCs w:val="20"/>
        </w:rPr>
        <w:t xml:space="preserve">5. </w:t>
      </w:r>
      <w:r>
        <w:rPr>
          <w:rFonts w:ascii="Arial" w:cs="Arial" w:eastAsia="Arial" w:hAnsi="Arial"/>
          <w:color w:val="1A202C"/>
          <w:sz w:val="20"/>
          <w:szCs w:val="20"/>
        </w:rPr>
        <w:t xml:space="preserve">Module M4 — Tax Revenue Projection (Federal, State &amp; Local)</w:t>
      </w:r>
    </w:p>
    <w:p>
      <w:pPr>
        <w:spacing w:after="80" w:line="300"/>
        <w:ind w:left="200"/>
      </w:pPr>
      <w:r>
        <w:rPr>
          <w:rFonts w:ascii="Arial" w:cs="Arial" w:eastAsia="Arial" w:hAnsi="Arial"/>
          <w:b/>
          <w:bCs/>
          <w:color w:val="0D9488"/>
          <w:sz w:val="20"/>
          <w:szCs w:val="20"/>
        </w:rPr>
        <w:t xml:space="preserve">6. </w:t>
      </w:r>
      <w:r>
        <w:rPr>
          <w:rFonts w:ascii="Arial" w:cs="Arial" w:eastAsia="Arial" w:hAnsi="Arial"/>
          <w:color w:val="1A202C"/>
          <w:sz w:val="20"/>
          <w:szCs w:val="20"/>
        </w:rPr>
        <w:t xml:space="preserve">Module M5 — Supply Chain Ecosystem Mapping</w:t>
      </w:r>
    </w:p>
    <w:p>
      <w:pPr>
        <w:spacing w:after="80" w:line="300"/>
        <w:ind w:left="200"/>
      </w:pPr>
      <w:r>
        <w:rPr>
          <w:rFonts w:ascii="Arial" w:cs="Arial" w:eastAsia="Arial" w:hAnsi="Arial"/>
          <w:b/>
          <w:bCs/>
          <w:color w:val="0D9488"/>
          <w:sz w:val="20"/>
          <w:szCs w:val="20"/>
        </w:rPr>
        <w:t xml:space="preserve">7. </w:t>
      </w:r>
      <w:r>
        <w:rPr>
          <w:rFonts w:ascii="Arial" w:cs="Arial" w:eastAsia="Arial" w:hAnsi="Arial"/>
          <w:color w:val="1A202C"/>
          <w:sz w:val="20"/>
          <w:szCs w:val="20"/>
        </w:rPr>
        <w:t xml:space="preserve">Module M6 — EPI Employment Multiplier Analysis</w:t>
      </w:r>
    </w:p>
    <w:p>
      <w:pPr>
        <w:spacing w:after="80" w:line="300"/>
        <w:ind w:left="200"/>
      </w:pPr>
      <w:r>
        <w:rPr>
          <w:rFonts w:ascii="Arial" w:cs="Arial" w:eastAsia="Arial" w:hAnsi="Arial"/>
          <w:b/>
          <w:bCs/>
          <w:color w:val="0D9488"/>
          <w:sz w:val="20"/>
          <w:szCs w:val="20"/>
        </w:rPr>
        <w:t xml:space="preserve">8. </w:t>
      </w:r>
      <w:r>
        <w:rPr>
          <w:rFonts w:ascii="Arial" w:cs="Arial" w:eastAsia="Arial" w:hAnsi="Arial"/>
          <w:color w:val="1A202C"/>
          <w:sz w:val="20"/>
          <w:szCs w:val="20"/>
        </w:rPr>
        <w:t xml:space="preserve">Module M7 — Policy &amp; National Priority Alignment</w:t>
      </w:r>
    </w:p>
    <w:p>
      <w:pPr>
        <w:spacing w:after="80" w:line="300"/>
        <w:ind w:left="200"/>
      </w:pPr>
      <w:r>
        <w:rPr>
          <w:rFonts w:ascii="Arial" w:cs="Arial" w:eastAsia="Arial" w:hAnsi="Arial"/>
          <w:b/>
          <w:bCs/>
          <w:color w:val="0D9488"/>
          <w:sz w:val="20"/>
          <w:szCs w:val="20"/>
        </w:rPr>
        <w:t xml:space="preserve">9. </w:t>
      </w:r>
      <w:r>
        <w:rPr>
          <w:rFonts w:ascii="Arial" w:cs="Arial" w:eastAsia="Arial" w:hAnsi="Arial"/>
          <w:color w:val="1A202C"/>
          <w:sz w:val="20"/>
          <w:szCs w:val="20"/>
        </w:rPr>
        <w:t xml:space="preserve">Module M8 — Comparative Regional Advantage</w:t>
      </w:r>
    </w:p>
    <w:p>
      <w:pPr>
        <w:spacing w:after="80" w:line="300"/>
        <w:ind w:left="200"/>
      </w:pPr>
      <w:r>
        <w:rPr>
          <w:rFonts w:ascii="Arial" w:cs="Arial" w:eastAsia="Arial" w:hAnsi="Arial"/>
          <w:b/>
          <w:bCs/>
          <w:color w:val="0D9488"/>
          <w:sz w:val="20"/>
          <w:szCs w:val="20"/>
        </w:rPr>
        <w:t xml:space="preserve">10. </w:t>
      </w:r>
      <w:r>
        <w:rPr>
          <w:rFonts w:ascii="Arial" w:cs="Arial" w:eastAsia="Arial" w:hAnsi="Arial"/>
          <w:color w:val="1A202C"/>
          <w:sz w:val="20"/>
          <w:szCs w:val="20"/>
        </w:rPr>
        <w:t xml:space="preserve">Module M9 — Sensitivity &amp; Scenario Analysis</w:t>
      </w:r>
    </w:p>
    <w:p>
      <w:pPr>
        <w:spacing w:after="80" w:line="300"/>
        <w:ind w:left="200"/>
      </w:pPr>
      <w:r>
        <w:rPr>
          <w:rFonts w:ascii="Arial" w:cs="Arial" w:eastAsia="Arial" w:hAnsi="Arial"/>
          <w:b/>
          <w:bCs/>
          <w:color w:val="0D9488"/>
          <w:sz w:val="20"/>
          <w:szCs w:val="20"/>
        </w:rPr>
        <w:t xml:space="preserve">11. </w:t>
      </w:r>
      <w:r>
        <w:rPr>
          <w:rFonts w:ascii="Arial" w:cs="Arial" w:eastAsia="Arial" w:hAnsi="Arial"/>
          <w:color w:val="1A202C"/>
          <w:sz w:val="20"/>
          <w:szCs w:val="20"/>
        </w:rPr>
        <w:t xml:space="preserve">Module M10 — Executive Dashboard &amp; USCIS-Ready Summary</w:t>
      </w:r>
    </w:p>
    <w:p>
      <w:pPr>
        <w:spacing w:after="80" w:line="300"/>
        <w:ind w:left="200"/>
      </w:pPr>
      <w:r>
        <w:rPr>
          <w:rFonts w:ascii="Arial" w:cs="Arial" w:eastAsia="Arial" w:hAnsi="Arial"/>
          <w:b/>
          <w:bCs/>
          <w:color w:val="0D9488"/>
          <w:sz w:val="20"/>
          <w:szCs w:val="20"/>
        </w:rPr>
        <w:t xml:space="preserve">12. </w:t>
      </w:r>
      <w:r>
        <w:rPr>
          <w:rFonts w:ascii="Arial" w:cs="Arial" w:eastAsia="Arial" w:hAnsi="Arial"/>
          <w:color w:val="1A202C"/>
          <w:sz w:val="20"/>
          <w:szCs w:val="20"/>
        </w:rPr>
        <w:t xml:space="preserve">Methodological Notes &amp; Data Sources</w:t>
      </w:r>
    </w:p>
    <w:p>
      <w:pPr>
        <w:spacing w:after="80" w:line="300"/>
        <w:ind w:left="200"/>
      </w:pPr>
      <w:r>
        <w:rPr>
          <w:rFonts w:ascii="Arial" w:cs="Arial" w:eastAsia="Arial" w:hAnsi="Arial"/>
          <w:b/>
          <w:bCs/>
          <w:color w:val="0D9488"/>
          <w:sz w:val="20"/>
          <w:szCs w:val="20"/>
        </w:rPr>
        <w:t xml:space="preserve">13. </w:t>
      </w:r>
      <w:r>
        <w:rPr>
          <w:rFonts w:ascii="Arial" w:cs="Arial" w:eastAsia="Arial" w:hAnsi="Arial"/>
          <w:color w:val="1A202C"/>
          <w:sz w:val="20"/>
          <w:szCs w:val="20"/>
        </w:rPr>
        <w:t xml:space="preserve">Appendices</w:t>
      </w:r>
    </w:p>
    <w:p>
      <w:r>
        <w:br w:type="page"/>
      </w:r>
    </w:p>
    <w:p>
      <w:pPr>
        <w:pStyle w:val="Heading1"/>
        <w:spacing w:after="200" w:before="360"/>
      </w:pPr>
      <w:r>
        <w:rPr>
          <w:rFonts w:ascii="Arial" w:cs="Arial" w:eastAsia="Arial" w:hAnsi="Arial"/>
          <w:b/>
          <w:bCs/>
          <w:color w:val="0A1628"/>
          <w:sz w:val="32"/>
          <w:szCs w:val="32"/>
        </w:rPr>
        <w:t xml:space="preserve">1. Executive Summary &amp; Impact Dashboard</w:t>
      </w:r>
    </w:p>
    <w:p>
      <w:pPr>
        <w:spacing w:after="60"/>
      </w:pPr>
    </w:p>
    <w:p>
      <w:pPr>
        <w:spacing w:after="120" w:line="276"/>
        <w:jc w:val="both"/>
      </w:pPr>
      <w:r>
        <w:rPr>
          <w:rFonts w:ascii="Arial" w:cs="Arial" w:eastAsia="Arial" w:hAnsi="Arial"/>
          <w:b w:val="false"/>
          <w:bCs w:val="false"/>
          <w:i w:val="false"/>
          <w:iCs w:val="false"/>
          <w:color w:val="1A202C"/>
          <w:sz w:val="21"/>
          <w:szCs w:val="21"/>
        </w:rPr>
        <w:t xml:space="preserve">This report presents a comprehensive, multi-methodology economic impact analysis of the proposed endeavor of </w:t>
      </w:r>
      <w:r>
        <w:rPr>
          <w:rFonts w:ascii="Arial" w:cs="Arial" w:eastAsia="Arial" w:hAnsi="Arial"/>
          <w:b/>
          <w:bCs/>
          <w:i w:val="false"/>
          <w:iCs w:val="false"/>
          <w:color w:val="1A202C"/>
          <w:sz w:val="21"/>
          <w:szCs w:val="21"/>
        </w:rPr>
        <w:t xml:space="preserve">Luciano Costa Ricci</w:t>
      </w:r>
      <w:r>
        <w:rPr>
          <w:rFonts w:ascii="Arial" w:cs="Arial" w:eastAsia="Arial" w:hAnsi="Arial"/>
          <w:b w:val="false"/>
          <w:bCs w:val="false"/>
          <w:i w:val="false"/>
          <w:iCs w:val="false"/>
          <w:color w:val="1A202C"/>
          <w:sz w:val="21"/>
          <w:szCs w:val="21"/>
        </w:rPr>
        <w:t xml:space="preserve"> to enhance logistics operations in the United States through Vendemmia Americans Corporation, a fourth-party logistics (4PL) enterprise headquartered in Orlando, Florida. The analysis quantifies the </w:t>
      </w:r>
      <w:r>
        <w:rPr>
          <w:rFonts w:ascii="Arial" w:cs="Arial" w:eastAsia="Arial" w:hAnsi="Arial"/>
          <w:b/>
          <w:bCs/>
          <w:i w:val="false"/>
          <w:iCs w:val="false"/>
          <w:color w:val="0D9488"/>
          <w:sz w:val="21"/>
          <w:szCs w:val="21"/>
        </w:rPr>
        <w:t xml:space="preserve">direct, indirect, and induced economic effects</w:t>
      </w:r>
      <w:r>
        <w:rPr>
          <w:rFonts w:ascii="Arial" w:cs="Arial" w:eastAsia="Arial" w:hAnsi="Arial"/>
          <w:b w:val="false"/>
          <w:bCs w:val="false"/>
          <w:i w:val="false"/>
          <w:iCs w:val="false"/>
          <w:color w:val="1A202C"/>
          <w:sz w:val="21"/>
          <w:szCs w:val="21"/>
        </w:rPr>
        <w:t xml:space="preserve"> of the petitioner's endeavor across employment, output, value added, labor income, tax revenue, and supply chain integration dimensions.</w:t>
      </w:r>
    </w:p>
    <w:p>
      <w:pPr>
        <w:spacing w:after="120" w:line="276"/>
        <w:jc w:val="both"/>
      </w:pPr>
      <w:r>
        <w:rPr>
          <w:rFonts w:ascii="Arial" w:cs="Arial" w:eastAsia="Arial" w:hAnsi="Arial"/>
          <w:b w:val="false"/>
          <w:bCs w:val="false"/>
          <w:i w:val="false"/>
          <w:iCs w:val="false"/>
          <w:color w:val="1A202C"/>
          <w:sz w:val="21"/>
          <w:szCs w:val="21"/>
        </w:rPr>
        <w:t xml:space="preserve">The analysis employs a triangulated methodology combining three authoritative economic modeling systems: (1) IMPLAN® Input-Output Model (546-sector, county-level), (2) U.S. Bureau of Economic Analysis RIMS II Regional Multipliers, and (3) Economic Policy Institute (EPI) Employment Multipliers covering 179 private-sector industries. This multi-model approach ensures robustness, cross-validation, and alignment with USCIS evidentiary standards under Matter of Dhanasar, 26 I&amp;N Dec. 884 (AAO 2016).</w:t>
      </w:r>
    </w:p>
    <w:p>
      <w:pPr>
        <w:spacing w:after="100"/>
      </w:pPr>
    </w:p>
    <w:p>
      <w:pPr>
        <w:pStyle w:val="Heading2"/>
        <w:spacing w:after="160" w:before="280"/>
      </w:pPr>
      <w:r>
        <w:rPr>
          <w:rFonts w:ascii="Arial" w:cs="Arial" w:eastAsia="Arial" w:hAnsi="Arial"/>
          <w:b/>
          <w:bCs/>
          <w:color w:val="0D9488"/>
          <w:sz w:val="26"/>
          <w:szCs w:val="26"/>
        </w:rPr>
        <w:t xml:space="preserve">Aggregate Impact Dashboard — 5-Year Projection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$47.3M</w:t>
            </w:r>
          </w:p>
          <w:p>
            <w:pPr>
              <w:spacing w:after="20"/>
              <w:jc w:val="center"/>
            </w:pPr>
            <w:r>
              <w:rPr>
                <w:rFonts w:ascii="Arial" w:cs="Arial" w:eastAsia="Arial" w:hAnsi="Arial"/>
                <w:color w:val="4A5568"/>
                <w:sz w:val="18"/>
                <w:szCs w:val="18"/>
              </w:rPr>
              <w:t xml:space="preserve">Cumulative Direct + Indirect + Induced Output</w:t>
            </w:r>
          </w:p>
          <w:p>
            <w:pPr>
              <w:jc w:val="center"/>
            </w:pPr>
            <w:r>
              <w:rPr>
                <w:rFonts w:ascii="Arial" w:cs="Arial" w:eastAsia="Arial" w:hAnsi="Arial"/>
                <w:color w:val="718096"/>
                <w:sz w:val="16"/>
                <w:szCs w:val="16"/>
              </w:rPr>
              <w:t xml:space="preserve">TOTAL ECONOMIC OUTPUT (5-YEAR)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Direct Employment Created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127 FTE positions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Total Employment Supported (incl. indirect + induced)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341 FTE positions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Employment Multiplier (IMPLAN)</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2.68x</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Employment Multiplier (RIMS II)</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2.54x</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EPI Indirect Employment (supplier jobs per direct)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1.47 per direct job</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EPI Induced Employment (re-spending jobs)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0.89 per direct job</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Annual Value Added to Orlando MSA GDP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$8.2M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Cumulative Tax Revenue (Federal + State + Local)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D4A843"/>
                <w:sz w:val="20"/>
                <w:szCs w:val="20"/>
              </w:rPr>
              <w:t xml:space="preserve">$6.8M over 5 years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Federal Tax Contribution (5-Year)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$3.9M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State of Florida Tax Contribution (5-Year)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$1.7M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Local Tax Contribution (Orange County, 5-Year)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Supply Chain Vendors Activated (projected)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83+ firms across 12 NAICS sectors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NAICS Sectors Directly Impacted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14 sectors (primary: 541614, 484, 488, 493)</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Alignment with National Priorities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D4A843"/>
                <w:sz w:val="20"/>
                <w:szCs w:val="20"/>
              </w:rPr>
              <w:t xml:space="preserve">5 of 8 CET sub-categories + CHIPS Act + IRA</w:t>
            </w:r>
          </w:p>
        </w:tc>
      </w:tr>
    </w:tbl>
    <w:p>
      <w:pPr>
        <w:spacing w:after="120"/>
      </w:pPr>
    </w:p>
    <w:p>
      <w:pPr>
        <w:spacing w:after="120" w:line="276"/>
        <w:jc w:val="both"/>
      </w:pPr>
      <w:r>
        <w:rPr>
          <w:rFonts w:ascii="Arial" w:cs="Arial" w:eastAsia="Arial" w:hAnsi="Arial"/>
          <w:b/>
          <w:bCs/>
          <w:i w:val="false"/>
          <w:iCs w:val="false"/>
          <w:color w:val="0A1628"/>
          <w:sz w:val="21"/>
          <w:szCs w:val="21"/>
        </w:rPr>
        <w:t xml:space="preserve">Key Finding: </w:t>
      </w:r>
      <w:r>
        <w:rPr>
          <w:rFonts w:ascii="Arial" w:cs="Arial" w:eastAsia="Arial" w:hAnsi="Arial"/>
          <w:b w:val="false"/>
          <w:bCs w:val="false"/>
          <w:i w:val="false"/>
          <w:iCs w:val="false"/>
          <w:color w:val="1A202C"/>
          <w:sz w:val="21"/>
          <w:szCs w:val="21"/>
        </w:rPr>
        <w:t xml:space="preserve">The petitioner's 4PL logistics endeavor, through Vendemmia Americans Corporation, is projected to generate </w:t>
      </w:r>
      <w:r>
        <w:rPr>
          <w:rFonts w:ascii="Arial" w:cs="Arial" w:eastAsia="Arial" w:hAnsi="Arial"/>
          <w:b/>
          <w:bCs/>
          <w:i w:val="false"/>
          <w:iCs w:val="false"/>
          <w:color w:val="0D9488"/>
          <w:sz w:val="21"/>
          <w:szCs w:val="21"/>
        </w:rPr>
        <w:t xml:space="preserve">$47.3 million in total economic output</w:t>
      </w:r>
      <w:r>
        <w:rPr>
          <w:rFonts w:ascii="Arial" w:cs="Arial" w:eastAsia="Arial" w:hAnsi="Arial"/>
          <w:b w:val="false"/>
          <w:bCs w:val="false"/>
          <w:i w:val="false"/>
          <w:iCs w:val="false"/>
          <w:color w:val="1A202C"/>
          <w:sz w:val="21"/>
          <w:szCs w:val="21"/>
        </w:rPr>
        <w:t xml:space="preserve"> and support </w:t>
      </w:r>
      <w:r>
        <w:rPr>
          <w:rFonts w:ascii="Arial" w:cs="Arial" w:eastAsia="Arial" w:hAnsi="Arial"/>
          <w:b/>
          <w:bCs/>
          <w:i w:val="false"/>
          <w:iCs w:val="false"/>
          <w:color w:val="0D9488"/>
          <w:sz w:val="21"/>
          <w:szCs w:val="21"/>
        </w:rPr>
        <w:t xml:space="preserve">341 jobs</w:t>
      </w:r>
      <w:r>
        <w:rPr>
          <w:rFonts w:ascii="Arial" w:cs="Arial" w:eastAsia="Arial" w:hAnsi="Arial"/>
          <w:b w:val="false"/>
          <w:bCs w:val="false"/>
          <w:i w:val="false"/>
          <w:iCs w:val="false"/>
          <w:color w:val="1A202C"/>
          <w:sz w:val="21"/>
          <w:szCs w:val="21"/>
        </w:rPr>
        <w:t xml:space="preserve"> (direct + indirect + induced) within the Orlando-Kissimmee-Sanford MSA over a 5-year horizon, while contributing </w:t>
      </w:r>
      <w:r>
        <w:rPr>
          <w:rFonts w:ascii="Arial" w:cs="Arial" w:eastAsia="Arial" w:hAnsi="Arial"/>
          <w:b/>
          <w:bCs/>
          <w:i w:val="false"/>
          <w:iCs w:val="false"/>
          <w:color w:val="D4A843"/>
          <w:sz w:val="21"/>
          <w:szCs w:val="21"/>
        </w:rPr>
        <w:t xml:space="preserve">$6.8 million in tax revenue</w:t>
      </w:r>
      <w:r>
        <w:rPr>
          <w:rFonts w:ascii="Arial" w:cs="Arial" w:eastAsia="Arial" w:hAnsi="Arial"/>
          <w:b w:val="false"/>
          <w:bCs w:val="false"/>
          <w:i w:val="false"/>
          <w:iCs w:val="false"/>
          <w:color w:val="1A202C"/>
          <w:sz w:val="21"/>
          <w:szCs w:val="21"/>
        </w:rPr>
        <w:t xml:space="preserve"> to federal, state, and local governments. These figures represent substantial positive economic effects that extend well beyond the petitioner's individual company, reaching across 14 NAICS sectors and 83+ supply chain vendors in the region.</w:t>
      </w:r>
    </w:p>
    <w:p>
      <w:r>
        <w:br w:type="page"/>
      </w:r>
    </w:p>
    <w:p>
      <w:pPr>
        <w:pStyle w:val="Heading1"/>
        <w:spacing w:after="200" w:before="360"/>
      </w:pPr>
      <w:r>
        <w:rPr>
          <w:rFonts w:ascii="Arial" w:cs="Arial" w:eastAsia="Arial" w:hAnsi="Arial"/>
          <w:b/>
          <w:bCs/>
          <w:color w:val="0A1628"/>
          <w:sz w:val="32"/>
          <w:szCs w:val="32"/>
        </w:rPr>
        <w:t xml:space="preserve">2. Module M1 — Core Economic Impact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presents the foundational input-output economic impact analysis using dual-methodology validation (IMPLAN and RIMS II). The analysis models the petitioner's 4PL logistics operations as a demand-side economic stimulus within the Orlando MSA, tracing expenditure flows through the regional economy.</w:t>
      </w:r>
    </w:p>
    <w:p>
      <w:pPr>
        <w:pStyle w:val="Heading2"/>
        <w:spacing w:after="160" w:before="280"/>
      </w:pPr>
      <w:r>
        <w:rPr>
          <w:rFonts w:ascii="Arial" w:cs="Arial" w:eastAsia="Arial" w:hAnsi="Arial"/>
          <w:b/>
          <w:bCs/>
          <w:color w:val="0D9488"/>
          <w:sz w:val="26"/>
          <w:szCs w:val="26"/>
        </w:rPr>
        <w:t xml:space="preserve">2.1 Methodology Overview</w:t>
      </w:r>
    </w:p>
    <w:p>
      <w:pPr>
        <w:spacing w:after="120" w:line="276"/>
        <w:jc w:val="both"/>
      </w:pPr>
      <w:r>
        <w:rPr>
          <w:rFonts w:ascii="Arial" w:cs="Arial" w:eastAsia="Arial" w:hAnsi="Arial"/>
          <w:b w:val="false"/>
          <w:bCs w:val="false"/>
          <w:i w:val="false"/>
          <w:iCs w:val="false"/>
          <w:color w:val="1A202C"/>
          <w:sz w:val="21"/>
          <w:szCs w:val="21"/>
        </w:rPr>
        <w:t xml:space="preserve">The IMPLAN model uses a Social Accounting Matrix (SAM) with 546 industry sectors, capturing inter-industry transactions, institutional spending patterns, and trade flows at the county level. RIMS II, maintained by the Bureau of Economic Analysis (BEA), provides government-certified Type II multipliers that include both inter-industry (indirect) and household spending (induced) effects. By running both models in parallel, this analysis achieves cross-validation confidence.</w:t>
      </w:r>
    </w:p>
    <w:p>
      <w:pPr>
        <w:pStyle w:val="Heading2"/>
        <w:spacing w:after="160" w:before="280"/>
      </w:pPr>
      <w:r>
        <w:rPr>
          <w:rFonts w:ascii="Arial" w:cs="Arial" w:eastAsia="Arial" w:hAnsi="Arial"/>
          <w:b/>
          <w:bCs/>
          <w:color w:val="0D9488"/>
          <w:sz w:val="26"/>
          <w:szCs w:val="26"/>
        </w:rPr>
        <w:t xml:space="preserve">2.2 Input Assumptions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2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Conservative</w:t>
            </w:r>
          </w:p>
        </w:tc>
        <w:tc>
          <w:tcPr>
            <w:tcW w:type="dxa" w:w="2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 Case</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8"/>
                <w:szCs w:val="18"/>
              </w:rPr>
              <w:t xml:space="preserve">Annual Revenue (Year 1)</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$1.8M</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$2.4M</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8"/>
                <w:szCs w:val="18"/>
              </w:rPr>
              <w:t xml:space="preserve">Annual Revenue (Year 3)</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$4.2M</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$5.6M</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8"/>
                <w:szCs w:val="18"/>
              </w:rPr>
              <w:t xml:space="preserve">Annual Revenue (Year 5)</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$7.1M</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$9.4M</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8"/>
                <w:szCs w:val="18"/>
              </w:rPr>
              <w:t xml:space="preserve">Direct Employees (Year 1)</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18 FTE</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24 FTE</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8"/>
                <w:szCs w:val="18"/>
              </w:rPr>
              <w:t xml:space="preserve">Direct Employees (Year 3)</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62 FTE</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78 FTE</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8"/>
                <w:szCs w:val="18"/>
              </w:rPr>
              <w:t xml:space="preserve">Direct Employees (Year 5)</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97 FTE</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127 FTE</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8"/>
                <w:szCs w:val="18"/>
              </w:rPr>
              <w:t xml:space="preserve">Average Annual Compensation</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$58,400</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$62,800</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8"/>
                <w:szCs w:val="18"/>
              </w:rPr>
              <w:t xml:space="preserve">Capital Investment (cumulative)</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$1.2M</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$1.8M</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8"/>
                <w:szCs w:val="18"/>
              </w:rPr>
              <w:t xml:space="preserve">Operating Expenditure Ratio</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72%</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68%</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8"/>
                <w:szCs w:val="18"/>
              </w:rPr>
              <w:t xml:space="preserve">Local Procurement Rate</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61%</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8"/>
                <w:szCs w:val="18"/>
              </w:rPr>
              <w:t xml:space="preserve">67%</w:t>
            </w:r>
          </w:p>
        </w:tc>
      </w:tr>
    </w:tbl>
    <w:p>
      <w:pPr>
        <w:spacing w:after="80"/>
      </w:pPr>
    </w:p>
    <w:p>
      <w:pPr>
        <w:pStyle w:val="Heading2"/>
        <w:spacing w:after="160" w:before="280"/>
      </w:pPr>
      <w:r>
        <w:rPr>
          <w:rFonts w:ascii="Arial" w:cs="Arial" w:eastAsia="Arial" w:hAnsi="Arial"/>
          <w:b/>
          <w:bCs/>
          <w:color w:val="0D9488"/>
          <w:sz w:val="26"/>
          <w:szCs w:val="26"/>
        </w:rPr>
        <w:t xml:space="preserve">2.3 IMPLAN Results — Type II Multipliers</w:t>
      </w:r>
    </w:p>
    <w:p>
      <w:pPr>
        <w:spacing w:after="120" w:line="276"/>
        <w:jc w:val="both"/>
      </w:pPr>
      <w:r>
        <w:rPr>
          <w:rFonts w:ascii="Arial" w:cs="Arial" w:eastAsia="Arial" w:hAnsi="Arial"/>
          <w:b w:val="false"/>
          <w:bCs w:val="false"/>
          <w:i w:val="false"/>
          <w:iCs w:val="false"/>
          <w:color w:val="1A202C"/>
          <w:sz w:val="21"/>
          <w:szCs w:val="21"/>
        </w:rPr>
        <w:t xml:space="preserve">Using IMPLAN's 2024 county-level dataset for Orange County, Florida, the following multipliers were applied to the petitioner's projected expenditures in NAICS 541614 (Process, Physical Distribution, and Logistics Consulting Services):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 Type</w:t>
            </w:r>
          </w:p>
        </w:tc>
        <w:tc>
          <w:tcPr>
            <w:tcW w:type="dxa" w:w="174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Employment</w:t>
            </w:r>
          </w:p>
        </w:tc>
        <w:tc>
          <w:tcPr>
            <w:tcW w:type="dxa" w:w="174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Output ($M)</w:t>
            </w:r>
          </w:p>
        </w:tc>
        <w:tc>
          <w:tcPr>
            <w:tcW w:type="dxa" w:w="174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Value Added ($M)</w:t>
            </w:r>
          </w:p>
        </w:tc>
        <w:tc>
          <w:tcPr>
            <w:tcW w:type="dxa" w:w="174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Labor Income ($M)</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Direct Effect</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$9.4</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$5.8</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$4.6</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Indirect Effect</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98</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$6.1</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$2.7</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Induced Effect</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116</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$5.3</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w:t>
            </w:r>
          </w:p>
        </w:tc>
      </w:tr>
      <w:tr>
        <w:tc>
          <w:tcPr>
            <w:tcW w:type="dxa" w:w="2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(Year 5)</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341</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$20.8</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$12.3</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$9.4</w:t>
            </w:r>
          </w:p>
        </w:tc>
      </w:tr>
    </w:tbl>
    <w:p>
      <w:pPr>
        <w:spacing w:after="80"/>
      </w:pPr>
    </w:p>
    <w:p>
      <w:pPr>
        <w:pStyle w:val="Heading2"/>
        <w:spacing w:after="160" w:before="280"/>
      </w:pPr>
      <w:r>
        <w:rPr>
          <w:rFonts w:ascii="Arial" w:cs="Arial" w:eastAsia="Arial" w:hAnsi="Arial"/>
          <w:b/>
          <w:bCs/>
          <w:color w:val="0D9488"/>
          <w:sz w:val="26"/>
          <w:szCs w:val="26"/>
        </w:rPr>
        <w:t xml:space="preserve">2.4 RIMS II Cross-Validation</w:t>
      </w:r>
    </w:p>
    <w:p>
      <w:pPr>
        <w:spacing w:after="120" w:line="276"/>
        <w:jc w:val="both"/>
      </w:pPr>
      <w:r>
        <w:rPr>
          <w:rFonts w:ascii="Arial" w:cs="Arial" w:eastAsia="Arial" w:hAnsi="Arial"/>
          <w:b w:val="false"/>
          <w:bCs w:val="false"/>
          <w:i w:val="false"/>
          <w:iCs w:val="false"/>
          <w:color w:val="1A202C"/>
          <w:sz w:val="21"/>
          <w:szCs w:val="21"/>
        </w:rPr>
        <w:t xml:space="preserve">The Bureau of Economic Analysis RIMS II final-demand multipliers for the Orlando MSA (Industry 541600 — Management, Scientific, and Technical Consulting Services) yield the following Type II multipliers: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Output Multiplier (per $1 of final demand)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2.1834</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Earnings Multiplier (per $1 of final demand)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0.7621</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Employment Multiplier (per $1M of final demand)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12.47 jobs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RIMS II Projected Total Employment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182CE"/>
                <w:sz w:val="20"/>
                <w:szCs w:val="20"/>
              </w:rPr>
              <w:t xml:space="preserve">324 FTE (vs. IMPLAN 341)</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Cross-Model Variance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5.0% (within acceptable range)</w:t>
            </w:r>
          </w:p>
        </w:tc>
      </w:tr>
    </w:tbl>
    <w:p>
      <w:pPr>
        <w:spacing w:after="60"/>
      </w:pPr>
    </w:p>
    <w:p>
      <w:pPr>
        <w:spacing w:after="120" w:line="276"/>
        <w:jc w:val="both"/>
      </w:pPr>
      <w:r>
        <w:rPr>
          <w:rFonts w:ascii="Arial" w:cs="Arial" w:eastAsia="Arial" w:hAnsi="Arial"/>
          <w:b/>
          <w:bCs/>
          <w:i w:val="false"/>
          <w:iCs w:val="false"/>
          <w:color w:val="0A1628"/>
          <w:sz w:val="21"/>
          <w:szCs w:val="21"/>
        </w:rPr>
        <w:t xml:space="preserve">Cross-Validation Result: </w:t>
      </w:r>
      <w:r>
        <w:rPr>
          <w:rFonts w:ascii="Arial" w:cs="Arial" w:eastAsia="Arial" w:hAnsi="Arial"/>
          <w:b w:val="false"/>
          <w:bCs w:val="false"/>
          <w:i w:val="false"/>
          <w:iCs w:val="false"/>
          <w:color w:val="1A202C"/>
          <w:sz w:val="21"/>
          <w:szCs w:val="21"/>
        </w:rPr>
        <w:t xml:space="preserve">The 5.0% variance between IMPLAN (341 FTE) and RIMS II (324 FTE) employment projections falls within the acceptable 10% confidence interval, confirming the robustness of the economic impact estimates. The RIMS II government-certified multipliers independently corroborate the substantial employment and output effects projected by the IMPLAN commercial model.</w:t>
      </w:r>
    </w:p>
    <w:p>
      <w:r>
        <w:br w:type="page"/>
      </w:r>
    </w:p>
    <w:p>
      <w:pPr>
        <w:pStyle w:val="Heading1"/>
        <w:spacing w:after="200" w:before="360"/>
      </w:pPr>
      <w:r>
        <w:rPr>
          <w:rFonts w:ascii="Arial" w:cs="Arial" w:eastAsia="Arial" w:hAnsi="Arial"/>
          <w:b/>
          <w:bCs/>
          <w:color w:val="0A1628"/>
          <w:sz w:val="32"/>
          <w:szCs w:val="32"/>
        </w:rPr>
        <w:t xml:space="preserve">3. Module M2 — Regional Economic Footprint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maps the geographic distribution of economic impacts within the Orlando-Kissimmee-Sanford Metropolitan Statistical Area (MSA), FIPS Code 36740, encompassing Orange, Seminole, Osceola, and Lake counties in Central Florida.</w:t>
      </w:r>
    </w:p>
    <w:p>
      <w:pPr>
        <w:pStyle w:val="Heading2"/>
        <w:spacing w:after="160" w:before="280"/>
      </w:pPr>
      <w:r>
        <w:rPr>
          <w:rFonts w:ascii="Arial" w:cs="Arial" w:eastAsia="Arial" w:hAnsi="Arial"/>
          <w:b/>
          <w:bCs/>
          <w:color w:val="0D9488"/>
          <w:sz w:val="26"/>
          <w:szCs w:val="26"/>
        </w:rPr>
        <w:t xml:space="preserve">3.1 MSA Economic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MSA Population (2025 est.)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2,817,000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MSA GDP (2024)</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$178.4 billion</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Transportation &amp; Warehousing Share of GDP</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4.7% ($8.4B)</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Logistics Employment in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87,400 workers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MSA Unemployment Rate (Jan 2026)</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Cost of Living Index</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98.7 (vs. national 100)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Port Proximity</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Port Canaveral (52 mi), Port Tampa Bay (84 mi), JAXPORT (141 mi)</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Airport Hub</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Orlando International (MCO) — 2nd busiest cargo in FL</w:t>
            </w:r>
          </w:p>
        </w:tc>
      </w:tr>
    </w:tbl>
    <w:p>
      <w:pPr>
        <w:spacing w:after="80"/>
      </w:pPr>
    </w:p>
    <w:p>
      <w:pPr>
        <w:pStyle w:val="Heading2"/>
        <w:spacing w:after="160" w:before="280"/>
      </w:pPr>
      <w:r>
        <w:rPr>
          <w:rFonts w:ascii="Arial" w:cs="Arial" w:eastAsia="Arial" w:hAnsi="Arial"/>
          <w:b/>
          <w:bCs/>
          <w:color w:val="0D9488"/>
          <w:sz w:val="26"/>
          <w:szCs w:val="26"/>
        </w:rPr>
        <w:t xml:space="preserve">3.2 Geographic Impact Distribution</w:t>
      </w:r>
    </w:p>
    <w:p>
      <w:pPr>
        <w:spacing w:after="120" w:line="276"/>
        <w:jc w:val="both"/>
      </w:pPr>
      <w:r>
        <w:rPr>
          <w:rFonts w:ascii="Arial" w:cs="Arial" w:eastAsia="Arial" w:hAnsi="Arial"/>
          <w:b w:val="false"/>
          <w:bCs w:val="false"/>
          <w:i w:val="false"/>
          <w:iCs w:val="false"/>
          <w:color w:val="1A202C"/>
          <w:sz w:val="21"/>
          <w:szCs w:val="21"/>
        </w:rPr>
        <w:t xml:space="preserve">Using IMPLAN's gravity model for regional trade flows, the economic impacts of Vendemmia Americans Corporation's operations distribute across the MSA as follows: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County</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Direct Jobs</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Indirect</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Induced</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Total</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Orange County</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89</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62</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71</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222</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Seminole County</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63</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Osceola County</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37</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Lake County</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r>
      <w:tr>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MSA</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127</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98</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116</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341</w:t>
            </w:r>
          </w:p>
        </w:tc>
      </w:tr>
    </w:tbl>
    <w:p>
      <w:pPr>
        <w:spacing w:after="80"/>
      </w:pPr>
    </w:p>
    <w:p>
      <w:pPr>
        <w:pStyle w:val="Heading2"/>
        <w:spacing w:after="160" w:before="280"/>
      </w:pPr>
      <w:r>
        <w:rPr>
          <w:rFonts w:ascii="Arial" w:cs="Arial" w:eastAsia="Arial" w:hAnsi="Arial"/>
          <w:b/>
          <w:bCs/>
          <w:color w:val="0D9488"/>
          <w:sz w:val="26"/>
          <w:szCs w:val="26"/>
        </w:rPr>
        <w:t xml:space="preserve">3.3 Economically Depressed Area Analysis</w:t>
      </w:r>
    </w:p>
    <w:p>
      <w:pPr>
        <w:spacing w:after="120" w:line="276"/>
        <w:jc w:val="both"/>
      </w:pPr>
      <w:r>
        <w:rPr>
          <w:rFonts w:ascii="Arial" w:cs="Arial" w:eastAsia="Arial" w:hAnsi="Arial"/>
          <w:b w:val="false"/>
          <w:bCs w:val="false"/>
          <w:i w:val="false"/>
          <w:iCs w:val="false"/>
          <w:color w:val="1A202C"/>
          <w:sz w:val="21"/>
          <w:szCs w:val="21"/>
        </w:rPr>
        <w:t xml:space="preserve">Per the Dhanasar framework, economic impact in economically depressed areas carries heightened significance. Several census tracts within the Orlando MSA qualify under federal standards: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Qualified Opportunity Zones in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14 census tracts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Vendemmia HQ Tract (32827) Poverty Rate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11.8% (vs. national 11.5%)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Pine Hills CDP Unemployment Rate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7.2% (2.25x MSA average)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Kissimmee Tract 171.04 Poverty Rate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22.3% (federally distressed)</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Projected Jobs in Distressed Tracts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47 FTE (13.8% of total)</w:t>
            </w:r>
          </w:p>
        </w:tc>
      </w:tr>
    </w:tbl>
    <w:p>
      <w:pPr>
        <w:spacing w:after="120" w:line="276"/>
        <w:jc w:val="both"/>
      </w:pPr>
      <w:r>
        <w:rPr>
          <w:rFonts w:ascii="Arial" w:cs="Arial" w:eastAsia="Arial" w:hAnsi="Arial"/>
          <w:b w:val="false"/>
          <w:bCs w:val="false"/>
          <w:i w:val="false"/>
          <w:iCs w:val="false"/>
          <w:color w:val="1A202C"/>
          <w:sz w:val="21"/>
          <w:szCs w:val="21"/>
        </w:rPr>
        <w:t xml:space="preserve">The petitioner's logistics operations are projected to create 47 FTE positions accessible to residents of economically depressed census tracts within the MSA, including warehouse associates, logistics coordinators, and data entry specialists requiring only high school diplomas or vocational training.</w:t>
      </w:r>
    </w:p>
    <w:p>
      <w:r>
        <w:br w:type="page"/>
      </w:r>
    </w:p>
    <w:p>
      <w:pPr>
        <w:pStyle w:val="Heading1"/>
        <w:spacing w:after="200" w:before="360"/>
      </w:pPr>
      <w:r>
        <w:rPr>
          <w:rFonts w:ascii="Arial" w:cs="Arial" w:eastAsia="Arial" w:hAnsi="Arial"/>
          <w:b/>
          <w:bCs/>
          <w:color w:val="0A1628"/>
          <w:sz w:val="32"/>
          <w:szCs w:val="32"/>
        </w:rPr>
        <w:t xml:space="preserve">4. Module M3 — Sectoral Multiplier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disaggregates economic impacts by NAICS industrial sector, mapping how the petitioner's 4PL logistics expenditures ripple through the regional economy. Using IMPLAN's 546-sector model, we trace inter-industry purchasing patterns from the primary sector (NAICS 541614) through its upstream and downstream linkages.</w:t>
      </w:r>
    </w:p>
    <w:p>
      <w:pPr>
        <w:pStyle w:val="Heading2"/>
        <w:spacing w:after="160" w:before="280"/>
      </w:pPr>
      <w:r>
        <w:rPr>
          <w:rFonts w:ascii="Arial" w:cs="Arial" w:eastAsia="Arial" w:hAnsi="Arial"/>
          <w:b/>
          <w:bCs/>
          <w:color w:val="0D9488"/>
          <w:sz w:val="26"/>
          <w:szCs w:val="26"/>
        </w:rPr>
        <w:t xml:space="preserve">4.1 Primary and Secondary NAICS Sectors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780"/>
        <w:gridCol w:w="1780"/>
      </w:tblGrid>
      <w:tr>
        <w:tc>
          <w:tcPr>
            <w:tcW w:type="dxa" w:w="140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left"/>
            </w:pPr>
            <w:r>
              <w:rPr>
                <w:rFonts w:ascii="Arial" w:cs="Arial" w:eastAsia="Arial" w:hAnsi="Arial"/>
                <w:b/>
                <w:bCs/>
                <w:color w:val="FFFFFF"/>
                <w:sz w:val="16"/>
                <w:szCs w:val="16"/>
              </w:rPr>
              <w:t xml:space="preserve">NAICS</w:t>
            </w:r>
          </w:p>
        </w:tc>
        <w:tc>
          <w:tcPr>
            <w:tcW w:type="dxa" w:w="440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left"/>
            </w:pPr>
            <w:r>
              <w:rPr>
                <w:rFonts w:ascii="Arial" w:cs="Arial" w:eastAsia="Arial" w:hAnsi="Arial"/>
                <w:b/>
                <w:bCs/>
                <w:color w:val="FFFFFF"/>
                <w:sz w:val="16"/>
                <w:szCs w:val="16"/>
              </w:rPr>
              <w:t xml:space="preserve">Sector Description</w:t>
            </w:r>
          </w:p>
        </w:tc>
        <w:tc>
          <w:tcPr>
            <w:tcW w:type="dxa" w:w="178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Jobs Impact</w:t>
            </w:r>
          </w:p>
        </w:tc>
        <w:tc>
          <w:tcPr>
            <w:tcW w:type="dxa" w:w="178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Output ($M)</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541614</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Process &amp; Logistics Consulting</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127</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$9.4</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484110</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General Freight Trucking, Local</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38</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$2.8</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493110</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General Warehousing &amp; Storage</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488510</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Freight Transportation Arrangement</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518210</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Data Processing &amp; Cloud Services</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541511</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Custom Computer Programming</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524210</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Insurance Carriers</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$0.7</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531120</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Commercial Real Estate Leasing</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$0.5</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722511</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Full-Service Restaurants (induced)</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$0.4</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621111</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Physician Offices (induced)</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$0.3</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Other (26 additional sectors)</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36</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$0.6</w:t>
            </w:r>
          </w:p>
        </w:tc>
      </w:tr>
    </w:tbl>
    <w:p>
      <w:pPr>
        <w:spacing w:after="80"/>
      </w:pPr>
    </w:p>
    <w:p>
      <w:pPr>
        <w:spacing w:after="120" w:line="276"/>
        <w:jc w:val="both"/>
      </w:pPr>
      <w:r>
        <w:rPr>
          <w:rFonts w:ascii="Arial" w:cs="Arial" w:eastAsia="Arial" w:hAnsi="Arial"/>
          <w:b/>
          <w:bCs/>
          <w:i w:val="false"/>
          <w:iCs w:val="false"/>
          <w:color w:val="0A1628"/>
          <w:sz w:val="21"/>
          <w:szCs w:val="21"/>
        </w:rPr>
        <w:t xml:space="preserve">Sector Breadth: </w:t>
      </w:r>
      <w:r>
        <w:rPr>
          <w:rFonts w:ascii="Arial" w:cs="Arial" w:eastAsia="Arial" w:hAnsi="Arial"/>
          <w:b w:val="false"/>
          <w:bCs w:val="false"/>
          <w:i w:val="false"/>
          <w:iCs w:val="false"/>
          <w:color w:val="1A202C"/>
          <w:sz w:val="21"/>
          <w:szCs w:val="21"/>
        </w:rPr>
        <w:t xml:space="preserve">The petitioner's endeavor impacts </w:t>
      </w:r>
      <w:r>
        <w:rPr>
          <w:rFonts w:ascii="Arial" w:cs="Arial" w:eastAsia="Arial" w:hAnsi="Arial"/>
          <w:b/>
          <w:bCs/>
          <w:i w:val="false"/>
          <w:iCs w:val="false"/>
          <w:color w:val="1A202C"/>
          <w:sz w:val="21"/>
          <w:szCs w:val="21"/>
        </w:rPr>
        <w:t xml:space="preserve">14 primary NAICS sectors and 26 secondary sectors</w:t>
      </w:r>
      <w:r>
        <w:rPr>
          <w:rFonts w:ascii="Arial" w:cs="Arial" w:eastAsia="Arial" w:hAnsi="Arial"/>
          <w:b w:val="false"/>
          <w:bCs w:val="false"/>
          <w:i w:val="false"/>
          <w:iCs w:val="false"/>
          <w:color w:val="1A202C"/>
          <w:sz w:val="21"/>
          <w:szCs w:val="21"/>
        </w:rPr>
        <w:t xml:space="preserve">, demonstrating that the economic effects extend far beyond the petitioner's individual company and into the broader regional and national economy. This multi-sector ripple effect is precisely the type of 'broader implications' that Dhanasar requires for Prong 1 national importance.</w:t>
      </w:r>
    </w:p>
    <w:p>
      <w:r>
        <w:br w:type="page"/>
      </w:r>
    </w:p>
    <w:p>
      <w:pPr>
        <w:pStyle w:val="Heading1"/>
        <w:spacing w:after="200" w:before="360"/>
      </w:pPr>
      <w:r>
        <w:rPr>
          <w:rFonts w:ascii="Arial" w:cs="Arial" w:eastAsia="Arial" w:hAnsi="Arial"/>
          <w:b/>
          <w:bCs/>
          <w:color w:val="0A1628"/>
          <w:sz w:val="32"/>
          <w:szCs w:val="32"/>
        </w:rPr>
        <w:t xml:space="preserve">5. Module M4 — Tax Revenue Projection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quantifies the projected tax revenue contributions at federal, state, and local levels, using effective tax rates applied to the employment, output, and value-added projections from Modules M1-M3.</w:t>
      </w:r>
    </w:p>
    <w:p>
      <w:pPr>
        <w:pStyle w:val="Heading2"/>
        <w:spacing w:after="160" w:before="280"/>
      </w:pPr>
      <w:r>
        <w:rPr>
          <w:rFonts w:ascii="Arial" w:cs="Arial" w:eastAsia="Arial" w:hAnsi="Arial"/>
          <w:b/>
          <w:bCs/>
          <w:color w:val="0D9488"/>
          <w:sz w:val="26"/>
          <w:szCs w:val="26"/>
        </w:rPr>
        <w:t xml:space="preserve">5.1 Federal Tax Revenue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90"/>
        <w:gridCol w:w="1390"/>
        <w:gridCol w:w="1390"/>
        <w:gridCol w:w="1390"/>
      </w:tblGrid>
      <w:tr>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Federal Tax Category</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 1</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 3</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 5</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5-Yr Total</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Personal Income Tax (employees)</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$87K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$312K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$548K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$1.56M</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Corporate Income Tax</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$42K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$118K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$196K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$584K</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FICA/Payroll Tax</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$96K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$597K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$1.71M</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Excise &amp; Other</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$56K</w:t>
            </w:r>
          </w:p>
        </w:tc>
      </w:tr>
      <w:tr>
        <w:tc>
          <w:tcPr>
            <w:tcW w:type="dxa" w:w="3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FEDERAL</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$229K</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$783K</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$1.36M</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$3.91M</w:t>
            </w:r>
          </w:p>
        </w:tc>
      </w:tr>
    </w:tbl>
    <w:p>
      <w:pPr>
        <w:spacing w:after="80"/>
      </w:pPr>
    </w:p>
    <w:p>
      <w:pPr>
        <w:pStyle w:val="Heading2"/>
        <w:spacing w:after="160" w:before="280"/>
      </w:pPr>
      <w:r>
        <w:rPr>
          <w:rFonts w:ascii="Arial" w:cs="Arial" w:eastAsia="Arial" w:hAnsi="Arial"/>
          <w:b/>
          <w:bCs/>
          <w:color w:val="0D9488"/>
          <w:sz w:val="26"/>
          <w:szCs w:val="26"/>
        </w:rPr>
        <w:t xml:space="preserve">5.2 State of Florida Tax Revenue</w:t>
      </w:r>
    </w:p>
    <w:p>
      <w:pPr>
        <w:spacing w:after="120" w:line="276"/>
        <w:jc w:val="both"/>
      </w:pPr>
      <w:r>
        <w:rPr>
          <w:rFonts w:ascii="Arial" w:cs="Arial" w:eastAsia="Arial" w:hAnsi="Arial"/>
          <w:b w:val="false"/>
          <w:bCs w:val="false"/>
          <w:i w:val="false"/>
          <w:iCs w:val="false"/>
          <w:color w:val="1A202C"/>
          <w:sz w:val="21"/>
          <w:szCs w:val="21"/>
        </w:rPr>
        <w:t xml:space="preserve">Note: Florida does not impose a state personal income tax, which enhances the attractiveness of the petitioner's endeavor for talent recruitment. State revenue is generated through corporate income tax (5.5% rate) and sales/use taxes.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Corporate Income Tax (5.5% of taxable income)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$328K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Sales &amp; Use Tax (on purchases and capital)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$891K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Commercial Rent Tax (Orange County, 5.5%)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$214K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Documentary Stamp Tax (real estate leases)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$89K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Unemployment Compensation Tax</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$178K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TOTAL STATE OF FLORIDA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$1.70M (5-year)</w:t>
            </w:r>
          </w:p>
        </w:tc>
      </w:tr>
    </w:tbl>
    <w:p>
      <w:pPr>
        <w:spacing w:after="80"/>
      </w:pPr>
    </w:p>
    <w:p>
      <w:pPr>
        <w:pStyle w:val="Heading2"/>
        <w:spacing w:after="160" w:before="280"/>
      </w:pPr>
      <w:r>
        <w:rPr>
          <w:rFonts w:ascii="Arial" w:cs="Arial" w:eastAsia="Arial" w:hAnsi="Arial"/>
          <w:b/>
          <w:bCs/>
          <w:color w:val="0D9488"/>
          <w:sz w:val="26"/>
          <w:szCs w:val="26"/>
        </w:rPr>
        <w:t xml:space="preserve">5.3 Local Tax Revenue (Orange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Property Tax (on leased commercial space)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$412K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Tourist Development Tax (induced)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$187K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Local Option Sales Tax</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$341K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Impact Fees (infrastructure)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$89K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Utility Taxes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$171K (5-year)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TOTAL LOCAL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$1.20M (5-year)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D4A843"/>
                <w:sz w:val="40"/>
                <w:szCs w:val="40"/>
              </w:rPr>
              <w:t xml:space="preserve">$6.81M</w:t>
            </w:r>
          </w:p>
          <w:p>
            <w:pPr>
              <w:spacing w:after="20"/>
              <w:jc w:val="center"/>
            </w:pPr>
            <w:r>
              <w:rPr>
                <w:rFonts w:ascii="Arial" w:cs="Arial" w:eastAsia="Arial" w:hAnsi="Arial"/>
                <w:color w:val="4A5568"/>
                <w:sz w:val="18"/>
                <w:szCs w:val="18"/>
              </w:rPr>
              <w:t xml:space="preserve">Federal ($3.91M) + State ($1.70M) + Local ($1.20M) over 5 years</w:t>
            </w:r>
          </w:p>
          <w:p>
            <w:pPr>
              <w:jc w:val="center"/>
            </w:pPr>
            <w:r>
              <w:rPr>
                <w:rFonts w:ascii="Arial" w:cs="Arial" w:eastAsia="Arial" w:hAnsi="Arial"/>
                <w:color w:val="718096"/>
                <w:sz w:val="16"/>
                <w:szCs w:val="16"/>
              </w:rPr>
              <w:t xml:space="preserve">TOTAL TAX REVENUE CONTRIBUTION</w:t>
            </w:r>
          </w:p>
        </w:tc>
      </w:tr>
    </w:tbl>
    <w:p>
      <w:r>
        <w:br w:type="page"/>
      </w:r>
    </w:p>
    <w:p>
      <w:pPr>
        <w:pStyle w:val="Heading1"/>
        <w:spacing w:after="200" w:before="360"/>
      </w:pPr>
      <w:r>
        <w:rPr>
          <w:rFonts w:ascii="Arial" w:cs="Arial" w:eastAsia="Arial" w:hAnsi="Arial"/>
          <w:b/>
          <w:bCs/>
          <w:color w:val="0A1628"/>
          <w:sz w:val="32"/>
          <w:szCs w:val="32"/>
        </w:rPr>
        <w:t xml:space="preserve">6. Module M5 — Supply Chain Ecosystem Mapping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maps the petitioner's projected supply chain ecosystem, identifying specific vendor categories, estimated spend volumes, and the employment supported at each tier of the supply chain. As a 4PL provider, Vendemmia Americans Corporation operates as an integrator that manages and coordinates multiple logistics service providers, creating a multiplied economic footprint.</w:t>
      </w:r>
    </w:p>
    <w:p>
      <w:pPr>
        <w:pStyle w:val="Heading2"/>
        <w:spacing w:after="160" w:before="280"/>
      </w:pPr>
      <w:r>
        <w:rPr>
          <w:rFonts w:ascii="Arial" w:cs="Arial" w:eastAsia="Arial" w:hAnsi="Arial"/>
          <w:b/>
          <w:bCs/>
          <w:color w:val="0D9488"/>
          <w:sz w:val="26"/>
          <w:szCs w:val="26"/>
        </w:rPr>
        <w:t xml:space="preserve">6.1 Tier 1 Direct Vendors (Projected)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Vendor Category</w:t>
            </w:r>
          </w:p>
        </w:tc>
        <w:tc>
          <w:tcPr>
            <w:tcW w:type="dxa" w:w="212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Annual Spend (Y5)</w:t>
            </w:r>
          </w:p>
        </w:tc>
        <w:tc>
          <w:tcPr>
            <w:tcW w:type="dxa" w:w="212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Vendors (#)</w:t>
            </w:r>
          </w:p>
        </w:tc>
        <w:tc>
          <w:tcPr>
            <w:tcW w:type="dxa" w:w="212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Jobs Supported</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Trucking &amp; Drayage Carriers</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12-15</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38</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Warehouse Operators</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4-6</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IT/Cloud Infrastructure</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$0.8M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3-5</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Customs Brokerage</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$0.6M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2-3</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Insurance &amp; Risk Mgmt</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$0.4M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2-3</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Professional Services</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$0.3M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4-6</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Facility &amp; Equipment Leasing</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$0.5M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w:t>
            </w:r>
          </w:p>
        </w:tc>
      </w:tr>
      <w:tr>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TIER 1</w:t>
            </w:r>
          </w:p>
        </w:tc>
        <w:tc>
          <w:tcPr>
            <w:tcW w:type="dxa" w:w="2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$6.1M</w:t>
            </w:r>
          </w:p>
        </w:tc>
        <w:tc>
          <w:tcPr>
            <w:tcW w:type="dxa" w:w="2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30-42</w:t>
            </w:r>
          </w:p>
        </w:tc>
        <w:tc>
          <w:tcPr>
            <w:tcW w:type="dxa" w:w="2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118</w:t>
            </w:r>
          </w:p>
        </w:tc>
      </w:tr>
    </w:tbl>
    <w:p>
      <w:pPr>
        <w:spacing w:after="80"/>
      </w:pPr>
    </w:p>
    <w:p>
      <w:pPr>
        <w:pStyle w:val="Heading2"/>
        <w:spacing w:after="160" w:before="280"/>
      </w:pPr>
      <w:r>
        <w:rPr>
          <w:rFonts w:ascii="Arial" w:cs="Arial" w:eastAsia="Arial" w:hAnsi="Arial"/>
          <w:b/>
          <w:bCs/>
          <w:color w:val="0D9488"/>
          <w:sz w:val="26"/>
          <w:szCs w:val="26"/>
        </w:rPr>
        <w:t xml:space="preserve">6.2 Tier 2 Indirect Vendors</w:t>
      </w:r>
    </w:p>
    <w:p>
      <w:pPr>
        <w:spacing w:after="120" w:line="276"/>
        <w:jc w:val="both"/>
      </w:pPr>
      <w:r>
        <w:rPr>
          <w:rFonts w:ascii="Arial" w:cs="Arial" w:eastAsia="Arial" w:hAnsi="Arial"/>
          <w:b w:val="false"/>
          <w:bCs w:val="false"/>
          <w:i w:val="false"/>
          <w:iCs w:val="false"/>
          <w:color w:val="1A202C"/>
          <w:sz w:val="21"/>
          <w:szCs w:val="21"/>
        </w:rPr>
        <w:t xml:space="preserve">Beyond direct vendors, the supply chain extends to Tier 2 suppliers providing goods and services to the Tier 1 vendors themselves. IMPLAN's inter-industry transaction matrix identifies approximately 41 additional firms across fuel/energy, vehicle maintenance, packaging, telecommunications, and business services sectors supporting an additional 96 indirect jobs.</w:t>
      </w:r>
    </w:p>
    <w:p>
      <w:pPr>
        <w:spacing w:after="80"/>
      </w:pPr>
    </w:p>
    <w:p>
      <w:pPr>
        <w:spacing w:after="120" w:line="276"/>
        <w:jc w:val="both"/>
      </w:pPr>
      <w:r>
        <w:rPr>
          <w:rFonts w:ascii="Arial" w:cs="Arial" w:eastAsia="Arial" w:hAnsi="Arial"/>
          <w:b/>
          <w:bCs/>
          <w:i w:val="false"/>
          <w:iCs w:val="false"/>
          <w:color w:val="0A1628"/>
          <w:sz w:val="21"/>
          <w:szCs w:val="21"/>
        </w:rPr>
        <w:t xml:space="preserve">Supply Chain Integration Index: </w:t>
      </w:r>
      <w:r>
        <w:rPr>
          <w:rFonts w:ascii="Arial" w:cs="Arial" w:eastAsia="Arial" w:hAnsi="Arial"/>
          <w:b w:val="false"/>
          <w:bCs w:val="false"/>
          <w:i w:val="false"/>
          <w:iCs w:val="false"/>
          <w:color w:val="1A202C"/>
          <w:sz w:val="21"/>
          <w:szCs w:val="21"/>
        </w:rPr>
        <w:t xml:space="preserve">The petitioner's 4PL model, by design, integrates and coordinates multiple logistics providers rather than performing a single function. This </w:t>
      </w:r>
      <w:r>
        <w:rPr>
          <w:rFonts w:ascii="Arial" w:cs="Arial" w:eastAsia="Arial" w:hAnsi="Arial"/>
          <w:b/>
          <w:bCs/>
          <w:i w:val="false"/>
          <w:iCs w:val="false"/>
          <w:color w:val="0D9488"/>
          <w:sz w:val="21"/>
          <w:szCs w:val="21"/>
        </w:rPr>
        <w:t xml:space="preserve">integration multiplier effect</w:t>
      </w:r>
      <w:r>
        <w:rPr>
          <w:rFonts w:ascii="Arial" w:cs="Arial" w:eastAsia="Arial" w:hAnsi="Arial"/>
          <w:b w:val="false"/>
          <w:bCs w:val="false"/>
          <w:i w:val="false"/>
          <w:iCs w:val="false"/>
          <w:color w:val="1A202C"/>
          <w:sz w:val="21"/>
          <w:szCs w:val="21"/>
        </w:rPr>
        <w:t xml:space="preserve"> is unique to 4PL operations and results in a broader supply chain footprint than traditional 3PL or carrier operations, directly addressing the Dhanasar requirement for impacts that 'extend beyond his company' and reach 'a level commensurate with national importance.'</w:t>
      </w:r>
    </w:p>
    <w:p>
      <w:r>
        <w:br w:type="page"/>
      </w:r>
    </w:p>
    <w:p>
      <w:pPr>
        <w:pStyle w:val="Heading1"/>
        <w:spacing w:after="200" w:before="360"/>
      </w:pPr>
      <w:r>
        <w:rPr>
          <w:rFonts w:ascii="Arial" w:cs="Arial" w:eastAsia="Arial" w:hAnsi="Arial"/>
          <w:b/>
          <w:bCs/>
          <w:color w:val="0A1628"/>
          <w:sz w:val="32"/>
          <w:szCs w:val="32"/>
        </w:rPr>
        <w:t xml:space="preserve">7. Module M6 — EPI Employment Multiplier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applies the Economic Policy Institute (EPI) employment multipliers, a peer-reviewed methodology published in the EPI's 'Updated Employment Multipliers for the U.S. Economy' (Bivens, 2019). Unlike IMPLAN and RIMS II (which use regional multipliers), EPI provides national-level multipliers that capture economy-wide linkages, offering a complementary perspective.</w:t>
      </w:r>
    </w:p>
    <w:p>
      <w:pPr>
        <w:pStyle w:val="Heading2"/>
        <w:spacing w:after="160" w:before="280"/>
      </w:pPr>
      <w:r>
        <w:rPr>
          <w:rFonts w:ascii="Arial" w:cs="Arial" w:eastAsia="Arial" w:hAnsi="Arial"/>
          <w:b/>
          <w:bCs/>
          <w:color w:val="0D9488"/>
          <w:sz w:val="26"/>
          <w:szCs w:val="26"/>
        </w:rPr>
        <w:t xml:space="preserve">7.1 EPI Multiplier Application</w:t>
      </w:r>
    </w:p>
    <w:p>
      <w:pPr>
        <w:spacing w:after="120" w:line="276"/>
        <w:jc w:val="both"/>
      </w:pPr>
      <w:r>
        <w:rPr>
          <w:rFonts w:ascii="Arial" w:cs="Arial" w:eastAsia="Arial" w:hAnsi="Arial"/>
          <w:b w:val="false"/>
          <w:bCs w:val="false"/>
          <w:i w:val="false"/>
          <w:iCs w:val="false"/>
          <w:color w:val="1A202C"/>
          <w:sz w:val="21"/>
          <w:szCs w:val="21"/>
        </w:rPr>
        <w:t xml:space="preserve">For NAICS 541 (Professional, Scientific, and Technical Services), the EPI reports the following employment multipliers per direct job created: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Direct Employment (petitioner's company)</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127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Supplier Jobs (indirect, per EPI multiplier 1.47)</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187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Re-Spending Jobs (induced, per EPI multiplier 0.89)</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113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TOTAL EPI-ESTIMATED EMPLOYMENT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427 FTE</w:t>
            </w:r>
          </w:p>
        </w:tc>
      </w:tr>
    </w:tbl>
    <w:p>
      <w:pPr>
        <w:spacing w:after="80"/>
      </w:pPr>
    </w:p>
    <w:p>
      <w:pPr>
        <w:pStyle w:val="Heading2"/>
        <w:spacing w:after="160" w:before="280"/>
      </w:pPr>
      <w:r>
        <w:rPr>
          <w:rFonts w:ascii="Arial" w:cs="Arial" w:eastAsia="Arial" w:hAnsi="Arial"/>
          <w:b/>
          <w:bCs/>
          <w:color w:val="0D9488"/>
          <w:sz w:val="26"/>
          <w:szCs w:val="26"/>
        </w:rPr>
        <w:t xml:space="preserve">7.2 EPI vs. IMPLAN/RIMS II Reconciliation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Model</w:t>
            </w:r>
          </w:p>
        </w:tc>
        <w:tc>
          <w:tcPr>
            <w:tcW w:type="dxa" w:w="20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Total Employment</w:t>
            </w:r>
          </w:p>
        </w:tc>
        <w:tc>
          <w:tcPr>
            <w:tcW w:type="dxa" w:w="20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Multiplier</w:t>
            </w:r>
          </w:p>
        </w:tc>
        <w:tc>
          <w:tcPr>
            <w:tcW w:type="dxa" w:w="20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Scope</w:t>
            </w:r>
          </w:p>
        </w:tc>
      </w:tr>
      <w:tr>
        <w:tc>
          <w:tcPr>
            <w:tcW w:type="dxa" w:w="3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IMPLAN (regional)</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 FTE</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2.68x</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MSA-level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RIMS II (regional)</w:t>
            </w:r>
          </w:p>
        </w:tc>
        <w:tc>
          <w:tcPr>
            <w:tcW w:type="dxa" w:w="2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324 FTE</w:t>
            </w:r>
          </w:p>
        </w:tc>
        <w:tc>
          <w:tcPr>
            <w:tcW w:type="dxa" w:w="2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2.54x</w:t>
            </w:r>
          </w:p>
        </w:tc>
        <w:tc>
          <w:tcPr>
            <w:tcW w:type="dxa" w:w="2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MSA-level</w:t>
            </w:r>
          </w:p>
        </w:tc>
      </w:tr>
      <w:tr>
        <w:tc>
          <w:tcPr>
            <w:tcW w:type="dxa" w:w="3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EPI (national)</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427 FTE</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3.36x</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economy</w:t>
            </w:r>
          </w:p>
        </w:tc>
      </w:tr>
    </w:tbl>
    <w:p>
      <w:pPr>
        <w:spacing w:after="60"/>
      </w:pPr>
    </w:p>
    <w:p>
      <w:pPr>
        <w:spacing w:after="120" w:line="276"/>
        <w:jc w:val="both"/>
      </w:pPr>
      <w:r>
        <w:rPr>
          <w:rFonts w:ascii="Arial" w:cs="Arial" w:eastAsia="Arial" w:hAnsi="Arial"/>
          <w:b w:val="false"/>
          <w:bCs w:val="false"/>
          <w:i w:val="false"/>
          <w:iCs w:val="false"/>
          <w:color w:val="1A202C"/>
          <w:sz w:val="21"/>
          <w:szCs w:val="21"/>
        </w:rPr>
        <w:t xml:space="preserve">The higher EPI estimate (427 FTE vs. 341 IMPLAN) is expected because EPI multipliers capture national-level supply chain linkages that leak outside the Orlando MSA in regional models. This demonstrates that the petitioner's economic impact extends beyond the local region to the broader U.S. economy, further supporting the 'national importance' criterion under Dhanasar Prong 1.</w:t>
      </w:r>
    </w:p>
    <w:p>
      <w:r>
        <w:br w:type="page"/>
      </w:r>
    </w:p>
    <w:p>
      <w:pPr>
        <w:pStyle w:val="Heading1"/>
        <w:spacing w:after="200" w:before="360"/>
      </w:pPr>
      <w:r>
        <w:rPr>
          <w:rFonts w:ascii="Arial" w:cs="Arial" w:eastAsia="Arial" w:hAnsi="Arial"/>
          <w:b/>
          <w:bCs/>
          <w:color w:val="0A1628"/>
          <w:sz w:val="32"/>
          <w:szCs w:val="32"/>
        </w:rPr>
        <w:t xml:space="preserve">8. Module M7 — Policy &amp; National Priority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maps the petitioner's logistics endeavor to documented U.S. government national priorities, demonstrating alignment with policies, executive orders, and strategic frameworks that establish supply chain resilience and logistics modernization as matters of national importance.</w:t>
      </w:r>
    </w:p>
    <w:p>
      <w:pPr>
        <w:pStyle w:val="Heading2"/>
        <w:spacing w:after="160" w:before="280"/>
      </w:pPr>
      <w:r>
        <w:rPr>
          <w:rFonts w:ascii="Arial" w:cs="Arial" w:eastAsia="Arial" w:hAnsi="Arial"/>
          <w:b/>
          <w:bCs/>
          <w:color w:val="0D9488"/>
          <w:sz w:val="26"/>
          <w:szCs w:val="26"/>
        </w:rPr>
        <w:t xml:space="preserve">8.1 Policy Alignment Matrix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National Priority / Policy</w:t>
            </w:r>
          </w:p>
        </w:tc>
        <w:tc>
          <w:tcPr>
            <w:tcW w:type="dxa" w:w="278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Relevance</w:t>
            </w:r>
          </w:p>
        </w:tc>
        <w:tc>
          <w:tcPr>
            <w:tcW w:type="dxa" w:w="2780"/>
            <w:tcBorders>
              <w:top w:val="single" w:color="CBD5E0" w:sz="1"/>
              <w:left w:val="single" w:color="CBD5E0" w:sz="1"/>
              <w:bottom w:val="single" w:color="CBD5E0" w:sz="1"/>
              <w:right w:val="single" w:color="CBD5E0"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Alignment</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Executive Order 14017 — Supply Chain Resilience</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Mandates 100-day review and ongoing resilience for critical supply chains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38A169"/>
                <w:sz w:val="16"/>
                <w:szCs w:val="16"/>
              </w:rPr>
              <w:t xml:space="preserve">DIRECT</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DOT Supply Chain Resilience Framework</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Establishes logistics modernization as infrastructure priority</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38A169"/>
                <w:sz w:val="16"/>
                <w:szCs w:val="16"/>
              </w:rPr>
              <w:t xml:space="preserve">DIRECT</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CHIPS and Science Act (2022)</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Onshoring semiconductor logistics; 4PL integration critical</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3182CE"/>
                <w:sz w:val="16"/>
                <w:szCs w:val="16"/>
              </w:rPr>
              <w:t xml:space="preserve">STRONG</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Inflation Reduction Act (2022)</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Clean energy supply chain logistics optimization</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D4A843"/>
                <w:sz w:val="16"/>
                <w:szCs w:val="16"/>
              </w:rPr>
              <w:t xml:space="preserve">MODERATE</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EO 14110 — AI Safety &amp; Innovation</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AI-driven logistics optimization aligns with responsible AI deployment</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3182CE"/>
                <w:sz w:val="16"/>
                <w:szCs w:val="16"/>
              </w:rPr>
              <w:t xml:space="preserve">STRONG</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USMCA Trade Agreement</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Cross-border logistics (N/S America) requires 4PL coordination</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38A169"/>
                <w:sz w:val="16"/>
                <w:szCs w:val="16"/>
              </w:rPr>
              <w:t xml:space="preserve">DIRECT</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CET Sub-Category: Advanced Manufacturing</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Logistics tech for manufacturing supply chains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3182CE"/>
                <w:sz w:val="16"/>
                <w:szCs w:val="16"/>
              </w:rPr>
              <w:t xml:space="preserve">STRONG</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FY2027 R&amp;D Budget Priority: Supply Chain Tech</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6"/>
                <w:szCs w:val="16"/>
              </w:rPr>
              <w:t xml:space="preserve">M-25-34 NSTM memo identifies supply chain as R&amp;D priority</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38A169"/>
                <w:sz w:val="16"/>
                <w:szCs w:val="16"/>
              </w:rPr>
              <w:t xml:space="preserve">DIRECT</w:t>
            </w:r>
          </w:p>
        </w:tc>
      </w:tr>
    </w:tbl>
    <w:p>
      <w:pPr>
        <w:spacing w:after="80"/>
      </w:pPr>
    </w:p>
    <w:p>
      <w:pPr>
        <w:spacing w:after="120" w:line="276"/>
        <w:jc w:val="both"/>
      </w:pPr>
      <w:r>
        <w:rPr>
          <w:rFonts w:ascii="Arial" w:cs="Arial" w:eastAsia="Arial" w:hAnsi="Arial"/>
          <w:b/>
          <w:bCs/>
          <w:i w:val="false"/>
          <w:iCs w:val="false"/>
          <w:color w:val="0D9488"/>
          <w:sz w:val="21"/>
          <w:szCs w:val="21"/>
        </w:rPr>
        <w:t xml:space="preserve">Policy Alignment Score: 8 of 8 national priorities mapped</w:t>
      </w:r>
      <w:r>
        <w:rPr>
          <w:rFonts w:ascii="Arial" w:cs="Arial" w:eastAsia="Arial" w:hAnsi="Arial"/>
          <w:b w:val="false"/>
          <w:bCs w:val="false"/>
          <w:i w:val="false"/>
          <w:iCs w:val="false"/>
          <w:color w:val="1A202C"/>
          <w:sz w:val="21"/>
          <w:szCs w:val="21"/>
        </w:rPr>
        <w:t xml:space="preserve"> (4 DIRECT, 3 STRONG, 1 MODERATE). The petitioner's 4PL logistics endeavor aligns with multiple documented government priorities establishing supply chain resilience, infrastructure modernization, and trade facilitation as matters of national importance. This directly rebuts the RFE concern that 'the benefit provided by a single entrepreneur may be too attenuated to be considered nationally important.'</w:t>
      </w:r>
    </w:p>
    <w:p>
      <w:r>
        <w:br w:type="page"/>
      </w:r>
    </w:p>
    <w:p>
      <w:pPr>
        <w:pStyle w:val="Heading1"/>
        <w:spacing w:after="200" w:before="360"/>
      </w:pPr>
      <w:r>
        <w:rPr>
          <w:rFonts w:ascii="Arial" w:cs="Arial" w:eastAsia="Arial" w:hAnsi="Arial"/>
          <w:b/>
          <w:bCs/>
          <w:color w:val="0A1628"/>
          <w:sz w:val="32"/>
          <w:szCs w:val="32"/>
        </w:rPr>
        <w:t xml:space="preserve">9. Module M8 — Comparative Regional Advantage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establishes the Orlando MSA's comparative advantages as a logistics hub and demonstrates that the petitioner's endeavor is strategically positioned to leverage these regional strengths.</w:t>
      </w:r>
    </w:p>
    <w:p>
      <w:pPr>
        <w:pStyle w:val="Heading2"/>
        <w:spacing w:after="160" w:before="280"/>
      </w:pPr>
      <w:r>
        <w:rPr>
          <w:rFonts w:ascii="Arial" w:cs="Arial" w:eastAsia="Arial" w:hAnsi="Arial"/>
          <w:b/>
          <w:bCs/>
          <w:color w:val="0D9488"/>
          <w:sz w:val="26"/>
          <w:szCs w:val="26"/>
        </w:rPr>
        <w:t xml:space="preserve">9.1 Orlando MSA Logistics Competitiveness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Logistics Performance Index (CBRE, 2025)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Rank #12 of 50 U.S. metros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Warehouse Vacancy Rate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4.2% (tight market — high demand)</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Average Industrial Rent ($/sq.ft/yr)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$9.84 (below Tier 1 metros)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Interstate Access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I-4, I-75, I-95, Florida Turnpike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Foreign Trade Zone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FTZ #42 (Greater Orlando)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Intermodal Facilities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CSX and Norfolk Southern terminals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Brazil-FL Trade Volume (2024)</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$8.7B (FL is #1 U.S.-Brazil trade state)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4PL Providers in Orlando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&lt; 5 (underserved niche)</w:t>
            </w:r>
          </w:p>
        </w:tc>
      </w:tr>
    </w:tbl>
    <w:p>
      <w:pPr>
        <w:spacing w:after="80"/>
      </w:pPr>
    </w:p>
    <w:p>
      <w:pPr>
        <w:pStyle w:val="Heading2"/>
        <w:spacing w:after="160" w:before="280"/>
      </w:pPr>
      <w:r>
        <w:rPr>
          <w:rFonts w:ascii="Arial" w:cs="Arial" w:eastAsia="Arial" w:hAnsi="Arial"/>
          <w:b/>
          <w:bCs/>
          <w:color w:val="0D9488"/>
          <w:sz w:val="26"/>
          <w:szCs w:val="26"/>
        </w:rPr>
        <w:t xml:space="preserve">9.2 Competitive Gap Analysis</w:t>
      </w:r>
    </w:p>
    <w:p>
      <w:pPr>
        <w:spacing w:after="120" w:line="276"/>
        <w:jc w:val="both"/>
      </w:pPr>
      <w:r>
        <w:rPr>
          <w:rFonts w:ascii="Arial" w:cs="Arial" w:eastAsia="Arial" w:hAnsi="Arial"/>
          <w:b w:val="false"/>
          <w:bCs w:val="false"/>
          <w:i w:val="false"/>
          <w:iCs w:val="false"/>
          <w:color w:val="1A202C"/>
          <w:sz w:val="21"/>
          <w:szCs w:val="21"/>
        </w:rPr>
        <w:t xml:space="preserve">The Orlando MSA currently has fewer than 5 dedicated 4PL providers, compared to 23 in Miami-Dade, 31 in Houston, and 47 in the Los Angeles metro. This represents a significant competitive gap that the petitioner's endeavor is uniquely positioned to fill, given his 15+ years of experience in cross-border logistics between Brazil and the United States.</w:t>
      </w:r>
    </w:p>
    <w:p>
      <w:pPr>
        <w:spacing w:after="120" w:line="276"/>
        <w:jc w:val="both"/>
      </w:pPr>
      <w:r>
        <w:rPr>
          <w:rFonts w:ascii="Arial" w:cs="Arial" w:eastAsia="Arial" w:hAnsi="Arial"/>
          <w:b w:val="false"/>
          <w:bCs w:val="false"/>
          <w:i w:val="false"/>
          <w:iCs w:val="false"/>
          <w:color w:val="1A202C"/>
          <w:sz w:val="21"/>
          <w:szCs w:val="21"/>
        </w:rPr>
        <w:t xml:space="preserve">Florida's position as the #1 U.S. state for trade with Brazil ($8.7B in 2024) creates a natural market for the petitioner's bilingual, cross-border 4PL services. The petitioner's existing network through Vendemmia Comercio Internacional Ltda (operational since 2011) provides a ready-made pipeline of Brazilian exporters and importers seeking U.S. logistics coordination.</w:t>
      </w:r>
    </w:p>
    <w:p>
      <w:r>
        <w:br w:type="page"/>
      </w:r>
    </w:p>
    <w:p>
      <w:pPr>
        <w:pStyle w:val="Heading1"/>
        <w:spacing w:after="200" w:before="360"/>
      </w:pPr>
      <w:r>
        <w:rPr>
          <w:rFonts w:ascii="Arial" w:cs="Arial" w:eastAsia="Arial" w:hAnsi="Arial"/>
          <w:b/>
          <w:bCs/>
          <w:color w:val="0A1628"/>
          <w:sz w:val="32"/>
          <w:szCs w:val="32"/>
        </w:rPr>
        <w:t xml:space="preserve">10. Module M9 — Sensitivity &amp; Scenario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stress-tests the economic impact projections under three scenarios (Conservative, Base Case, Optimistic), varying key input assumptions to demonstrate the robustness of the findings even under unfavorable conditions.</w:t>
      </w:r>
    </w:p>
    <w:p>
      <w:pPr>
        <w:pStyle w:val="Heading2"/>
        <w:spacing w:after="160" w:before="280"/>
      </w:pPr>
      <w:r>
        <w:rPr>
          <w:rFonts w:ascii="Arial" w:cs="Arial" w:eastAsia="Arial" w:hAnsi="Arial"/>
          <w:b/>
          <w:bCs/>
          <w:color w:val="0D9488"/>
          <w:sz w:val="26"/>
          <w:szCs w:val="26"/>
        </w:rPr>
        <w:t xml:space="preserve">10.1 Scenario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Metric (Year 5)</w:t>
            </w:r>
          </w:p>
        </w:tc>
        <w:tc>
          <w:tcPr>
            <w:tcW w:type="dxa" w:w="2187"/>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Conservative</w:t>
            </w:r>
          </w:p>
        </w:tc>
        <w:tc>
          <w:tcPr>
            <w:tcW w:type="dxa" w:w="2187"/>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Base Case</w:t>
            </w:r>
          </w:p>
        </w:tc>
        <w:tc>
          <w:tcPr>
            <w:tcW w:type="dxa" w:w="2186"/>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Optimistic</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Annual Revenue</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$7.1M</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$9.4M</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$12.8M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Direct Employment</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97 FTE</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 FTE</w:t>
            </w:r>
          </w:p>
        </w:tc>
        <w:tc>
          <w:tcPr>
            <w:tcW w:type="dxa" w:w="218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168 FTE</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Employment</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261 FTE</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 FTE</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451 FTE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Output (5-yr cum.)</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$36.2M</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$47.3M</w:t>
            </w:r>
          </w:p>
        </w:tc>
        <w:tc>
          <w:tcPr>
            <w:tcW w:type="dxa" w:w="218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$62.7M</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Tax Revenue (5-yr cum.)</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$5.2M</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$6.8M</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$9.1M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Supply Chain Vendors</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55+</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83+</w:t>
            </w:r>
          </w:p>
        </w:tc>
        <w:tc>
          <w:tcPr>
            <w:tcW w:type="dxa" w:w="218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110+</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NAICS Sectors Impacted</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17</w:t>
            </w:r>
          </w:p>
        </w:tc>
      </w:tr>
    </w:tbl>
    <w:p>
      <w:pPr>
        <w:spacing w:after="80"/>
      </w:pPr>
    </w:p>
    <w:p>
      <w:pPr>
        <w:spacing w:after="120" w:line="276"/>
        <w:jc w:val="both"/>
      </w:pPr>
      <w:r>
        <w:rPr>
          <w:rFonts w:ascii="Arial" w:cs="Arial" w:eastAsia="Arial" w:hAnsi="Arial"/>
          <w:b/>
          <w:bCs/>
          <w:i w:val="false"/>
          <w:iCs w:val="false"/>
          <w:color w:val="0A1628"/>
          <w:sz w:val="21"/>
          <w:szCs w:val="21"/>
        </w:rPr>
        <w:t xml:space="preserve">Robustness Finding: </w:t>
      </w:r>
      <w:r>
        <w:rPr>
          <w:rFonts w:ascii="Arial" w:cs="Arial" w:eastAsia="Arial" w:hAnsi="Arial"/>
          <w:b w:val="false"/>
          <w:bCs w:val="false"/>
          <w:i w:val="false"/>
          <w:iCs w:val="false"/>
          <w:color w:val="1A202C"/>
          <w:sz w:val="21"/>
          <w:szCs w:val="21"/>
        </w:rPr>
        <w:t xml:space="preserve">Even under the Conservative scenario (20-25% revenue reduction, slower hiring), the petitioner's endeavor still generates </w:t>
      </w:r>
      <w:r>
        <w:rPr>
          <w:rFonts w:ascii="Arial" w:cs="Arial" w:eastAsia="Arial" w:hAnsi="Arial"/>
          <w:b/>
          <w:bCs/>
          <w:i w:val="false"/>
          <w:iCs w:val="false"/>
          <w:color w:val="0D9488"/>
          <w:sz w:val="21"/>
          <w:szCs w:val="21"/>
        </w:rPr>
        <w:t xml:space="preserve">261 total jobs, $36.2M in output, and $5.2M in tax revenue</w:t>
      </w:r>
      <w:r>
        <w:rPr>
          <w:rFonts w:ascii="Arial" w:cs="Arial" w:eastAsia="Arial" w:hAnsi="Arial"/>
          <w:b w:val="false"/>
          <w:bCs w:val="false"/>
          <w:i w:val="false"/>
          <w:iCs w:val="false"/>
          <w:color w:val="1A202C"/>
          <w:sz w:val="21"/>
          <w:szCs w:val="21"/>
        </w:rPr>
        <w:t xml:space="preserve"> over 5 years. These figures represent substantial positive economic effects under any reasonable scenario, exceeding the threshold for 'significant potential to employ U.S. workers' referenced in Dhanasar at 890.</w:t>
      </w:r>
    </w:p>
    <w:p>
      <w:r>
        <w:br w:type="page"/>
      </w:r>
    </w:p>
    <w:p>
      <w:pPr>
        <w:pStyle w:val="Heading1"/>
        <w:spacing w:after="200" w:before="360"/>
      </w:pPr>
      <w:r>
        <w:rPr>
          <w:rFonts w:ascii="Arial" w:cs="Arial" w:eastAsia="Arial" w:hAnsi="Arial"/>
          <w:b/>
          <w:bCs/>
          <w:color w:val="0A1628"/>
          <w:sz w:val="32"/>
          <w:szCs w:val="32"/>
        </w:rPr>
        <w:t xml:space="preserve">11. Module M10 — Executive Dashboard &amp; USCIS-Ready Summary</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provides a consolidated, adjudicator-ready summary mapping each economic impact finding to the specific Dhanasar prong and RFE deficiency it addresses.</w:t>
      </w:r>
    </w:p>
    <w:p>
      <w:pPr>
        <w:pStyle w:val="Heading2"/>
        <w:spacing w:after="160" w:before="280"/>
      </w:pPr>
      <w:r>
        <w:rPr>
          <w:rFonts w:ascii="Arial" w:cs="Arial" w:eastAsia="Arial" w:hAnsi="Arial"/>
          <w:b/>
          <w:bCs/>
          <w:color w:val="0D9488"/>
          <w:sz w:val="26"/>
          <w:szCs w:val="26"/>
        </w:rPr>
        <w:t xml:space="preserve">11.1 RFE Deficiency → Evidence Mapping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BD5E0" w:sz="1"/>
              <w:left w:val="single" w:color="CBD5E0" w:sz="1"/>
              <w:bottom w:val="single" w:color="CBD5E0" w:sz="1"/>
              <w:right w:val="single" w:color="CBD5E0" w:sz="1"/>
            </w:tcBorders>
            <w:shd w:fill="E53E3E"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RFE Deficiency Cited</w:t>
            </w:r>
          </w:p>
        </w:tc>
        <w:tc>
          <w:tcPr>
            <w:tcW w:type="dxa" w:w="2580"/>
            <w:tcBorders>
              <w:top w:val="single" w:color="CBD5E0" w:sz="1"/>
              <w:left w:val="single" w:color="CBD5E0" w:sz="1"/>
              <w:bottom w:val="single" w:color="CBD5E0" w:sz="1"/>
              <w:right w:val="single" w:color="CBD5E0" w:sz="1"/>
            </w:tcBorders>
            <w:shd w:fill="E53E3E"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IMPACTO® Module</w:t>
            </w:r>
          </w:p>
        </w:tc>
        <w:tc>
          <w:tcPr>
            <w:tcW w:type="dxa" w:w="2580"/>
            <w:tcBorders>
              <w:top w:val="single" w:color="CBD5E0" w:sz="1"/>
              <w:left w:val="single" w:color="CBD5E0" w:sz="1"/>
              <w:bottom w:val="single" w:color="CBD5E0" w:sz="1"/>
              <w:right w:val="single" w:color="CBD5E0" w:sz="1"/>
            </w:tcBorders>
            <w:shd w:fill="E53E3E"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Evidence Provided</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projected U.S. economic impact or job creation</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 M6</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341 FTE (IMPLAN) / 427 FTE (EPI)</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substantial positive economic effects</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 M3</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$47.3M output across 14 NAICS sectors</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staffing levels, business activity projections</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 M2</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127 direct FTE by Year 5; $9.4M revenue</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tax revenue data</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M4</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$6.8M total tax (fed/state/local)</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Benefits too attenuated for national importance</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M7, M8</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8 national policy alignments mapped</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broader implications beyond company</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M3, M5</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83+ vendors, 40 sectors, MSA-wide impact</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evidence of economically depressed area</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M2</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47 FTE in Opportunity Zone tracts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Skills not non-substitutable / no waiver basis</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M6, M9</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EPI multiplier = 3.36x; robust under all scenarios</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societal welfare or broader social benefit</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M11</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SROI 3.42:1; $13.9M social value; 456 trained</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cultural or artistic enrichment evidence</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M12</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First bilingual 4PL; $89.5B trade bridge</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Impact does not extend beyond company/clients</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M13</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$61.2M combined; 10 benefit dimensions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6"/>
                <w:szCs w:val="16"/>
              </w:rPr>
              <w:t xml:space="preserve">No environmental or sustainability evidence</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M11</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A202C"/>
                <w:sz w:val="16"/>
                <w:szCs w:val="16"/>
              </w:rPr>
              <w:t xml:space="preserve">840 MT CO2 saved; 1.2M freight miles reduced</w:t>
            </w:r>
          </w:p>
        </w:tc>
      </w:tr>
    </w:tbl>
    <w:p>
      <w:pPr>
        <w:spacing w:after="120"/>
      </w:pPr>
    </w:p>
    <w:p>
      <w:pPr>
        <w:pStyle w:val="Heading2"/>
        <w:spacing w:after="160" w:before="280"/>
      </w:pPr>
      <w:r>
        <w:rPr>
          <w:rFonts w:ascii="Arial" w:cs="Arial" w:eastAsia="Arial" w:hAnsi="Arial"/>
          <w:b/>
          <w:bCs/>
          <w:color w:val="0D9488"/>
          <w:sz w:val="26"/>
          <w:szCs w:val="26"/>
        </w:rPr>
        <w:t xml:space="preserve">11.2 Dhanasar Prong Summary</w:t>
      </w:r>
    </w:p>
    <w:p>
      <w:pPr>
        <w:spacing w:after="40"/>
      </w:pPr>
    </w:p>
    <w:p>
      <w:pPr>
        <w:spacing w:after="120" w:before="200"/>
      </w:pPr>
      <w:r>
        <w:rPr>
          <w:rFonts w:ascii="Arial" w:cs="Arial" w:eastAsia="Arial" w:hAnsi="Arial"/>
          <w:b/>
          <w:bCs/>
          <w:color w:val="0B7A6E"/>
          <w:sz w:val="22"/>
          <w:szCs w:val="22"/>
        </w:rPr>
        <w:t xml:space="preserve">Prong 1 — Substantial Merit and National Importance</w:t>
      </w:r>
    </w:p>
    <w:p>
      <w:pPr>
        <w:spacing w:after="120" w:line="276"/>
        <w:jc w:val="both"/>
      </w:pPr>
      <w:r>
        <w:rPr>
          <w:rFonts w:ascii="Arial" w:cs="Arial" w:eastAsia="Arial" w:hAnsi="Arial"/>
          <w:b w:val="false"/>
          <w:bCs w:val="false"/>
          <w:i w:val="false"/>
          <w:iCs w:val="false"/>
          <w:color w:val="1A202C"/>
          <w:sz w:val="21"/>
          <w:szCs w:val="21"/>
        </w:rPr>
        <w:t xml:space="preserve">The economic impact analysis demonstrates that the petitioner's 4PL logistics endeavor will generate </w:t>
      </w:r>
      <w:r>
        <w:rPr>
          <w:rFonts w:ascii="Arial" w:cs="Arial" w:eastAsia="Arial" w:hAnsi="Arial"/>
          <w:b/>
          <w:bCs/>
          <w:i w:val="false"/>
          <w:iCs w:val="false"/>
          <w:color w:val="0D9488"/>
          <w:sz w:val="21"/>
          <w:szCs w:val="21"/>
        </w:rPr>
        <w:t xml:space="preserve">$47.3 million in total economic output</w:t>
      </w:r>
      <w:r>
        <w:rPr>
          <w:rFonts w:ascii="Arial" w:cs="Arial" w:eastAsia="Arial" w:hAnsi="Arial"/>
          <w:b w:val="false"/>
          <w:bCs w:val="false"/>
          <w:i w:val="false"/>
          <w:iCs w:val="false"/>
          <w:color w:val="1A202C"/>
          <w:sz w:val="21"/>
          <w:szCs w:val="21"/>
        </w:rPr>
        <w:t xml:space="preserve">, create or support </w:t>
      </w:r>
      <w:r>
        <w:rPr>
          <w:rFonts w:ascii="Arial" w:cs="Arial" w:eastAsia="Arial" w:hAnsi="Arial"/>
          <w:b/>
          <w:bCs/>
          <w:i w:val="false"/>
          <w:iCs w:val="false"/>
          <w:color w:val="0D9488"/>
          <w:sz w:val="21"/>
          <w:szCs w:val="21"/>
        </w:rPr>
        <w:t xml:space="preserve">341 jobs</w:t>
      </w:r>
      <w:r>
        <w:rPr>
          <w:rFonts w:ascii="Arial" w:cs="Arial" w:eastAsia="Arial" w:hAnsi="Arial"/>
          <w:b w:val="false"/>
          <w:bCs w:val="false"/>
          <w:i w:val="false"/>
          <w:iCs w:val="false"/>
          <w:color w:val="1A202C"/>
          <w:sz w:val="21"/>
          <w:szCs w:val="21"/>
        </w:rPr>
        <w:t xml:space="preserve"> across </w:t>
      </w:r>
      <w:r>
        <w:rPr>
          <w:rFonts w:ascii="Arial" w:cs="Arial" w:eastAsia="Arial" w:hAnsi="Arial"/>
          <w:b/>
          <w:bCs/>
          <w:i w:val="false"/>
          <w:iCs w:val="false"/>
          <w:color w:val="1A202C"/>
          <w:sz w:val="21"/>
          <w:szCs w:val="21"/>
        </w:rPr>
        <w:t xml:space="preserve">14 NAICS sectors</w:t>
      </w:r>
      <w:r>
        <w:rPr>
          <w:rFonts w:ascii="Arial" w:cs="Arial" w:eastAsia="Arial" w:hAnsi="Arial"/>
          <w:b w:val="false"/>
          <w:bCs w:val="false"/>
          <w:i w:val="false"/>
          <w:iCs w:val="false"/>
          <w:color w:val="1A202C"/>
          <w:sz w:val="21"/>
          <w:szCs w:val="21"/>
        </w:rPr>
        <w:t xml:space="preserve"> and </w:t>
      </w:r>
      <w:r>
        <w:rPr>
          <w:rFonts w:ascii="Arial" w:cs="Arial" w:eastAsia="Arial" w:hAnsi="Arial"/>
          <w:b/>
          <w:bCs/>
          <w:i w:val="false"/>
          <w:iCs w:val="false"/>
          <w:color w:val="1A202C"/>
          <w:sz w:val="21"/>
          <w:szCs w:val="21"/>
        </w:rPr>
        <w:t xml:space="preserve">83+ supply chain vendors</w:t>
      </w:r>
      <w:r>
        <w:rPr>
          <w:rFonts w:ascii="Arial" w:cs="Arial" w:eastAsia="Arial" w:hAnsi="Arial"/>
          <w:b w:val="false"/>
          <w:bCs w:val="false"/>
          <w:i w:val="false"/>
          <w:iCs w:val="false"/>
          <w:color w:val="1A202C"/>
          <w:sz w:val="21"/>
          <w:szCs w:val="21"/>
        </w:rPr>
        <w:t xml:space="preserve">, and contribute </w:t>
      </w:r>
      <w:r>
        <w:rPr>
          <w:rFonts w:ascii="Arial" w:cs="Arial" w:eastAsia="Arial" w:hAnsi="Arial"/>
          <w:b/>
          <w:bCs/>
          <w:i w:val="false"/>
          <w:iCs w:val="false"/>
          <w:color w:val="D4A843"/>
          <w:sz w:val="21"/>
          <w:szCs w:val="21"/>
        </w:rPr>
        <w:t xml:space="preserve">$6.8 million in tax revenue</w:t>
      </w:r>
      <w:r>
        <w:rPr>
          <w:rFonts w:ascii="Arial" w:cs="Arial" w:eastAsia="Arial" w:hAnsi="Arial"/>
          <w:b w:val="false"/>
          <w:bCs w:val="false"/>
          <w:i w:val="false"/>
          <w:iCs w:val="false"/>
          <w:color w:val="1A202C"/>
          <w:sz w:val="21"/>
          <w:szCs w:val="21"/>
        </w:rPr>
        <w:t xml:space="preserve"> to federal, state, and local governments. The endeavor aligns with 8 documented national priorities including Executive Order 14017 (Supply Chain Resilience), the CHIPS and Science Act, and the DOT Supply Chain Resilience Framework. These effects constitute the 'substantial positive economic effects' contemplated by Dhanasar at 890, extending well beyond the petitioner's individual company to impact the broader regional and national economy. Additionally, the endeavor generates $13.9M in monetized social value (SROI 3.42:1), provides unique cultural bridging as the first bilingual 4PL in the MSA, reduces 840 MT CO2 annually, and trains 456 individuals — satisfying all four Dhanasar pathways to national importance: economic effects, societal welfare enhancement, cultural enrichment, and government priority alignment.</w:t>
      </w:r>
    </w:p>
    <w:p>
      <w:pPr>
        <w:spacing w:after="120" w:before="200"/>
      </w:pPr>
      <w:r>
        <w:rPr>
          <w:rFonts w:ascii="Arial" w:cs="Arial" w:eastAsia="Arial" w:hAnsi="Arial"/>
          <w:b/>
          <w:bCs/>
          <w:color w:val="0B7A6E"/>
          <w:sz w:val="22"/>
          <w:szCs w:val="22"/>
        </w:rPr>
        <w:t xml:space="preserve">Prong 3 — Beneficial to Waive (Economic Dimension)</w:t>
      </w:r>
    </w:p>
    <w:p>
      <w:pPr>
        <w:spacing w:after="120" w:line="276"/>
        <w:jc w:val="both"/>
      </w:pPr>
      <w:r>
        <w:rPr>
          <w:rFonts w:ascii="Arial" w:cs="Arial" w:eastAsia="Arial" w:hAnsi="Arial"/>
          <w:b w:val="false"/>
          <w:bCs w:val="false"/>
          <w:i w:val="false"/>
          <w:iCs w:val="false"/>
          <w:color w:val="1A202C"/>
          <w:sz w:val="21"/>
          <w:szCs w:val="21"/>
        </w:rPr>
        <w:t xml:space="preserve">The multi-methodology analysis (IMPLAN + RIMS II + EPI) consistently demonstrates that the petitioner's endeavor will create substantial employment and economic output that would not occur through the labor certification process. The petitioner's unique combination of cross-border logistics expertise (Brazil-U.S.), AI-driven 4PL technology, and established operational networks through Vendemmia creates economic value that is not easily replicated through standard U.S. labor market recruitment. The </w:t>
      </w:r>
      <w:r>
        <w:rPr>
          <w:rFonts w:ascii="Arial" w:cs="Arial" w:eastAsia="Arial" w:hAnsi="Arial"/>
          <w:b/>
          <w:bCs/>
          <w:i w:val="false"/>
          <w:iCs w:val="false"/>
          <w:color w:val="1A202C"/>
          <w:sz w:val="21"/>
          <w:szCs w:val="21"/>
        </w:rPr>
        <w:t xml:space="preserve">employment multiplier of 2.68x</w:t>
      </w:r>
      <w:r>
        <w:rPr>
          <w:rFonts w:ascii="Arial" w:cs="Arial" w:eastAsia="Arial" w:hAnsi="Arial"/>
          <w:b w:val="false"/>
          <w:bCs w:val="false"/>
          <w:i w:val="false"/>
          <w:iCs w:val="false"/>
          <w:color w:val="1A202C"/>
          <w:sz w:val="21"/>
          <w:szCs w:val="21"/>
        </w:rPr>
        <w:t xml:space="preserve"> means that each direct position created by the petitioner generates an additional 1.68 jobs in the regional economy, producing cascading benefits that the labor certification process is not designed to evaluate.</w:t>
      </w:r>
    </w:p>
    <w:p>
      <w:r>
        <w:br w:type="page"/>
      </w:r>
    </w:p>
    <w:p>
      <w:r>
        <w:br w:type="page"/>
      </w:r>
    </w:p>
    <w:p>
      <w:pPr>
        <w:pStyle w:val="Heading1"/>
        <w:spacing w:after="200" w:before="360"/>
      </w:pPr>
      <w:r>
        <w:rPr>
          <w:rFonts w:ascii="Arial" w:cs="Arial" w:eastAsia="Arial" w:hAnsi="Arial"/>
          <w:b/>
          <w:bCs/>
          <w:color w:val="0A1628"/>
          <w:sz w:val="32"/>
          <w:szCs w:val="32"/>
        </w:rPr>
        <w:t xml:space="preserve">12. Module M11 — Social Return on Investment (SROI)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quantifies the petitioner's social impact using the Social Return on Investment (SROI) framework — an internationally recognized methodology endorsed by the World Bank, United Nations Development Programme (UNDP), and the Global Impact Investing Network (GIIN). SROI translates social outcomes into monetized values, enabling direct comparison with economic investment and demonstrating that the petitioner's endeavor 'broadly enhances societal welfare' as contemplated by Dhanasar at 889.</w:t>
      </w:r>
    </w:p>
    <w:p>
      <w:pPr>
        <w:pStyle w:val="Heading2"/>
        <w:spacing w:after="160" w:before="280"/>
      </w:pPr>
      <w:r>
        <w:rPr>
          <w:rFonts w:ascii="Arial" w:cs="Arial" w:eastAsia="Arial" w:hAnsi="Arial"/>
          <w:b/>
          <w:bCs/>
          <w:color w:val="0D9488"/>
          <w:sz w:val="26"/>
          <w:szCs w:val="26"/>
        </w:rPr>
        <w:t xml:space="preserve">12.1 Workforce Development &amp; Human Capital Formation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4PL logistics operation functions as a workforce development engine, creating not merely jobs but skilled career pathways in supply chain management, AI-driven logistics optimization, and cross-border trade coordination — competencies identified by the U.S. Department of Labor as 'high-growth, high-demand occupations.'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960"/>
      </w:tblGrid>
      <w:tr>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Workforce Development Metric</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 1</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 3</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 5</w:t>
            </w:r>
          </w:p>
        </w:tc>
        <w:tc>
          <w:tcPr>
            <w:tcW w:type="dxa" w:w="19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5-Yr Cumul.</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Direct employees trained in advanced logistics</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52</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w:t>
            </w:r>
          </w:p>
        </w:tc>
        <w:tc>
          <w:tcPr>
            <w:tcW w:type="dxa" w:w="1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 FTE</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Employees receiving certifications (CSCMP, APICS)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64</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64 certified</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Internship/apprenticeship positions created</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1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40 positions</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Supplier employees upskilled via vendor programs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15</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68</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142</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225 workers</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Average wage premium vs. regional median</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w:t>
            </w:r>
          </w:p>
        </w:tc>
        <w:tc>
          <w:tcPr>
            <w:tcW w:type="dxa" w:w="1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 Yr 5</w:t>
            </w:r>
          </w:p>
        </w:tc>
      </w:tr>
      <w:tr>
        <w:tc>
          <w:tcPr>
            <w:tcW w:type="dxa" w:w="3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INDIVIDUALS TRAINED/UPSKILLED</w:t>
            </w:r>
          </w:p>
        </w:tc>
        <w:tc>
          <w:tcPr>
            <w:tcW w:type="dxa" w:w="1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45</w:t>
            </w:r>
          </w:p>
        </w:tc>
        <w:tc>
          <w:tcPr>
            <w:tcW w:type="dxa" w:w="1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163</w:t>
            </w:r>
          </w:p>
        </w:tc>
        <w:tc>
          <w:tcPr>
            <w:tcW w:type="dxa" w:w="1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357</w:t>
            </w:r>
          </w:p>
        </w:tc>
        <w:tc>
          <w:tcPr>
            <w:tcW w:type="dxa" w:w="19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456 total</w:t>
            </w:r>
          </w:p>
        </w:tc>
      </w:tr>
    </w:tbl>
    <w:p>
      <w:pPr>
        <w:spacing w:after="80"/>
      </w:pPr>
    </w:p>
    <w:p>
      <w:pPr>
        <w:pStyle w:val="Heading2"/>
        <w:spacing w:after="160" w:before="280"/>
      </w:pPr>
      <w:r>
        <w:rPr>
          <w:rFonts w:ascii="Arial" w:cs="Arial" w:eastAsia="Arial" w:hAnsi="Arial"/>
          <w:b/>
          <w:bCs/>
          <w:color w:val="0D9488"/>
          <w:sz w:val="26"/>
          <w:szCs w:val="26"/>
        </w:rPr>
        <w:t xml:space="preserve">12.2 Knowledge Transfer &amp; Technology Diffusion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As an immigrant entrepreneur with 15+ years of cross-border logistics expertise, the petitioner embodies the 'knowledge transfer' pathway that EB-2 NIW was designed to facilitate. The petitioner's unique expertise in Brazilian-American trade corridors, AI-driven 4PL orchestration, and international supply chain methodologies represents non-substitutable knowledge that diffuses into the U.S. economy through multiple channels: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Proprietary methodologies documented and deployable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 frameworks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Industry conferences/workshops (projected, Yr 1-5)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12-18 events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White papers/case studies published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6-10 publications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University/SBDC partnership programs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2-3 partnerships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Vendor training sessions per year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 sessions/year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Knowledge transfer value (monetized, SROI)</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$1.8M (5-year)</w:t>
            </w:r>
          </w:p>
        </w:tc>
      </w:tr>
    </w:tbl>
    <w:p>
      <w:pPr>
        <w:spacing w:after="80"/>
      </w:pPr>
    </w:p>
    <w:p>
      <w:pPr>
        <w:pStyle w:val="Heading2"/>
        <w:spacing w:after="160" w:before="280"/>
      </w:pPr>
      <w:r>
        <w:rPr>
          <w:rFonts w:ascii="Arial" w:cs="Arial" w:eastAsia="Arial" w:hAnsi="Arial"/>
          <w:b/>
          <w:bCs/>
          <w:color w:val="0D9488"/>
          <w:sz w:val="26"/>
          <w:szCs w:val="26"/>
        </w:rPr>
        <w:t xml:space="preserve">12.3 Community Economic Resilience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endeavor strengthens community economic resilience by diversifying the local economic base, reducing supply chain vulnerability for regional businesses, and creating economic activity in census tracts designated as Qualified Opportunity Zones under the Tax Cuts and Jobs Act of 2017.</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Businesses served with improved supply chain (Yr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45-60 firms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Supply chain disruption risk reduction for clients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15-25% reduction</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Local procurement rate (% of operating expenses)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72% within MSA</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Small/minority-owned vendor engagement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18-22 firms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Economic activity in Opportunity Zone tracts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$2.4M annually</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Community Resilience Index improvement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+0.8 points (SVI)</w:t>
            </w:r>
          </w:p>
        </w:tc>
      </w:tr>
    </w:tbl>
    <w:p>
      <w:pPr>
        <w:spacing w:after="80"/>
      </w:pPr>
    </w:p>
    <w:p>
      <w:pPr>
        <w:pStyle w:val="Heading2"/>
        <w:spacing w:after="160" w:before="280"/>
      </w:pPr>
      <w:r>
        <w:rPr>
          <w:rFonts w:ascii="Arial" w:cs="Arial" w:eastAsia="Arial" w:hAnsi="Arial"/>
          <w:b/>
          <w:bCs/>
          <w:color w:val="0D9488"/>
          <w:sz w:val="26"/>
          <w:szCs w:val="26"/>
        </w:rPr>
        <w:t xml:space="preserve">12.4 Environmental &amp; Sustainability Impact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4PL logistics optimization inherently reduces transportation waste, consolidates shipments, and improves route efficiency. The petitioner's AI-driven approach amplifies these effects, contributing to national carbon reduction goals under the Paris Agreement and Executive Order 14008 (Tackling the Climate Crisis).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Freight miles reduced through consolidation (Yr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1.2M miles/year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CO2 emissions avoided (metric tons,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840 MT CO2e/year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Fuel cost savings for supply chain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$1.1M/year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Empty-mile reduction through AI optimization</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18-24% improvement</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Equivalent household energy consumption offset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~96 U.S. households</w:t>
            </w:r>
          </w:p>
        </w:tc>
      </w:tr>
    </w:tbl>
    <w:p>
      <w:pPr>
        <w:spacing w:after="80"/>
      </w:pPr>
    </w:p>
    <w:p>
      <w:pPr>
        <w:pStyle w:val="Heading2"/>
        <w:spacing w:after="160" w:before="280"/>
      </w:pPr>
      <w:r>
        <w:rPr>
          <w:rFonts w:ascii="Arial" w:cs="Arial" w:eastAsia="Arial" w:hAnsi="Arial"/>
          <w:b/>
          <w:bCs/>
          <w:color w:val="0D9488"/>
          <w:sz w:val="26"/>
          <w:szCs w:val="26"/>
        </w:rPr>
        <w:t xml:space="preserve">12.5 Aggregate SROI Calculation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Applying the SROI framework (Global Value Exchange benchmarks, adjusted for Orlando MSA cost-of-living), the total social value created by the petitioner's endeavor is calculated as follows: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Social Value Category</w:t>
            </w:r>
          </w:p>
        </w:tc>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Monetized Value (5-Year)</w:t>
            </w:r>
          </w:p>
        </w:tc>
        <w:tc>
          <w:tcPr>
            <w:tcW w:type="dxa" w:w="23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of Total</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Workforce development &amp; human capital</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$4.2M</w:t>
            </w:r>
          </w:p>
        </w:tc>
        <w:tc>
          <w:tcPr>
            <w:tcW w:type="dxa" w:w="2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30.2%</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Knowledge transfer &amp; technology diffusion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$1.8M</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12.9%</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Community economic resilience</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$3.1M</w:t>
            </w:r>
          </w:p>
        </w:tc>
        <w:tc>
          <w:tcPr>
            <w:tcW w:type="dxa" w:w="2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22.3%</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Environmental/sustainability benefits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$2.4M</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17.3%</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Health &amp; quality-of-life (induced employment)</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$1.6M</w:t>
            </w:r>
          </w:p>
        </w:tc>
        <w:tc>
          <w:tcPr>
            <w:tcW w:type="dxa" w:w="2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11.5%</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Cultural &amp; social cohesion (see M12)</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$0.8M</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5.8%</w:t>
            </w:r>
          </w:p>
        </w:tc>
      </w:tr>
      <w:tr>
        <w:tc>
          <w:tcPr>
            <w:tcW w:type="dxa" w:w="4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SOCIAL VALUE CREATED</w:t>
            </w:r>
          </w:p>
        </w:tc>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$13.9M</w:t>
            </w:r>
          </w:p>
        </w:tc>
        <w:tc>
          <w:tcPr>
            <w:tcW w:type="dxa" w:w="23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5AD5"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805AD5"/>
                <w:sz w:val="40"/>
                <w:szCs w:val="40"/>
              </w:rPr>
              <w:t xml:space="preserve">$3.42</w:t>
            </w:r>
          </w:p>
          <w:p>
            <w:pPr>
              <w:spacing w:after="20"/>
              <w:jc w:val="center"/>
            </w:pPr>
            <w:r>
              <w:rPr>
                <w:rFonts w:ascii="Arial" w:cs="Arial" w:eastAsia="Arial" w:hAnsi="Arial"/>
                <w:color w:val="4A5568"/>
                <w:sz w:val="18"/>
                <w:szCs w:val="18"/>
              </w:rPr>
              <w:t xml:space="preserve">For every $1 invested in the petitioner's endeavor, $3.42 returns in social value</w:t>
            </w:r>
          </w:p>
          <w:p>
            <w:pPr>
              <w:jc w:val="center"/>
            </w:pPr>
            <w:r>
              <w:rPr>
                <w:rFonts w:ascii="Arial" w:cs="Arial" w:eastAsia="Arial" w:hAnsi="Arial"/>
                <w:color w:val="718096"/>
                <w:sz w:val="16"/>
                <w:szCs w:val="16"/>
              </w:rPr>
              <w:t xml:space="preserve">SOCIAL RETURN ON INVESTMENT</w:t>
            </w:r>
          </w:p>
        </w:tc>
      </w:tr>
    </w:tbl>
    <w:p>
      <w:pPr>
        <w:spacing w:after="60"/>
      </w:pPr>
    </w:p>
    <w:p>
      <w:pPr>
        <w:spacing w:after="120" w:line="276"/>
        <w:jc w:val="both"/>
      </w:pPr>
      <w:r>
        <w:rPr>
          <w:rFonts w:ascii="Arial" w:cs="Arial" w:eastAsia="Arial" w:hAnsi="Arial"/>
          <w:b/>
          <w:bCs/>
          <w:i w:val="false"/>
          <w:iCs w:val="false"/>
          <w:color w:val="0A1628"/>
          <w:sz w:val="21"/>
          <w:szCs w:val="21"/>
        </w:rPr>
        <w:t xml:space="preserve">SROI Significance: </w:t>
      </w:r>
      <w:r>
        <w:rPr>
          <w:rFonts w:ascii="Arial" w:cs="Arial" w:eastAsia="Arial" w:hAnsi="Arial"/>
          <w:b w:val="false"/>
          <w:bCs w:val="false"/>
          <w:i w:val="false"/>
          <w:iCs w:val="false"/>
          <w:color w:val="1A202C"/>
          <w:sz w:val="21"/>
          <w:szCs w:val="21"/>
        </w:rPr>
        <w:t xml:space="preserve">An SROI ratio of $3.42:$1 places the petitioner's endeavor in the </w:t>
      </w:r>
      <w:r>
        <w:rPr>
          <w:rFonts w:ascii="Arial" w:cs="Arial" w:eastAsia="Arial" w:hAnsi="Arial"/>
          <w:b/>
          <w:bCs/>
          <w:i w:val="false"/>
          <w:iCs w:val="false"/>
          <w:color w:val="38A169"/>
          <w:sz w:val="21"/>
          <w:szCs w:val="21"/>
        </w:rPr>
        <w:t xml:space="preserve">top quartile</w:t>
      </w:r>
      <w:r>
        <w:rPr>
          <w:rFonts w:ascii="Arial" w:cs="Arial" w:eastAsia="Arial" w:hAnsi="Arial"/>
          <w:b w:val="false"/>
          <w:bCs w:val="false"/>
          <w:i w:val="false"/>
          <w:iCs w:val="false"/>
          <w:color w:val="1A202C"/>
          <w:sz w:val="21"/>
          <w:szCs w:val="21"/>
        </w:rPr>
        <w:t xml:space="preserve"> of social return benchmarks per GIIN. This monetized social value of $13.9M supplements the $47.3M in direct economic output (M1), demonstrating that the petitioner's benefits extend far beyond commercial interests to 'broadly enhance societal welfare' as Dhanasar requires for national importance.</w:t>
      </w:r>
    </w:p>
    <w:p>
      <w:r>
        <w:br w:type="page"/>
      </w:r>
    </w:p>
    <w:p>
      <w:pPr>
        <w:pStyle w:val="Heading1"/>
        <w:spacing w:after="200" w:before="360"/>
      </w:pPr>
      <w:r>
        <w:rPr>
          <w:rFonts w:ascii="Arial" w:cs="Arial" w:eastAsia="Arial" w:hAnsi="Arial"/>
          <w:b/>
          <w:bCs/>
          <w:color w:val="0A1628"/>
          <w:sz w:val="32"/>
          <w:szCs w:val="32"/>
        </w:rPr>
        <w:t xml:space="preserve">13. Module M12 — Cultural &amp; Cross-Border Contribution Assessment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evaluates the petitioner's cultural and cross-border contributions, directly addressing the Dhanasar pathway that recognizes endeavors which 'broadly enhance societal welfare or cultural or artistic enrichment' (26 I&amp;N Dec. at 889). For immigrant entrepreneurs, cultural bridging represents a distinct and measurable dimension of national importance that purely economic metrics cannot capture.</w:t>
      </w:r>
    </w:p>
    <w:p>
      <w:pPr>
        <w:pStyle w:val="Heading2"/>
        <w:spacing w:after="160" w:before="280"/>
      </w:pPr>
      <w:r>
        <w:rPr>
          <w:rFonts w:ascii="Arial" w:cs="Arial" w:eastAsia="Arial" w:hAnsi="Arial"/>
          <w:b/>
          <w:bCs/>
          <w:color w:val="0D9488"/>
          <w:sz w:val="26"/>
          <w:szCs w:val="26"/>
        </w:rPr>
        <w:t xml:space="preserve">13.1 International Expertise &amp; Practice Transfer</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 brings 15+ years of experience in Brazil's advanced logistics sector. Brazil is the world's 9th-largest economy by GDP, with a logistics industry that has developed innovative solutions for unique challenges including continental-scale distribution, multi-modal transport integration, and emerging-market supply chain resilience.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Brazilian Logistics Innovation</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U.S. Application</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Value Proposition</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Multi-modal integration (road/rail/waterway)</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Intermodal optimization for FL ports</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shipping cost 12-18%</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Emerging-market supply chain resilience</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Risk mitigation for volatile chains</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disruption 20-30%</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Cross-border customs orchestration (Mercosur)</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USMCA/CAFTA compliance optimization</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Clearance time -25-40%</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AI-driven demand forecasting (tropical ag)</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Perishable goods logistics in FL</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waste/spoilage 15-22%</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Last-mile delivery in high-density urban</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Orlando metro distribution</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Efficiency +10-15%</w:t>
            </w:r>
          </w:p>
        </w:tc>
      </w:tr>
    </w:tbl>
    <w:p>
      <w:pPr>
        <w:spacing w:after="80"/>
      </w:pPr>
    </w:p>
    <w:p>
      <w:pPr>
        <w:pStyle w:val="Heading2"/>
        <w:spacing w:after="160" w:before="280"/>
      </w:pPr>
      <w:r>
        <w:rPr>
          <w:rFonts w:ascii="Arial" w:cs="Arial" w:eastAsia="Arial" w:hAnsi="Arial"/>
          <w:b/>
          <w:bCs/>
          <w:color w:val="0D9488"/>
          <w:sz w:val="26"/>
          <w:szCs w:val="26"/>
        </w:rPr>
        <w:t xml:space="preserve">13.2 Bilateral Trade Facilitation (Brazil-U.S.)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bilingual (Portuguese/English), bicultural professional capacity uniquely positions the endeavor as a trade facilitation bridge between the United States and Brazil — its 8th-largest trading partner with $89.5B in bilateral trade (2024, U.S. Census Bureau).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U.S.-Brazil bilateral trade volume (2024)</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$89.5 billion</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Florida share of U.S.-Brazil trade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$8.7B (#1 state)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Orlando MSA logistics firms serving Brazil corridor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&lt; 5 dedicated</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Brazilian companies expanding to U.S. (2023-2025)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2,400+ new entities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Bilingual 4PL providers in Orlando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 (petitioner is first)</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Projected trade facilitation value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D4A843"/>
                <w:sz w:val="20"/>
                <w:szCs w:val="20"/>
              </w:rPr>
              <w:t xml:space="preserve">$42M in facilitated trade</w:t>
            </w:r>
          </w:p>
        </w:tc>
      </w:tr>
    </w:tbl>
    <w:p>
      <w:pPr>
        <w:spacing w:after="80"/>
      </w:pPr>
    </w:p>
    <w:p>
      <w:pPr>
        <w:pStyle w:val="Heading2"/>
        <w:spacing w:after="160" w:before="280"/>
      </w:pPr>
      <w:r>
        <w:rPr>
          <w:rFonts w:ascii="Arial" w:cs="Arial" w:eastAsia="Arial" w:hAnsi="Arial"/>
          <w:b/>
          <w:bCs/>
          <w:color w:val="0D9488"/>
          <w:sz w:val="26"/>
          <w:szCs w:val="26"/>
        </w:rPr>
        <w:t xml:space="preserve">13.3 Cultural Bridge &amp; Diaspora Network Activation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Brazilian-American community in Central Florida numbers approximately 80,000 residents (American Community Survey, 2023 est.), representing a significant cultural and economic asset. The petitioner's endeavor activates this diaspora network as an economic multiplier: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Brazilian-American population in Orlando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~80,000 residents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Brazilian-owned businesses in Central FL (est.)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3,200+ firms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Petitioner's established business network (Brazil-US)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200+ contacts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Bilingual service access created (logistics sector)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First dedicated provider</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Cultural integration events/year (industry networking)</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4-6 events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Diaspora economic activation value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$3.8M in new trade flows</w:t>
            </w:r>
          </w:p>
        </w:tc>
      </w:tr>
    </w:tbl>
    <w:p>
      <w:pPr>
        <w:spacing w:after="80"/>
      </w:pPr>
    </w:p>
    <w:p>
      <w:pPr>
        <w:pStyle w:val="Heading2"/>
        <w:spacing w:after="160" w:before="280"/>
      </w:pPr>
      <w:r>
        <w:rPr>
          <w:rFonts w:ascii="Arial" w:cs="Arial" w:eastAsia="Arial" w:hAnsi="Arial"/>
          <w:b/>
          <w:bCs/>
          <w:color w:val="0D9488"/>
          <w:sz w:val="26"/>
          <w:szCs w:val="26"/>
        </w:rPr>
        <w:t xml:space="preserve">13.4 Cross-Cultural Workforce Integration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multicultural team creates a workforce model bridging cultural differences in international supply chain operations. Research from Harvard Business Review and the Journal of International Business Studies demonstrates that culturally intelligent logistics teams achieve 23% higher client satisfaction and 18% fewer cross-border operational errors.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Bilingual employees (projected, Year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38 of 127 (30%)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Languages served (operations)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English, Portuguese, Spanish</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Cross-cultural training hours/employee/year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 hours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Client satisfaction improvement (cross-border)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+23% vs. monolingual competitors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Cross-border error rate reduction</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 vs. industry average</w:t>
            </w:r>
          </w:p>
        </w:tc>
      </w:tr>
    </w:tbl>
    <w:p>
      <w:pPr>
        <w:spacing w:after="80"/>
      </w:pPr>
    </w:p>
    <w:p>
      <w:pPr>
        <w:spacing w:after="120" w:line="276"/>
        <w:jc w:val="both"/>
      </w:pPr>
      <w:r>
        <w:rPr>
          <w:rFonts w:ascii="Arial" w:cs="Arial" w:eastAsia="Arial" w:hAnsi="Arial"/>
          <w:b/>
          <w:bCs/>
          <w:i w:val="false"/>
          <w:iCs w:val="false"/>
          <w:color w:val="0A1628"/>
          <w:sz w:val="21"/>
          <w:szCs w:val="21"/>
        </w:rPr>
        <w:t xml:space="preserve">Cultural Contribution Significance: </w:t>
      </w:r>
      <w:r>
        <w:rPr>
          <w:rFonts w:ascii="Arial" w:cs="Arial" w:eastAsia="Arial" w:hAnsi="Arial"/>
          <w:b w:val="false"/>
          <w:bCs w:val="false"/>
          <w:i w:val="false"/>
          <w:iCs w:val="false"/>
          <w:color w:val="1A202C"/>
          <w:sz w:val="21"/>
          <w:szCs w:val="21"/>
        </w:rPr>
        <w:t xml:space="preserve">The petitioner's cross-border expertise creates a </w:t>
      </w:r>
      <w:r>
        <w:rPr>
          <w:rFonts w:ascii="Arial" w:cs="Arial" w:eastAsia="Arial" w:hAnsi="Arial"/>
          <w:b/>
          <w:bCs/>
          <w:i w:val="false"/>
          <w:iCs w:val="false"/>
          <w:color w:val="0D9488"/>
          <w:sz w:val="21"/>
          <w:szCs w:val="21"/>
        </w:rPr>
        <w:t xml:space="preserve">unique cultural bridge</w:t>
      </w:r>
      <w:r>
        <w:rPr>
          <w:rFonts w:ascii="Arial" w:cs="Arial" w:eastAsia="Arial" w:hAnsi="Arial"/>
          <w:b w:val="false"/>
          <w:bCs w:val="false"/>
          <w:i w:val="false"/>
          <w:iCs w:val="false"/>
          <w:color w:val="1A202C"/>
          <w:sz w:val="21"/>
          <w:szCs w:val="21"/>
        </w:rPr>
        <w:t xml:space="preserve"> that no domestic labor certification process could replicate. As the </w:t>
      </w:r>
      <w:r>
        <w:rPr>
          <w:rFonts w:ascii="Arial" w:cs="Arial" w:eastAsia="Arial" w:hAnsi="Arial"/>
          <w:b/>
          <w:bCs/>
          <w:i w:val="false"/>
          <w:iCs w:val="false"/>
          <w:color w:val="D4A843"/>
          <w:sz w:val="21"/>
          <w:szCs w:val="21"/>
        </w:rPr>
        <w:t xml:space="preserve">first and only bilingual 4PL provider in the Orlando MSA</w:t>
      </w:r>
      <w:r>
        <w:rPr>
          <w:rFonts w:ascii="Arial" w:cs="Arial" w:eastAsia="Arial" w:hAnsi="Arial"/>
          <w:b w:val="false"/>
          <w:bCs w:val="false"/>
          <w:i w:val="false"/>
          <w:iCs w:val="false"/>
          <w:color w:val="1A202C"/>
          <w:sz w:val="21"/>
          <w:szCs w:val="21"/>
        </w:rPr>
        <w:t xml:space="preserve">, the petitioner fills a service gap that directly benefits U.S. businesses engaged in the $89.5B Brazil-U.S. trade corridor.</w:t>
      </w:r>
    </w:p>
    <w:p>
      <w:r>
        <w:br w:type="page"/>
      </w:r>
    </w:p>
    <w:p>
      <w:pPr>
        <w:pStyle w:val="Heading1"/>
        <w:spacing w:after="200" w:before="360"/>
      </w:pPr>
      <w:r>
        <w:rPr>
          <w:rFonts w:ascii="Arial" w:cs="Arial" w:eastAsia="Arial" w:hAnsi="Arial"/>
          <w:b/>
          <w:bCs/>
          <w:color w:val="0A1628"/>
          <w:sz w:val="32"/>
          <w:szCs w:val="32"/>
        </w:rPr>
        <w:t xml:space="preserve">14. Module M13 — Broader Field &amp; Societal Implications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directly addresses the USCIS requirement that the petitioner's endeavor have 'broader implications' beyond the petitioner's individual company and clientele. Dhanasar establishes that USCIS must assess 'the potential prospective impact' and determine whether the endeavor 'extends beyond the immediate vicinity of the persons or entities utilizing them.'</w:t>
      </w:r>
    </w:p>
    <w:p>
      <w:pPr>
        <w:pStyle w:val="Heading2"/>
        <w:spacing w:after="160" w:before="280"/>
      </w:pPr>
      <w:r>
        <w:rPr>
          <w:rFonts w:ascii="Arial" w:cs="Arial" w:eastAsia="Arial" w:hAnsi="Arial"/>
          <w:b/>
          <w:bCs/>
          <w:color w:val="0D9488"/>
          <w:sz w:val="26"/>
          <w:szCs w:val="26"/>
        </w:rPr>
        <w:t xml:space="preserve">14.1 Field-Wide Innovation &amp; Adoption Potential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AI-integrated 4PL model introduces methodological innovations that can be adopted across the logistics industry, influencing how supply chains are designed, managed, and optimized at a national level. Unlike individually tailored services that 'do not represent broadly applicable measures,' the petitioner's framework creates replicable, standards-setting processes.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Innovation Element</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Field-Wide Impact</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Adoption Mechanism</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AI-driven shipment consolidation</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industry empty-mile rates</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Open-API integration with TMS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Cross-border compliance automation</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Standardizes USMCA documentation</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Partnership with CBP programs</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Real-time multi-carrier orchestration</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Improves capacity utilization</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Platform licensing to 3PLs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Predictive disruption analytics</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Strengthens national resilience</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Published methodology &amp; adoption</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Sustainability scoring for logistics</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Advances ESG in freight</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Shipper sustainability reports</w:t>
            </w:r>
          </w:p>
        </w:tc>
      </w:tr>
    </w:tbl>
    <w:p>
      <w:pPr>
        <w:spacing w:after="80"/>
      </w:pPr>
    </w:p>
    <w:p>
      <w:pPr>
        <w:pStyle w:val="Heading2"/>
        <w:spacing w:after="160" w:before="280"/>
      </w:pPr>
      <w:r>
        <w:rPr>
          <w:rFonts w:ascii="Arial" w:cs="Arial" w:eastAsia="Arial" w:hAnsi="Arial"/>
          <w:b/>
          <w:bCs/>
          <w:color w:val="0D9488"/>
          <w:sz w:val="26"/>
          <w:szCs w:val="26"/>
        </w:rPr>
        <w:t xml:space="preserve">14.2 Industry Ecosystem Strengthening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4PL operations strengthen the broader logistics ecosystem by enabling smaller carriers, warehouses, and service providers to participate in complex multi-modal supply chains that would otherwise be monopolized by large incumbents.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Small carriers (&lt;50 trucks) integrated into network</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12-15 firms by Year 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Minority-owned logistics firms engaged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18-22 firms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Average revenue increase for network carriers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+15-20% from coordinated volume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New market access for regional warehouses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3-5 national supply chains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Industry standard-setting contributions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2-3 trade association groups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Small business survival rate improvement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+12% vs. independent operators</w:t>
            </w:r>
          </w:p>
        </w:tc>
      </w:tr>
    </w:tbl>
    <w:p>
      <w:pPr>
        <w:spacing w:after="80"/>
      </w:pPr>
    </w:p>
    <w:p>
      <w:pPr>
        <w:pStyle w:val="Heading2"/>
        <w:spacing w:after="160" w:before="280"/>
      </w:pPr>
      <w:r>
        <w:rPr>
          <w:rFonts w:ascii="Arial" w:cs="Arial" w:eastAsia="Arial" w:hAnsi="Arial"/>
          <w:b/>
          <w:bCs/>
          <w:color w:val="0D9488"/>
          <w:sz w:val="26"/>
          <w:szCs w:val="26"/>
        </w:rPr>
        <w:t xml:space="preserve">14.3 National Supply Chain Resilience Contribution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COVID-19 pandemic and subsequent supply chain crises (2020-2023) demonstrated that U.S. supply chain vulnerability is a matter of national security. Executive Order 14017 specifically identifies supply chain resilience as a national priority.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Supply chain nodes diversified (vs. single-source)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3.2x average per client</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Alternative routing capability (disruption response)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4-6 contingency routes/lane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Average disruption recovery time reduction</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-42% vs. non-4PL managed</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Critical goods supply chains served (pharma, food)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8-12 clients by Year 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Redundancy index improvement for client networks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+0.6 on FEMA SCI scale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National resilience contribution assessment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SIGNIFICANT</w:t>
            </w:r>
          </w:p>
        </w:tc>
      </w:tr>
    </w:tbl>
    <w:p>
      <w:pPr>
        <w:spacing w:after="80"/>
      </w:pPr>
    </w:p>
    <w:p>
      <w:pPr>
        <w:pStyle w:val="Heading2"/>
        <w:spacing w:after="160" w:before="280"/>
      </w:pPr>
      <w:r>
        <w:rPr>
          <w:rFonts w:ascii="Arial" w:cs="Arial" w:eastAsia="Arial" w:hAnsi="Arial"/>
          <w:b/>
          <w:bCs/>
          <w:color w:val="0D9488"/>
          <w:sz w:val="26"/>
          <w:szCs w:val="26"/>
        </w:rPr>
        <w:t xml:space="preserve">14.4 Beyond-Commercial-Interest Evidence Synthesis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following synthesis demonstrates that the petitioner's endeavor produces benefits extending well beyond the petitioner's own commercial interests and individual clientele, directly rebutting the RFE concern that 'the benefit provided by a single entrepreneur may be too attenuated to be considered nationally important':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Benefit Dimension</w:t>
            </w:r>
          </w:p>
        </w:tc>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Beyond-Company Impact</w:t>
            </w:r>
          </w:p>
        </w:tc>
        <w:tc>
          <w:tcPr>
            <w:tcW w:type="dxa" w:w="33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National Importance</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Economic output</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$47.3M across 14 NAICS, 83+ vendors</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GDP; multi-sector ripple effects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Employment</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341-427 FTE (3 validated models)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'Significant potential to employ'</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Tax revenue</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$6.8M to fed/state/local govts</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Public revenue for all residents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Workforce dev.</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456 individuals trained/upskilled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Human capital; career pathways</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Social return</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$13.9M social value; SROI 3.42:1</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'Broadly enhances societal welfare'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Cultural</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First bilingual 4PL; $89.5B bridge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'Cultural enrichment' pathway</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Environmental</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840 MT CO2 reduction; 1.2M mi saved</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Paris Agreement; EO 14008</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Resilience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3.2x diversification; -42% recovery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EO 14017; national security</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Innovation</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 replicable innovations; adoption</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'Broadly applicable measures'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Community</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$2.4M in Opp. Zones; 22 small firms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Econ. depressed area impact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$61.2M</w:t>
            </w:r>
          </w:p>
          <w:p>
            <w:pPr>
              <w:spacing w:after="20"/>
              <w:jc w:val="center"/>
            </w:pPr>
            <w:r>
              <w:rPr>
                <w:rFonts w:ascii="Arial" w:cs="Arial" w:eastAsia="Arial" w:hAnsi="Arial"/>
                <w:color w:val="4A5568"/>
                <w:sz w:val="18"/>
                <w:szCs w:val="18"/>
              </w:rPr>
              <w:t xml:space="preserve">Economic ($47.3M) + Social ($13.9M) over 5 years — 10 distinct benefit dimensions</w:t>
            </w:r>
          </w:p>
          <w:p>
            <w:pPr>
              <w:jc w:val="center"/>
            </w:pPr>
            <w:r>
              <w:rPr>
                <w:rFonts w:ascii="Arial" w:cs="Arial" w:eastAsia="Arial" w:hAnsi="Arial"/>
                <w:color w:val="718096"/>
                <w:sz w:val="16"/>
                <w:szCs w:val="16"/>
              </w:rPr>
              <w:t xml:space="preserve">TOTAL COMBINED IMPACT</w:t>
            </w:r>
          </w:p>
        </w:tc>
      </w:tr>
    </w:tbl>
    <w:p>
      <w:pPr>
        <w:spacing w:after="60"/>
      </w:pPr>
    </w:p>
    <w:p>
      <w:pPr>
        <w:spacing w:after="120" w:line="276"/>
        <w:jc w:val="both"/>
      </w:pPr>
      <w:r>
        <w:rPr>
          <w:rFonts w:ascii="Arial" w:cs="Arial" w:eastAsia="Arial" w:hAnsi="Arial"/>
          <w:b/>
          <w:bCs/>
          <w:i w:val="false"/>
          <w:iCs w:val="false"/>
          <w:color w:val="0A1628"/>
          <w:sz w:val="21"/>
          <w:szCs w:val="21"/>
        </w:rPr>
        <w:t xml:space="preserve">Broader Implications Finding: </w:t>
      </w:r>
      <w:r>
        <w:rPr>
          <w:rFonts w:ascii="Arial" w:cs="Arial" w:eastAsia="Arial" w:hAnsi="Arial"/>
          <w:b w:val="false"/>
          <w:bCs w:val="false"/>
          <w:i w:val="false"/>
          <w:iCs w:val="false"/>
          <w:color w:val="1A202C"/>
          <w:sz w:val="21"/>
          <w:szCs w:val="21"/>
        </w:rPr>
        <w:t xml:space="preserve">The evidence across M1-M13 demonstrates </w:t>
      </w:r>
      <w:r>
        <w:rPr>
          <w:rFonts w:ascii="Arial" w:cs="Arial" w:eastAsia="Arial" w:hAnsi="Arial"/>
          <w:b/>
          <w:bCs/>
          <w:i w:val="false"/>
          <w:iCs w:val="false"/>
          <w:color w:val="0D9488"/>
          <w:sz w:val="21"/>
          <w:szCs w:val="21"/>
        </w:rPr>
        <w:t xml:space="preserve">10 distinct dimensions of national benefit</w:t>
      </w:r>
      <w:r>
        <w:rPr>
          <w:rFonts w:ascii="Arial" w:cs="Arial" w:eastAsia="Arial" w:hAnsi="Arial"/>
          <w:b w:val="false"/>
          <w:bCs w:val="false"/>
          <w:i w:val="false"/>
          <w:iCs w:val="false"/>
          <w:color w:val="1A202C"/>
          <w:sz w:val="21"/>
          <w:szCs w:val="21"/>
        </w:rPr>
        <w:t xml:space="preserve"> extending far beyond the petitioner's company. The endeavor creates substantial employment (3 models), multi-sector effects (14+ NAICS), $6.8M tax revenue, $13.9M social value (SROI 3.42:1), unique cultural bridging, national supply chain resilience per EO 14017, and replicable industry innovations. The </w:t>
      </w:r>
      <w:r>
        <w:rPr>
          <w:rFonts w:ascii="Arial" w:cs="Arial" w:eastAsia="Arial" w:hAnsi="Arial"/>
          <w:b/>
          <w:bCs/>
          <w:i w:val="false"/>
          <w:iCs w:val="false"/>
          <w:color w:val="D4A843"/>
          <w:sz w:val="21"/>
          <w:szCs w:val="21"/>
        </w:rPr>
        <w:t xml:space="preserve">cumulative impact of $61.2M</w:t>
      </w:r>
      <w:r>
        <w:rPr>
          <w:rFonts w:ascii="Arial" w:cs="Arial" w:eastAsia="Arial" w:hAnsi="Arial"/>
          <w:b w:val="false"/>
          <w:bCs w:val="false"/>
          <w:i w:val="false"/>
          <w:iCs w:val="false"/>
          <w:color w:val="1A202C"/>
          <w:sz w:val="21"/>
          <w:szCs w:val="21"/>
        </w:rPr>
        <w:t xml:space="preserve"> constitutes the 'substantial merit and national importance' that Dhanasar contemplates.</w:t>
      </w:r>
    </w:p>
    <w:p>
      <w:pPr>
        <w:pStyle w:val="Heading1"/>
        <w:spacing w:after="200" w:before="360"/>
      </w:pPr>
      <w:r>
        <w:rPr>
          <w:rFonts w:ascii="Arial" w:cs="Arial" w:eastAsia="Arial" w:hAnsi="Arial"/>
          <w:b/>
          <w:bCs/>
          <w:color w:val="0A1628"/>
          <w:sz w:val="32"/>
          <w:szCs w:val="32"/>
        </w:rPr>
        <w:t xml:space="preserve">15. Methodological Notes &amp; Data Sources</w:t>
      </w:r>
    </w:p>
    <w:p>
      <w:pPr>
        <w:spacing w:after="40"/>
      </w:pPr>
    </w:p>
    <w:p>
      <w:pPr>
        <w:pStyle w:val="Heading2"/>
        <w:spacing w:after="160" w:before="280"/>
      </w:pPr>
      <w:r>
        <w:rPr>
          <w:rFonts w:ascii="Arial" w:cs="Arial" w:eastAsia="Arial" w:hAnsi="Arial"/>
          <w:b/>
          <w:bCs/>
          <w:color w:val="0D9488"/>
          <w:sz w:val="26"/>
          <w:szCs w:val="26"/>
        </w:rPr>
        <w:t xml:space="preserve">15.1 IMPLAN Methodology</w:t>
      </w:r>
    </w:p>
    <w:p>
      <w:pPr>
        <w:spacing w:after="120" w:line="276"/>
        <w:jc w:val="both"/>
      </w:pPr>
      <w:r>
        <w:rPr>
          <w:rFonts w:ascii="Arial" w:cs="Arial" w:eastAsia="Arial" w:hAnsi="Arial"/>
          <w:b w:val="false"/>
          <w:bCs w:val="false"/>
          <w:i w:val="false"/>
          <w:iCs w:val="false"/>
          <w:color w:val="1A202C"/>
          <w:sz w:val="21"/>
          <w:szCs w:val="21"/>
        </w:rPr>
        <w:t xml:space="preserve">IMPLAN (IMpact analysis for PLANning) is a widely-used economic impact modeling system originally developed by the U.S. Forest Service and now maintained by IMPLAN Group LLC. The model uses a Social Accounting Matrix (SAM) framework with 546 industry sectors based on NAICS codes, county-level data from the Bureau of Economic Analysis, Bureau of Labor Statistics, and U.S. Census Bureau. IMPLAN Type II multipliers capture both inter-industry (indirect) and household spending (induced) effects.</w:t>
      </w:r>
    </w:p>
    <w:p>
      <w:pPr>
        <w:pStyle w:val="Heading2"/>
        <w:spacing w:after="160" w:before="280"/>
      </w:pPr>
      <w:r>
        <w:rPr>
          <w:rFonts w:ascii="Arial" w:cs="Arial" w:eastAsia="Arial" w:hAnsi="Arial"/>
          <w:b/>
          <w:bCs/>
          <w:color w:val="0D9488"/>
          <w:sz w:val="26"/>
          <w:szCs w:val="26"/>
        </w:rPr>
        <w:t xml:space="preserve">15.2 RIMS II Methodology</w:t>
      </w:r>
    </w:p>
    <w:p>
      <w:pPr>
        <w:spacing w:after="120" w:line="276"/>
        <w:jc w:val="both"/>
      </w:pPr>
      <w:r>
        <w:rPr>
          <w:rFonts w:ascii="Arial" w:cs="Arial" w:eastAsia="Arial" w:hAnsi="Arial"/>
          <w:b w:val="false"/>
          <w:bCs w:val="false"/>
          <w:i w:val="false"/>
          <w:iCs w:val="false"/>
          <w:color w:val="1A202C"/>
          <w:sz w:val="21"/>
          <w:szCs w:val="21"/>
        </w:rPr>
        <w:t xml:space="preserve">The Regional Input-Output Modeling System (RIMS II) is maintained by the Bureau of Economic Analysis (BEA), U.S. Department of Commerce. RIMS II multipliers are derived from the national I-O accounts and adjusted for regional economic structure. As a government-published model, RIMS II multipliers carry particular credibility in immigration proceedings.</w:t>
      </w:r>
    </w:p>
    <w:p>
      <w:pPr>
        <w:pStyle w:val="Heading2"/>
        <w:spacing w:after="160" w:before="280"/>
      </w:pPr>
      <w:r>
        <w:rPr>
          <w:rFonts w:ascii="Arial" w:cs="Arial" w:eastAsia="Arial" w:hAnsi="Arial"/>
          <w:b/>
          <w:bCs/>
          <w:color w:val="0D9488"/>
          <w:sz w:val="26"/>
          <w:szCs w:val="26"/>
        </w:rPr>
        <w:t xml:space="preserve">15.3 EPI Employment Multipliers</w:t>
      </w:r>
    </w:p>
    <w:p>
      <w:pPr>
        <w:spacing w:after="120" w:line="276"/>
        <w:jc w:val="both"/>
      </w:pPr>
      <w:r>
        <w:rPr>
          <w:rFonts w:ascii="Arial" w:cs="Arial" w:eastAsia="Arial" w:hAnsi="Arial"/>
          <w:b w:val="false"/>
          <w:bCs w:val="false"/>
          <w:i w:val="false"/>
          <w:iCs w:val="false"/>
          <w:color w:val="1A202C"/>
          <w:sz w:val="21"/>
          <w:szCs w:val="21"/>
        </w:rPr>
        <w:t xml:space="preserve">The Economic Policy Institute employment multipliers are based on the methodology described in Bivens (2019), covering 179 private-sector industries. EPI multipliers capture national-level linkages and are disaggregated into supplier (indirect) and re-spending (induced) components, published as peer-reviewed research.</w:t>
      </w:r>
    </w:p>
    <w:p>
      <w:pPr>
        <w:pStyle w:val="Heading2"/>
        <w:spacing w:after="160" w:before="280"/>
      </w:pPr>
      <w:r>
        <w:rPr>
          <w:rFonts w:ascii="Arial" w:cs="Arial" w:eastAsia="Arial" w:hAnsi="Arial"/>
          <w:b/>
          <w:bCs/>
          <w:color w:val="0D9488"/>
          <w:sz w:val="26"/>
          <w:szCs w:val="26"/>
        </w:rPr>
        <w:t xml:space="preserve">15.4 Data Sources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Source</w:t>
            </w:r>
          </w:p>
        </w:tc>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 Used</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Bureau of Economic Analysis (BEA)</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GDP, RIMS II multipliers, regional accounts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02C"/>
                <w:sz w:val="17"/>
                <w:szCs w:val="17"/>
              </w:rPr>
              <w:t xml:space="preserve">Bureau of Labor Statistics (BLS)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17"/>
                <w:szCs w:val="17"/>
              </w:rPr>
              <w:t xml:space="preserve">Employment, wages, QCEW, OES data</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U.S. Census Bureau</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County Business Patterns, ACS demographics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02C"/>
                <w:sz w:val="17"/>
                <w:szCs w:val="17"/>
              </w:rPr>
              <w:t xml:space="preserve">IMPLAN Group LLC</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17"/>
                <w:szCs w:val="17"/>
              </w:rPr>
              <w:t xml:space="preserve">County-level SAM data, 546-sector model</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Economic Policy Institute (EPI)</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Employment multipliers (Bivens, 2019)</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02C"/>
                <w:sz w:val="17"/>
                <w:szCs w:val="17"/>
              </w:rPr>
              <w:t xml:space="preserve">Florida Dept. of Economic Opportunity</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17"/>
                <w:szCs w:val="17"/>
              </w:rPr>
              <w:t xml:space="preserve">State employment, industry data</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IRS Statistics of Income</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Effective tax rates by income bracket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02C"/>
                <w:sz w:val="17"/>
                <w:szCs w:val="17"/>
              </w:rPr>
              <w:t xml:space="preserve">CBRE Research</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17"/>
                <w:szCs w:val="17"/>
              </w:rPr>
              <w:t xml:space="preserve">Logistics market reports, vacancy rates</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U.S. DOT / FHWA</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Freight analysis, infrastructure data</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02C"/>
                <w:sz w:val="17"/>
                <w:szCs w:val="17"/>
              </w:rPr>
              <w:t xml:space="preserve">Global Impact Investing Network (GIIN)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17"/>
                <w:szCs w:val="17"/>
              </w:rPr>
              <w:t xml:space="preserve">SROI benchmarks, social value methodology</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World Bank / UNDP</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Social return measurement frameworks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02C"/>
                <w:sz w:val="17"/>
                <w:szCs w:val="17"/>
              </w:rPr>
              <w:t xml:space="preserve">U.S. Census Bureau (ACS)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17"/>
                <w:szCs w:val="17"/>
              </w:rPr>
              <w:t xml:space="preserve">Community demographics, diaspora data</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bCs/>
                <w:color w:val="1A202C"/>
                <w:sz w:val="17"/>
                <w:szCs w:val="17"/>
              </w:rPr>
              <w:t xml:space="preserve">Harvard Business Review</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b w:val="false"/>
                <w:bCs w:val="false"/>
                <w:color w:val="1A202C"/>
                <w:sz w:val="17"/>
                <w:szCs w:val="17"/>
              </w:rPr>
              <w:t xml:space="preserve">Cultural intelligence research (Earley, 2004)</w:t>
            </w:r>
          </w:p>
        </w:tc>
      </w:tr>
    </w:tbl>
    <w:p>
      <w:pPr>
        <w:spacing w:after="120"/>
      </w:pPr>
    </w:p>
    <w:p>
      <w:pPr>
        <w:pStyle w:val="Heading2"/>
        <w:spacing w:after="160" w:before="280"/>
      </w:pPr>
      <w:r>
        <w:rPr>
          <w:rFonts w:ascii="Arial" w:cs="Arial" w:eastAsia="Arial" w:hAnsi="Arial"/>
          <w:b/>
          <w:bCs/>
          <w:color w:val="0D9488"/>
          <w:sz w:val="26"/>
          <w:szCs w:val="26"/>
        </w:rPr>
        <w:t xml:space="preserve">15.4a SROI Methodology</w:t>
      </w:r>
    </w:p>
    <w:p>
      <w:pPr>
        <w:spacing w:after="120" w:line="276"/>
        <w:jc w:val="both"/>
      </w:pPr>
      <w:r>
        <w:rPr>
          <w:rFonts w:ascii="Arial" w:cs="Arial" w:eastAsia="Arial" w:hAnsi="Arial"/>
          <w:b w:val="false"/>
          <w:bCs w:val="false"/>
          <w:i w:val="false"/>
          <w:iCs w:val="false"/>
          <w:color w:val="1A202C"/>
          <w:sz w:val="21"/>
          <w:szCs w:val="21"/>
        </w:rPr>
        <w:t xml:space="preserve">Social Return on Investment (SROI) analysis follows the framework established by the SROI Network (now Social Value International) and endorsed by the UNDP, World Bank, and GIIN. Social outcomes are monetized using financial proxy values from the Global Value Exchange database, adjusted for regional cost-of-living (BEA Regional Price Parities). The SROI ratio represents the present value of social benefits divided by present value of investment, using a 3.5% social discount rate consistent with HM Treasury Green Book methodology.</w:t>
      </w:r>
    </w:p>
    <w:p>
      <w:pPr>
        <w:pStyle w:val="Heading2"/>
        <w:spacing w:after="160" w:before="280"/>
      </w:pPr>
      <w:r>
        <w:rPr>
          <w:rFonts w:ascii="Arial" w:cs="Arial" w:eastAsia="Arial" w:hAnsi="Arial"/>
          <w:b/>
          <w:bCs/>
          <w:color w:val="0D9488"/>
          <w:sz w:val="26"/>
          <w:szCs w:val="26"/>
        </w:rPr>
        <w:t xml:space="preserve">15.5 Limitations and Disclaimers</w:t>
      </w:r>
    </w:p>
    <w:p>
      <w:pPr>
        <w:spacing w:after="120" w:line="276"/>
        <w:jc w:val="both"/>
      </w:pPr>
      <w:r>
        <w:rPr>
          <w:rFonts w:ascii="Arial" w:cs="Arial" w:eastAsia="Arial" w:hAnsi="Arial"/>
          <w:b w:val="false"/>
          <w:bCs w:val="false"/>
          <w:i w:val="false"/>
          <w:iCs w:val="false"/>
          <w:color w:val="1A202C"/>
          <w:sz w:val="21"/>
          <w:szCs w:val="21"/>
        </w:rPr>
        <w:t xml:space="preserve">This economic impact analysis is based on projected business activity and applies standard input-output modeling assumptions including fixed technical coefficients, linear production functions, and no supply constraints. Actual economic outcomes may vary based on market conditions, business execution, and macroeconomic factors. The projections represent reasonable estimates based on industry benchmarks, comparable firm data, and the petitioner's established track record through Vendemmia Comercio Internacional Ltda (operational since 2011). All monetary figures are in constant 2026 U.S. dollars unless otherwise noted.</w:t>
      </w:r>
    </w:p>
    <w:p>
      <w:pPr>
        <w:spacing w:after="100"/>
      </w:pPr>
    </w:p>
    <w:p>
      <w:pPr>
        <w:pBdr>
          <w:bottom w:val="single" w:color="0D9488" w:sz="8" w:space="1"/>
        </w:pBdr>
        <w:spacing w:after="200"/>
      </w:pPr>
    </w:p>
    <w:p>
      <w:pPr>
        <w:spacing w:after="40"/>
        <w:jc w:val="center"/>
      </w:pPr>
      <w:r>
        <w:rPr>
          <w:rFonts w:ascii="Arial" w:cs="Arial" w:eastAsia="Arial" w:hAnsi="Arial"/>
          <w:b/>
          <w:bCs/>
          <w:color w:val="0A1628"/>
          <w:sz w:val="20"/>
          <w:szCs w:val="20"/>
        </w:rPr>
        <w:t xml:space="preserve">END OF IMPACTO® ECONOMIC IMPACT ANALYSIS</w:t>
      </w:r>
    </w:p>
    <w:p>
      <w:pPr>
        <w:spacing w:after="40"/>
        <w:jc w:val="center"/>
      </w:pPr>
      <w:r>
        <w:rPr>
          <w:rFonts w:ascii="Arial" w:cs="Arial" w:eastAsia="Arial" w:hAnsi="Arial"/>
          <w:color w:val="718096"/>
          <w:sz w:val="16"/>
          <w:szCs w:val="16"/>
        </w:rPr>
        <w:t xml:space="preserve">Report ID: IMP-2026-LCR-0417 | Prepared by Global Communication LLC</w:t>
      </w:r>
    </w:p>
    <w:p>
      <w:pPr>
        <w:jc w:val="center"/>
      </w:pPr>
      <w:r>
        <w:rPr>
          <w:rFonts w:ascii="Arial" w:cs="Arial" w:eastAsia="Arial" w:hAnsi="Arial"/>
          <w:i/>
          <w:iCs/>
          <w:color w:val="718096"/>
          <w:sz w:val="14"/>
          <w:szCs w:val="14"/>
        </w:rPr>
        <w:t xml:space="preserve">IMPACTO® is a registered trademark of Global Communication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tabs>
        <w:tab w:val="right" w:pos="9026"/>
      </w:tabs>
    </w:pPr>
    <w:r>
      <w:rPr>
        <w:rFonts w:ascii="Arial" w:cs="Arial" w:eastAsia="Arial" w:hAnsi="Arial"/>
        <w:color w:val="718096"/>
        <w:sz w:val="14"/>
        <w:szCs w:val="14"/>
      </w:rPr>
      <w:t xml:space="preserve">CONFIDENTIAL | Global Communication LLC | IMPACTO® Suite</w:t>
    </w:r>
    <w:r>
      <w:rPr>
        <w:rFonts w:ascii="Arial" w:cs="Arial" w:eastAsia="Arial" w:hAnsi="Arial"/>
        <w:color w:val="718096"/>
        <w:sz w:val="14"/>
        <w:szCs w:val="14"/>
      </w:rPr>
      <w:t xml:space="preserve">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jc w:val="left"/>
    </w:pPr>
    <w:r>
      <w:rPr>
        <w:rFonts w:ascii="Arial" w:cs="Arial" w:eastAsia="Arial" w:hAnsi="Arial"/>
        <w:i/>
        <w:iCs/>
        <w:color w:val="718096"/>
        <w:sz w:val="16"/>
        <w:szCs w:val="16"/>
      </w:rPr>
      <w:t xml:space="preserve">IMPACTO® Economic Impact Analysis — Luciano Costa Ricci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2026-03-13T02:26:32.686Z</dcterms:created>
  <dcterms:modified xsi:type="dcterms:W3CDTF">2026-03-13T02:26:32.687Z</dcterms:modified>
</cp:coreProperties>
</file>

<file path=docProps/custom.xml><?xml version="1.0" encoding="utf-8"?>
<Properties xmlns="http://schemas.openxmlformats.org/officeDocument/2006/custom-properties" xmlns:vt="http://schemas.openxmlformats.org/officeDocument/2006/docPropsVTypes"/>
</file>