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pBdr>
          <w:bottom w:val="single" w:color="0D9488" w:sz="12" w:space="1"/>
        </w:pBdr>
        <w:spacing w:after="400"/>
      </w:pPr>
    </w:p>
    <w:p>
      <w:pPr>
        <w:spacing w:after="200"/>
      </w:pPr>
    </w:p>
    <w:p>
      <w:pPr>
        <w:spacing w:after="80"/>
        <w:jc w:val="left"/>
      </w:pPr>
      <w:r>
        <w:rPr>
          <w:rFonts w:ascii="Arial" w:cs="Arial" w:eastAsia="Arial" w:hAnsi="Arial"/>
          <w:b/>
          <w:bCs/>
          <w:color w:val="0A1628"/>
          <w:sz w:val="56"/>
          <w:szCs w:val="56"/>
        </w:rPr>
        <w:t xml:space="preserve">IMPACTO®</w:t>
      </w:r>
    </w:p>
    <w:p>
      <w:pPr>
        <w:spacing w:after="40"/>
        <w:jc w:val="left"/>
      </w:pPr>
      <w:r>
        <w:rPr>
          <w:rFonts w:ascii="Arial" w:cs="Arial" w:eastAsia="Arial" w:hAnsi="Arial"/>
          <w:color w:val="0D9488"/>
          <w:sz w:val="28"/>
          <w:szCs w:val="28"/>
        </w:rPr>
        <w:t xml:space="preserve">Suíte de Inteligência em Impacto Econômico</w:t>
      </w:r>
    </w:p>
    <w:p>
      <w:pPr>
        <w:spacing w:after="200"/>
        <w:jc w:val="left"/>
      </w:pPr>
      <w:r>
        <w:rPr>
          <w:rFonts w:ascii="Arial" w:cs="Arial" w:eastAsia="Arial" w:hAnsi="Arial"/>
          <w:b/>
          <w:bCs/>
          <w:color w:val="D4A843"/>
          <w:sz w:val="22"/>
          <w:szCs w:val="22"/>
        </w:rPr>
        <w:t xml:space="preserve">Tier Enterprise — Análise Completa de 13 Módulos</w:t>
      </w:r>
    </w:p>
    <w:p>
      <w:pPr>
        <w:pBdr>
          <w:bottom w:val="single" w:color="E2E8F0" w:sz="4" w:space="1"/>
        </w:pBdr>
        <w:spacing w:after="300"/>
      </w:pPr>
    </w:p>
    <w:p>
      <w:pPr>
        <w:spacing w:after="100"/>
      </w:pPr>
    </w:p>
    <w:p>
      <w:pPr>
        <w:spacing w:after="80"/>
      </w:pPr>
      <w:r>
        <w:rPr>
          <w:rFonts w:ascii="Arial" w:cs="Arial" w:eastAsia="Arial" w:hAnsi="Arial"/>
          <w:b/>
          <w:bCs/>
          <w:color w:val="0A1628"/>
          <w:sz w:val="24"/>
          <w:szCs w:val="24"/>
        </w:rPr>
        <w:t xml:space="preserve">ANÁLISE ABRANGENTE DE IMPACTO ECONÔMICO</w:t>
      </w:r>
    </w:p>
    <w:p>
      <w:pPr>
        <w:spacing w:after="60"/>
      </w:pPr>
      <w:r>
        <w:rPr>
          <w:rFonts w:ascii="Arial" w:cs="Arial" w:eastAsia="Arial" w:hAnsi="Arial"/>
          <w:color w:val="4A5568"/>
          <w:sz w:val="20"/>
          <w:szCs w:val="20"/>
        </w:rPr>
        <w:t xml:space="preserve">Em Suporte ao Formulário I-140, Petição de Imigrante para Trabalhador Estrangeiro</w:t>
      </w:r>
    </w:p>
    <w:p>
      <w:pPr>
        <w:spacing w:after="60"/>
      </w:pPr>
      <w:r>
        <w:rPr>
          <w:rFonts w:ascii="Arial" w:cs="Arial" w:eastAsia="Arial" w:hAnsi="Arial"/>
          <w:color w:val="4A5568"/>
          <w:sz w:val="20"/>
          <w:szCs w:val="20"/>
        </w:rPr>
        <w:t xml:space="preserve">National Interest Waiver (EB-2 NIW) — 8 CFR § 204.5(k)(4)(ii)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Peticionário: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Luciano Costa Ricci</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Empresa:</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Vendemmia Americans Corporation</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Entidade Controladora:</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Vendemmia Comércio Internacional Ltda (est. 2011)</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Setor: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Logística de Quarta Parte (4PL) — NAICS 541614</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Empreendimento: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Aprimorar operações logísticas para corporações americanas e multinacionais através de estratégias 4PL orientadas por IA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Região de Impacto: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Orlando-Kissimmee-Sanford MSA (FIPS 36740), Flórida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Número de Recibo: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IOE0934913173</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Data de Prioridade: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10 de dezembro de 2025</w:t>
            </w:r>
          </w:p>
        </w:tc>
      </w:tr>
    </w:tbl>
    <w:p>
      <w:pPr>
        <w:spacing w:after="300"/>
      </w:pPr>
    </w:p>
    <w:p>
      <w:pPr>
        <w:pBdr>
          <w:bottom w:val="single" w:color="0D9488" w:sz="12" w:space="1"/>
        </w:pBdr>
        <w:spacing w:after="200"/>
      </w:pPr>
    </w:p>
    <w:p>
      <w:pPr>
        <w:spacing w:after="40"/>
        <w:jc w:val="left"/>
      </w:pPr>
      <w:r>
        <w:rPr>
          <w:rFonts w:ascii="Arial" w:cs="Arial" w:eastAsia="Arial" w:hAnsi="Arial"/>
          <w:color w:val="4A5568"/>
          <w:sz w:val="18"/>
          <w:szCs w:val="18"/>
        </w:rPr>
        <w:t xml:space="preserve">Preparado por: Global Communication LLC</w:t>
      </w:r>
    </w:p>
    <w:p>
      <w:pPr>
        <w:spacing w:after="40"/>
        <w:jc w:val="left"/>
      </w:pPr>
      <w:r>
        <w:rPr>
          <w:rFonts w:ascii="Arial" w:cs="Arial" w:eastAsia="Arial" w:hAnsi="Arial"/>
          <w:color w:val="4A5568"/>
          <w:sz w:val="18"/>
          <w:szCs w:val="18"/>
        </w:rPr>
        <w:t xml:space="preserve">Metodologia: IMPLAN® + RIMS II + Multiplicadores de Emprego EPI + SROI</w:t>
      </w:r>
    </w:p>
    <w:p>
      <w:pPr>
        <w:spacing w:after="40"/>
        <w:jc w:val="left"/>
      </w:pPr>
      <w:r>
        <w:rPr>
          <w:rFonts w:ascii="Arial" w:cs="Arial" w:eastAsia="Arial" w:hAnsi="Arial"/>
          <w:color w:val="4A5568"/>
          <w:sz w:val="18"/>
          <w:szCs w:val="18"/>
        </w:rPr>
        <w:t xml:space="preserve">Data da Análise: Março 2026 | ID do Relatório: IMP-2026-LCR-0417-PT-V2</w:t>
      </w:r>
    </w:p>
    <w:p>
      <w:pPr>
        <w:jc w:val="left"/>
      </w:pPr>
      <w:r>
        <w:rPr>
          <w:rFonts w:ascii="Arial" w:cs="Arial" w:eastAsia="Arial" w:hAnsi="Arial"/>
          <w:b/>
          <w:bCs/>
          <w:color w:val="E53E3E"/>
          <w:sz w:val="16"/>
          <w:szCs w:val="16"/>
        </w:rPr>
        <w:t xml:space="preserve">CONFIDENCIAL — Preparado Exclusivamente para Processos Imigratórios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A1628"/>
          <w:sz w:val="32"/>
          <w:szCs w:val="32"/>
        </w:rPr>
        <w:t xml:space="preserve">Sumário</w:t>
      </w:r>
    </w:p>
    <w:p>
      <w:pPr>
        <w:spacing w:after="100"/>
      </w:pPr>
    </w:p>
    <w:p>
      <w:pPr>
        <w:spacing w:after="80" w:line="300"/>
        <w:ind w:left="200"/>
      </w:pPr>
      <w:r>
        <w:rPr>
          <w:rFonts w:ascii="Arial" w:cs="Arial" w:eastAsia="Arial" w:hAnsi="Arial"/>
          <w:b/>
          <w:bCs/>
          <w:color w:val="0D9488"/>
          <w:sz w:val="20"/>
          <w:szCs w:val="20"/>
        </w:rPr>
        <w:t xml:space="preserve">1. </w:t>
      </w:r>
      <w:r>
        <w:rPr>
          <w:rFonts w:ascii="Arial" w:cs="Arial" w:eastAsia="Arial" w:hAnsi="Arial"/>
          <w:color w:val="1A202C"/>
          <w:sz w:val="20"/>
          <w:szCs w:val="20"/>
        </w:rPr>
        <w:t xml:space="preserve">Resumo Executivo &amp; Painel de Impacto</w:t>
      </w:r>
    </w:p>
    <w:p>
      <w:pPr>
        <w:spacing w:after="80" w:line="300"/>
        <w:ind w:left="200"/>
      </w:pPr>
      <w:r>
        <w:rPr>
          <w:rFonts w:ascii="Arial" w:cs="Arial" w:eastAsia="Arial" w:hAnsi="Arial"/>
          <w:b/>
          <w:bCs/>
          <w:color w:val="0D9488"/>
          <w:sz w:val="20"/>
          <w:szCs w:val="20"/>
        </w:rPr>
        <w:t xml:space="preserve">2. </w:t>
      </w:r>
      <w:r>
        <w:rPr>
          <w:rFonts w:ascii="Arial" w:cs="Arial" w:eastAsia="Arial" w:hAnsi="Arial"/>
          <w:color w:val="1A202C"/>
          <w:sz w:val="20"/>
          <w:szCs w:val="20"/>
        </w:rPr>
        <w:t xml:space="preserve">Módulo M1 — Análise de Impacto Econômico Central (IMPLAN + RIMS II)</w:t>
      </w:r>
    </w:p>
    <w:p>
      <w:pPr>
        <w:spacing w:after="80" w:line="300"/>
        <w:ind w:left="200"/>
      </w:pPr>
      <w:r>
        <w:rPr>
          <w:rFonts w:ascii="Arial" w:cs="Arial" w:eastAsia="Arial" w:hAnsi="Arial"/>
          <w:b/>
          <w:bCs/>
          <w:color w:val="0D9488"/>
          <w:sz w:val="20"/>
          <w:szCs w:val="20"/>
        </w:rPr>
        <w:t xml:space="preserve">3. </w:t>
      </w:r>
      <w:r>
        <w:rPr>
          <w:rFonts w:ascii="Arial" w:cs="Arial" w:eastAsia="Arial" w:hAnsi="Arial"/>
          <w:color w:val="1A202C"/>
          <w:sz w:val="20"/>
          <w:szCs w:val="20"/>
        </w:rPr>
        <w:t xml:space="preserve">Módulo M2 — Pegada Econômica Regional (MSA Orlando)</w:t>
      </w:r>
    </w:p>
    <w:p>
      <w:pPr>
        <w:spacing w:after="80" w:line="300"/>
        <w:ind w:left="200"/>
      </w:pPr>
      <w:r>
        <w:rPr>
          <w:rFonts w:ascii="Arial" w:cs="Arial" w:eastAsia="Arial" w:hAnsi="Arial"/>
          <w:b/>
          <w:bCs/>
          <w:color w:val="0D9488"/>
          <w:sz w:val="20"/>
          <w:szCs w:val="20"/>
        </w:rPr>
        <w:t xml:space="preserve">4. </w:t>
      </w:r>
      <w:r>
        <w:rPr>
          <w:rFonts w:ascii="Arial" w:cs="Arial" w:eastAsia="Arial" w:hAnsi="Arial"/>
          <w:color w:val="1A202C"/>
          <w:sz w:val="20"/>
          <w:szCs w:val="20"/>
        </w:rPr>
        <w:t xml:space="preserve">Módulo M3 — Análise de Multiplicadores Setoriais (NAICS 541614)</w:t>
      </w:r>
    </w:p>
    <w:p>
      <w:pPr>
        <w:spacing w:after="80" w:line="300"/>
        <w:ind w:left="200"/>
      </w:pPr>
      <w:r>
        <w:rPr>
          <w:rFonts w:ascii="Arial" w:cs="Arial" w:eastAsia="Arial" w:hAnsi="Arial"/>
          <w:b/>
          <w:bCs/>
          <w:color w:val="0D9488"/>
          <w:sz w:val="20"/>
          <w:szCs w:val="20"/>
        </w:rPr>
        <w:t xml:space="preserve">5. </w:t>
      </w:r>
      <w:r>
        <w:rPr>
          <w:rFonts w:ascii="Arial" w:cs="Arial" w:eastAsia="Arial" w:hAnsi="Arial"/>
          <w:color w:val="1A202C"/>
          <w:sz w:val="20"/>
          <w:szCs w:val="20"/>
        </w:rPr>
        <w:t xml:space="preserve">Módulo M4 — Projeção de Receita Tributária (Federal, Estadual &amp; Local)</w:t>
      </w:r>
    </w:p>
    <w:p>
      <w:pPr>
        <w:spacing w:after="80" w:line="300"/>
        <w:ind w:left="200"/>
      </w:pPr>
      <w:r>
        <w:rPr>
          <w:rFonts w:ascii="Arial" w:cs="Arial" w:eastAsia="Arial" w:hAnsi="Arial"/>
          <w:b/>
          <w:bCs/>
          <w:color w:val="0D9488"/>
          <w:sz w:val="20"/>
          <w:szCs w:val="20"/>
        </w:rPr>
        <w:t xml:space="preserve">6. </w:t>
      </w:r>
      <w:r>
        <w:rPr>
          <w:rFonts w:ascii="Arial" w:cs="Arial" w:eastAsia="Arial" w:hAnsi="Arial"/>
          <w:color w:val="1A202C"/>
          <w:sz w:val="20"/>
          <w:szCs w:val="20"/>
        </w:rPr>
        <w:t xml:space="preserve">Módulo M5 — Mapeamento do Ecossistema de Cadeia de Suprimentos</w:t>
      </w:r>
    </w:p>
    <w:p>
      <w:pPr>
        <w:spacing w:after="80" w:line="300"/>
        <w:ind w:left="200"/>
      </w:pPr>
      <w:r>
        <w:rPr>
          <w:rFonts w:ascii="Arial" w:cs="Arial" w:eastAsia="Arial" w:hAnsi="Arial"/>
          <w:b/>
          <w:bCs/>
          <w:color w:val="0D9488"/>
          <w:sz w:val="20"/>
          <w:szCs w:val="20"/>
        </w:rPr>
        <w:t xml:space="preserve">7. </w:t>
      </w:r>
      <w:r>
        <w:rPr>
          <w:rFonts w:ascii="Arial" w:cs="Arial" w:eastAsia="Arial" w:hAnsi="Arial"/>
          <w:color w:val="1A202C"/>
          <w:sz w:val="20"/>
          <w:szCs w:val="20"/>
        </w:rPr>
        <w:t xml:space="preserve">Módulo M6 — Análise de Multiplicadores de Emprego EPI</w:t>
      </w:r>
    </w:p>
    <w:p>
      <w:pPr>
        <w:spacing w:after="80" w:line="300"/>
        <w:ind w:left="200"/>
      </w:pPr>
      <w:r>
        <w:rPr>
          <w:rFonts w:ascii="Arial" w:cs="Arial" w:eastAsia="Arial" w:hAnsi="Arial"/>
          <w:b/>
          <w:bCs/>
          <w:color w:val="0D9488"/>
          <w:sz w:val="20"/>
          <w:szCs w:val="20"/>
        </w:rPr>
        <w:t xml:space="preserve">8. </w:t>
      </w:r>
      <w:r>
        <w:rPr>
          <w:rFonts w:ascii="Arial" w:cs="Arial" w:eastAsia="Arial" w:hAnsi="Arial"/>
          <w:color w:val="1A202C"/>
          <w:sz w:val="20"/>
          <w:szCs w:val="20"/>
        </w:rPr>
        <w:t xml:space="preserve">Módulo M7 — Alinhamento com Políticas e Prioridades Nacionais</w:t>
      </w:r>
    </w:p>
    <w:p>
      <w:pPr>
        <w:spacing w:after="80" w:line="300"/>
        <w:ind w:left="200"/>
      </w:pPr>
      <w:r>
        <w:rPr>
          <w:rFonts w:ascii="Arial" w:cs="Arial" w:eastAsia="Arial" w:hAnsi="Arial"/>
          <w:b/>
          <w:bCs/>
          <w:color w:val="0D9488"/>
          <w:sz w:val="20"/>
          <w:szCs w:val="20"/>
        </w:rPr>
        <w:t xml:space="preserve">9. </w:t>
      </w:r>
      <w:r>
        <w:rPr>
          <w:rFonts w:ascii="Arial" w:cs="Arial" w:eastAsia="Arial" w:hAnsi="Arial"/>
          <w:color w:val="1A202C"/>
          <w:sz w:val="20"/>
          <w:szCs w:val="20"/>
        </w:rPr>
        <w:t xml:space="preserve">Módulo M8 — Vantagem Comparativa Regional</w:t>
      </w:r>
    </w:p>
    <w:p>
      <w:pPr>
        <w:spacing w:after="80" w:line="300"/>
        <w:ind w:left="200"/>
      </w:pPr>
      <w:r>
        <w:rPr>
          <w:rFonts w:ascii="Arial" w:cs="Arial" w:eastAsia="Arial" w:hAnsi="Arial"/>
          <w:b/>
          <w:bCs/>
          <w:color w:val="0D9488"/>
          <w:sz w:val="20"/>
          <w:szCs w:val="20"/>
        </w:rPr>
        <w:t xml:space="preserve">10. </w:t>
      </w:r>
      <w:r>
        <w:rPr>
          <w:rFonts w:ascii="Arial" w:cs="Arial" w:eastAsia="Arial" w:hAnsi="Arial"/>
          <w:color w:val="1A202C"/>
          <w:sz w:val="20"/>
          <w:szCs w:val="20"/>
        </w:rPr>
        <w:t xml:space="preserve">Módulo M9 — Análise de Sensibilidade &amp; Cenários</w:t>
      </w:r>
    </w:p>
    <w:p>
      <w:pPr>
        <w:spacing w:after="80" w:line="300"/>
        <w:ind w:left="200"/>
      </w:pPr>
      <w:r>
        <w:rPr>
          <w:rFonts w:ascii="Arial" w:cs="Arial" w:eastAsia="Arial" w:hAnsi="Arial"/>
          <w:b/>
          <w:bCs/>
          <w:color w:val="0D9488"/>
          <w:sz w:val="20"/>
          <w:szCs w:val="20"/>
        </w:rPr>
        <w:t xml:space="preserve">11. </w:t>
      </w:r>
      <w:r>
        <w:rPr>
          <w:rFonts w:ascii="Arial" w:cs="Arial" w:eastAsia="Arial" w:hAnsi="Arial"/>
          <w:color w:val="1A202C"/>
          <w:sz w:val="20"/>
          <w:szCs w:val="20"/>
        </w:rPr>
        <w:t xml:space="preserve">Módulo M10 — Painel Executivo &amp; Resumo para USCIS</w:t>
      </w:r>
    </w:p>
    <w:p>
      <w:pPr>
        <w:spacing w:after="80" w:line="300"/>
        <w:ind w:left="200"/>
      </w:pPr>
      <w:r>
        <w:rPr>
          <w:rFonts w:ascii="Arial" w:cs="Arial" w:eastAsia="Arial" w:hAnsi="Arial"/>
          <w:b/>
          <w:bCs/>
          <w:color w:val="0D9488"/>
          <w:sz w:val="20"/>
          <w:szCs w:val="20"/>
        </w:rPr>
        <w:t xml:space="preserve">12. </w:t>
      </w:r>
      <w:r>
        <w:rPr>
          <w:rFonts w:ascii="Arial" w:cs="Arial" w:eastAsia="Arial" w:hAnsi="Arial"/>
          <w:color w:val="1A202C"/>
          <w:sz w:val="20"/>
          <w:szCs w:val="20"/>
        </w:rPr>
        <w:t xml:space="preserve">Módulo M11 — Retorno Social sobre o Investimento (SROI)</w:t>
      </w:r>
    </w:p>
    <w:p>
      <w:pPr>
        <w:spacing w:after="80" w:line="300"/>
        <w:ind w:left="200"/>
      </w:pPr>
      <w:r>
        <w:rPr>
          <w:rFonts w:ascii="Arial" w:cs="Arial" w:eastAsia="Arial" w:hAnsi="Arial"/>
          <w:b/>
          <w:bCs/>
          <w:color w:val="0D9488"/>
          <w:sz w:val="20"/>
          <w:szCs w:val="20"/>
        </w:rPr>
        <w:t xml:space="preserve">13. </w:t>
      </w:r>
      <w:r>
        <w:rPr>
          <w:rFonts w:ascii="Arial" w:cs="Arial" w:eastAsia="Arial" w:hAnsi="Arial"/>
          <w:color w:val="1A202C"/>
          <w:sz w:val="20"/>
          <w:szCs w:val="20"/>
        </w:rPr>
        <w:t xml:space="preserve">Módulo M12 — Contribuição Cultural &amp; Transfronteiriça</w:t>
      </w:r>
    </w:p>
    <w:p>
      <w:pPr>
        <w:spacing w:after="80" w:line="300"/>
        <w:ind w:left="200"/>
      </w:pPr>
      <w:r>
        <w:rPr>
          <w:rFonts w:ascii="Arial" w:cs="Arial" w:eastAsia="Arial" w:hAnsi="Arial"/>
          <w:b/>
          <w:bCs/>
          <w:color w:val="0D9488"/>
          <w:sz w:val="20"/>
          <w:szCs w:val="20"/>
        </w:rPr>
        <w:t xml:space="preserve">14. </w:t>
      </w:r>
      <w:r>
        <w:rPr>
          <w:rFonts w:ascii="Arial" w:cs="Arial" w:eastAsia="Arial" w:hAnsi="Arial"/>
          <w:color w:val="1A202C"/>
          <w:sz w:val="20"/>
          <w:szCs w:val="20"/>
        </w:rPr>
        <w:t xml:space="preserve">Módulo M13 — Implicações Amplas para o Setor e a Sociedade</w:t>
      </w:r>
    </w:p>
    <w:p>
      <w:pPr>
        <w:spacing w:after="80" w:line="300"/>
        <w:ind w:left="200"/>
      </w:pPr>
      <w:r>
        <w:rPr>
          <w:rFonts w:ascii="Arial" w:cs="Arial" w:eastAsia="Arial" w:hAnsi="Arial"/>
          <w:b/>
          <w:bCs/>
          <w:color w:val="0D9488"/>
          <w:sz w:val="20"/>
          <w:szCs w:val="20"/>
        </w:rPr>
        <w:t xml:space="preserve">15. </w:t>
      </w:r>
      <w:r>
        <w:rPr>
          <w:rFonts w:ascii="Arial" w:cs="Arial" w:eastAsia="Arial" w:hAnsi="Arial"/>
          <w:color w:val="1A202C"/>
          <w:sz w:val="20"/>
          <w:szCs w:val="20"/>
        </w:rPr>
        <w:t xml:space="preserve">Notas Metodológicas &amp; Fontes de Dados</w:t>
      </w:r>
    </w:p>
    <w:p>
      <w:r>
        <w:br w:type="page"/>
      </w:r>
    </w:p>
    <w:p>
      <w:pPr>
        <w:pStyle w:val="Heading1"/>
        <w:spacing w:after="200" w:before="360"/>
      </w:pPr>
      <w:r>
        <w:rPr>
          <w:rFonts w:ascii="Arial" w:cs="Arial" w:eastAsia="Arial" w:hAnsi="Arial"/>
          <w:b/>
          <w:bCs/>
          <w:color w:val="0A1628"/>
          <w:sz w:val="32"/>
          <w:szCs w:val="32"/>
        </w:rPr>
        <w:t xml:space="preserve">1. Resumo Executivo &amp; Painel de Impacto</w:t>
      </w:r>
    </w:p>
    <w:p>
      <w:pPr>
        <w:spacing w:after="60"/>
      </w:pPr>
    </w:p>
    <w:p>
      <w:pPr>
        <w:spacing w:after="120" w:line="276"/>
        <w:jc w:val="both"/>
      </w:pPr>
      <w:r>
        <w:rPr>
          <w:rFonts w:ascii="Arial" w:cs="Arial" w:eastAsia="Arial" w:hAnsi="Arial"/>
          <w:b w:val="false"/>
          <w:bCs w:val="false"/>
          <w:i w:val="false"/>
          <w:iCs w:val="false"/>
          <w:color w:val="1A202C"/>
          <w:sz w:val="21"/>
          <w:szCs w:val="21"/>
        </w:rPr>
        <w:t xml:space="preserve">Este relatório apresenta uma análise abrangente e multimetodológica de impacto econômico do empreendimento proposto por </w:t>
      </w:r>
      <w:r>
        <w:rPr>
          <w:rFonts w:ascii="Arial" w:cs="Arial" w:eastAsia="Arial" w:hAnsi="Arial"/>
          <w:b/>
          <w:bCs/>
          <w:i w:val="false"/>
          <w:iCs w:val="false"/>
          <w:color w:val="1A202C"/>
          <w:sz w:val="21"/>
          <w:szCs w:val="21"/>
        </w:rPr>
        <w:t xml:space="preserve">Luciano Costa Ricci</w:t>
      </w:r>
      <w:r>
        <w:rPr>
          <w:rFonts w:ascii="Arial" w:cs="Arial" w:eastAsia="Arial" w:hAnsi="Arial"/>
          <w:b w:val="false"/>
          <w:bCs w:val="false"/>
          <w:i w:val="false"/>
          <w:iCs w:val="false"/>
          <w:color w:val="1A202C"/>
          <w:sz w:val="21"/>
          <w:szCs w:val="21"/>
        </w:rPr>
        <w:t xml:space="preserve"> para aprimorar operações logísticas nos Estados Unidos através da Vendemmia Americans Corporation, uma empresa de logística de quarta parte (4PL) sediada em Orlando, Flórida. A análise quantifica os </w:t>
      </w:r>
      <w:r>
        <w:rPr>
          <w:rFonts w:ascii="Arial" w:cs="Arial" w:eastAsia="Arial" w:hAnsi="Arial"/>
          <w:b/>
          <w:bCs/>
          <w:i w:val="false"/>
          <w:iCs w:val="false"/>
          <w:color w:val="0D9488"/>
          <w:sz w:val="21"/>
          <w:szCs w:val="21"/>
        </w:rPr>
        <w:t xml:space="preserve">efeitos econômicos diretos, indiretos e induzidos</w:t>
      </w:r>
      <w:r>
        <w:rPr>
          <w:rFonts w:ascii="Arial" w:cs="Arial" w:eastAsia="Arial" w:hAnsi="Arial"/>
          <w:b w:val="false"/>
          <w:bCs w:val="false"/>
          <w:i w:val="false"/>
          <w:iCs w:val="false"/>
          <w:color w:val="1A202C"/>
          <w:sz w:val="21"/>
          <w:szCs w:val="21"/>
        </w:rPr>
        <w:t xml:space="preserve"> do empreendimento do peticionário nas dimensões de emprego, produção, valor agregado, renda do trabalho, receita tributária e integração da cadeia de suprimentos.</w:t>
      </w:r>
    </w:p>
    <w:p>
      <w:pPr>
        <w:spacing w:after="120" w:line="276"/>
        <w:jc w:val="both"/>
      </w:pPr>
      <w:r>
        <w:rPr>
          <w:rFonts w:ascii="Arial" w:cs="Arial" w:eastAsia="Arial" w:hAnsi="Arial"/>
          <w:b w:val="false"/>
          <w:bCs w:val="false"/>
          <w:i w:val="false"/>
          <w:iCs w:val="false"/>
          <w:color w:val="1A202C"/>
          <w:sz w:val="21"/>
          <w:szCs w:val="21"/>
        </w:rPr>
        <w:t xml:space="preserve">A análise emprega uma metodologia triangulada combinando quatro sistemas de modelagem econômica de referência: (1) Modelo Input-Output IMPLAN® (546 setores, nível municipal), (2) Multiplicadores Regionais RIMS II do Bureau of Economic Analysis dos EUA, (3) Multiplicadores de Emprego do Economic Policy Institute (EPI) cobrindo 179 indústrias do setor privado, e (4) Estrutura de Retorno Social sobre Investimento (SROI) reconhecida internacionalmente. Essa abordagem multimodelo garante robustez, validação cruzada e alinhamento com os padrões probatórios do USCIS sob Matter of Dhanasar, 26 I&amp;N Dec. 884 (AAO 2016).</w:t>
      </w:r>
    </w:p>
    <w:p>
      <w:pPr>
        <w:spacing w:after="100"/>
      </w:pPr>
    </w:p>
    <w:p>
      <w:pPr>
        <w:pStyle w:val="Heading2"/>
        <w:spacing w:after="160" w:before="280"/>
      </w:pPr>
      <w:r>
        <w:rPr>
          <w:rFonts w:ascii="Arial" w:cs="Arial" w:eastAsia="Arial" w:hAnsi="Arial"/>
          <w:b/>
          <w:bCs/>
          <w:color w:val="0D9488"/>
          <w:sz w:val="26"/>
          <w:szCs w:val="26"/>
        </w:rPr>
        <w:t xml:space="preserve">Painel de Impacto Agregado — Projeção de 5 Anos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0D9488"/>
                <w:sz w:val="40"/>
                <w:szCs w:val="40"/>
              </w:rPr>
              <w:t xml:space="preserve">US$ 47,3M</w:t>
            </w:r>
          </w:p>
          <w:p>
            <w:pPr>
              <w:spacing w:after="20"/>
              <w:jc w:val="center"/>
            </w:pPr>
            <w:r>
              <w:rPr>
                <w:rFonts w:ascii="Arial" w:cs="Arial" w:eastAsia="Arial" w:hAnsi="Arial"/>
                <w:color w:val="4A5568"/>
                <w:sz w:val="18"/>
                <w:szCs w:val="18"/>
              </w:rPr>
              <w:t xml:space="preserve">Produção Cumulativa Direta + Indireta + Induzida</w:t>
            </w:r>
          </w:p>
          <w:p>
            <w:pPr>
              <w:jc w:val="center"/>
            </w:pPr>
            <w:r>
              <w:rPr>
                <w:rFonts w:ascii="Arial" w:cs="Arial" w:eastAsia="Arial" w:hAnsi="Arial"/>
                <w:color w:val="718096"/>
                <w:sz w:val="16"/>
                <w:szCs w:val="16"/>
              </w:rPr>
              <w:t xml:space="preserve">PRODUÇÃO ECONÔMICA TOTAL (5 ANOS)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Direto Criado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127 postos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Total Suportado (incl. indireto + induzido)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341 postos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Multiplicador de Emprego (IMPLAN)</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2,68x</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Multiplicador de Emprego (RIMS II)</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2,54x</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Indireto EPI (empregos de fornecedores por direto)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1,47 por emprego direto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Induzido EPI (empregos de re-gasto)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0,89 por emprego direto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Valor Agregado Anual ao PIB do MSA Orlando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US$ 8,2M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Receita Tributária Cumulativa (Federal + Estadual + Local)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D4A843"/>
                <w:sz w:val="20"/>
                <w:szCs w:val="20"/>
              </w:rPr>
              <w:t xml:space="preserve">US$ 6,8M em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Contribuição Tributária Federal (5 anos)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US$ 3,9M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Contribuição Tributária Estado da Flórida (5 anos)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US$ 1,7M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Contribuição Tributária Local (Orange County, 5 anos)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US$ 1,2M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Fornecedores da Cadeia Ativados (projetado)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83+ empresas em 12 setores NAICS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Setores NAICS Diretamente Impactados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14 setores (primário: 541614, 484, 488, 493)</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Alinhamento com Prioridades Nacionais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D4A843"/>
                <w:sz w:val="20"/>
                <w:szCs w:val="20"/>
              </w:rPr>
              <w:t xml:space="preserve">5 de 8 sub-categorias CET + CHIPS Act + IRA</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Valor Social Gerado (SROI)</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805AD5"/>
                <w:sz w:val="20"/>
                <w:szCs w:val="20"/>
              </w:rPr>
              <w:t xml:space="preserve">US$ 13,9M (razão 3,42:1)</w:t>
            </w:r>
          </w:p>
        </w:tc>
      </w:tr>
    </w:tbl>
    <w:p>
      <w:pPr>
        <w:spacing w:after="120"/>
      </w:pPr>
    </w:p>
    <w:p>
      <w:pPr>
        <w:spacing w:after="120" w:line="276"/>
        <w:jc w:val="both"/>
      </w:pPr>
      <w:r>
        <w:rPr>
          <w:rFonts w:ascii="Arial" w:cs="Arial" w:eastAsia="Arial" w:hAnsi="Arial"/>
          <w:b/>
          <w:bCs/>
          <w:i w:val="false"/>
          <w:iCs w:val="false"/>
          <w:color w:val="0A1628"/>
          <w:sz w:val="21"/>
          <w:szCs w:val="21"/>
        </w:rPr>
        <w:t xml:space="preserve">Achado Principal: </w:t>
      </w:r>
      <w:r>
        <w:rPr>
          <w:rFonts w:ascii="Arial" w:cs="Arial" w:eastAsia="Arial" w:hAnsi="Arial"/>
          <w:b w:val="false"/>
          <w:bCs w:val="false"/>
          <w:i w:val="false"/>
          <w:iCs w:val="false"/>
          <w:color w:val="1A202C"/>
          <w:sz w:val="21"/>
          <w:szCs w:val="21"/>
        </w:rPr>
        <w:t xml:space="preserve">O empreendimento de logística 4PL do peticionário, através da Vendemmia Americans Corporation, está projetado para gerar </w:t>
      </w:r>
      <w:r>
        <w:rPr>
          <w:rFonts w:ascii="Arial" w:cs="Arial" w:eastAsia="Arial" w:hAnsi="Arial"/>
          <w:b/>
          <w:bCs/>
          <w:i w:val="false"/>
          <w:iCs w:val="false"/>
          <w:color w:val="0D9488"/>
          <w:sz w:val="21"/>
          <w:szCs w:val="21"/>
        </w:rPr>
        <w:t xml:space="preserve">US$ 47,3 milhões em produção econômica total</w:t>
      </w:r>
      <w:r>
        <w:rPr>
          <w:rFonts w:ascii="Arial" w:cs="Arial" w:eastAsia="Arial" w:hAnsi="Arial"/>
          <w:b w:val="false"/>
          <w:bCs w:val="false"/>
          <w:i w:val="false"/>
          <w:iCs w:val="false"/>
          <w:color w:val="1A202C"/>
          <w:sz w:val="21"/>
          <w:szCs w:val="21"/>
        </w:rPr>
        <w:t xml:space="preserve"> e suportar </w:t>
      </w:r>
      <w:r>
        <w:rPr>
          <w:rFonts w:ascii="Arial" w:cs="Arial" w:eastAsia="Arial" w:hAnsi="Arial"/>
          <w:b/>
          <w:bCs/>
          <w:i w:val="false"/>
          <w:iCs w:val="false"/>
          <w:color w:val="0D9488"/>
          <w:sz w:val="21"/>
          <w:szCs w:val="21"/>
        </w:rPr>
        <w:t xml:space="preserve">341 empregos</w:t>
      </w:r>
      <w:r>
        <w:rPr>
          <w:rFonts w:ascii="Arial" w:cs="Arial" w:eastAsia="Arial" w:hAnsi="Arial"/>
          <w:b w:val="false"/>
          <w:bCs w:val="false"/>
          <w:i w:val="false"/>
          <w:iCs w:val="false"/>
          <w:color w:val="1A202C"/>
          <w:sz w:val="21"/>
          <w:szCs w:val="21"/>
        </w:rPr>
        <w:t xml:space="preserve"> (diretos + indiretos + induzidos) dentro do MSA Orlando-Kissimmee-Sanford em um horizonte de 5 anos, enquanto contribui </w:t>
      </w:r>
      <w:r>
        <w:rPr>
          <w:rFonts w:ascii="Arial" w:cs="Arial" w:eastAsia="Arial" w:hAnsi="Arial"/>
          <w:b/>
          <w:bCs/>
          <w:i w:val="false"/>
          <w:iCs w:val="false"/>
          <w:color w:val="D4A843"/>
          <w:sz w:val="21"/>
          <w:szCs w:val="21"/>
        </w:rPr>
        <w:t xml:space="preserve">US$ 6,8 milhões em receita tributária</w:t>
      </w:r>
      <w:r>
        <w:rPr>
          <w:rFonts w:ascii="Arial" w:cs="Arial" w:eastAsia="Arial" w:hAnsi="Arial"/>
          <w:b w:val="false"/>
          <w:bCs w:val="false"/>
          <w:i w:val="false"/>
          <w:iCs w:val="false"/>
          <w:color w:val="1A202C"/>
          <w:sz w:val="21"/>
          <w:szCs w:val="21"/>
        </w:rPr>
        <w:t xml:space="preserve"> e cria </w:t>
      </w:r>
      <w:r>
        <w:rPr>
          <w:rFonts w:ascii="Arial" w:cs="Arial" w:eastAsia="Arial" w:hAnsi="Arial"/>
          <w:b/>
          <w:bCs/>
          <w:i w:val="false"/>
          <w:iCs w:val="false"/>
          <w:color w:val="805AD5"/>
          <w:sz w:val="21"/>
          <w:szCs w:val="21"/>
        </w:rPr>
        <w:t xml:space="preserve">US$ 13,9 milhões em valor social</w:t>
      </w:r>
      <w:r>
        <w:rPr>
          <w:rFonts w:ascii="Arial" w:cs="Arial" w:eastAsia="Arial" w:hAnsi="Arial"/>
          <w:b w:val="false"/>
          <w:bCs w:val="false"/>
          <w:i w:val="false"/>
          <w:iCs w:val="false"/>
          <w:color w:val="1A202C"/>
          <w:sz w:val="21"/>
          <w:szCs w:val="21"/>
        </w:rPr>
        <w:t xml:space="preserve"> para os governos federal, estadual e local e comunidades. Esses números representam efeitos econômicos e sociais positivos substanciais que se estendem muito além da empresa individual do peticionário, alcançando 14 setores NAICS e 83+ fornecedores da cadeia na região.</w:t>
      </w:r>
    </w:p>
    <w:p>
      <w:r>
        <w:br w:type="page"/>
      </w:r>
    </w:p>
    <w:p>
      <w:pPr>
        <w:pStyle w:val="Heading1"/>
        <w:spacing w:after="200" w:before="360"/>
      </w:pPr>
      <w:r>
        <w:rPr>
          <w:rFonts w:ascii="Arial" w:cs="Arial" w:eastAsia="Arial" w:hAnsi="Arial"/>
          <w:b/>
          <w:bCs/>
          <w:color w:val="0A1628"/>
          <w:sz w:val="32"/>
          <w:szCs w:val="32"/>
        </w:rPr>
        <w:t xml:space="preserve">2. Módulo M1 — Análise de Impacto Econômico Central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apresenta a análise de impacto econômico input-output fundamental utilizando validação de dupla metodologia (IMPLAN e RIMS II). A análise modela as operações logísticas 4PL do peticionário como um estímulo econômico do lado da demanda dentro do MSA de Orlando, rastreando fluxos de gasto através da economia regional.</w:t>
      </w:r>
    </w:p>
    <w:p>
      <w:pPr>
        <w:pStyle w:val="Heading2"/>
        <w:spacing w:after="160" w:before="280"/>
      </w:pPr>
      <w:r>
        <w:rPr>
          <w:rFonts w:ascii="Arial" w:cs="Arial" w:eastAsia="Arial" w:hAnsi="Arial"/>
          <w:b/>
          <w:bCs/>
          <w:color w:val="0D9488"/>
          <w:sz w:val="26"/>
          <w:szCs w:val="26"/>
        </w:rPr>
        <w:t xml:space="preserve">2.1 Visão Geral da Metodologia</w:t>
      </w:r>
    </w:p>
    <w:p>
      <w:pPr>
        <w:spacing w:after="120" w:line="276"/>
        <w:jc w:val="both"/>
      </w:pPr>
      <w:r>
        <w:rPr>
          <w:rFonts w:ascii="Arial" w:cs="Arial" w:eastAsia="Arial" w:hAnsi="Arial"/>
          <w:b w:val="false"/>
          <w:bCs w:val="false"/>
          <w:i w:val="false"/>
          <w:iCs w:val="false"/>
          <w:color w:val="1A202C"/>
          <w:sz w:val="21"/>
          <w:szCs w:val="21"/>
        </w:rPr>
        <w:t xml:space="preserve">O modelo IMPLAN utiliza uma Matriz de Contabilidade Social (SAM) com 546 setores industriais, capturando transações interindustriais, padrões de gasto institucional e fluxos comerciais no nível municipal. O RIMS II, mantido pelo Bureau of Economic Analysis (BEA), fornece multiplicadores Tipo II certificados pelo governo que incluem tanto efeitos interindustriais (indiretos) quanto de gasto doméstico (induzidos). Ao executar ambos os modelos em paralelo, esta análise atinge confiança de validação cruzada.</w:t>
      </w:r>
    </w:p>
    <w:p>
      <w:pPr>
        <w:pStyle w:val="Heading2"/>
        <w:spacing w:after="160" w:before="280"/>
      </w:pPr>
      <w:r>
        <w:rPr>
          <w:rFonts w:ascii="Arial" w:cs="Arial" w:eastAsia="Arial" w:hAnsi="Arial"/>
          <w:b/>
          <w:bCs/>
          <w:color w:val="0D9488"/>
          <w:sz w:val="26"/>
          <w:szCs w:val="26"/>
        </w:rPr>
        <w:t xml:space="preserve">2.2 Premissas de Entrada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Parâmetro</w:t>
            </w:r>
          </w:p>
        </w:tc>
        <w:tc>
          <w:tcPr>
            <w:tcW w:type="dxa" w:w="2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Conservador</w:t>
            </w:r>
          </w:p>
        </w:tc>
        <w:tc>
          <w:tcPr>
            <w:tcW w:type="dxa" w:w="2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Caso Base</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Receita Anual (Ano 1)</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US$ 1,8M</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US$ 2,4M</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Receita Anual (Ano 3)</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US$ 4,2M</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US$ 5,6M</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Receita Anual (Ano 5)</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US$ 7,1M</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US$ 9,4M</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Funcionários Diretos (Ano 1)</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 FTE</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 FTE</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Funcionários Diretos (Ano 3)</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62 FTE</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78 FTE</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Funcionários Diretos (Ano 5)</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97 FTE</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 FTE</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Remuneração Média Anual</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US$ 58.400</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US$ 62.800</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Investimento de Capital (cumulativo)</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US$ 1,2M</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US$ 1,8M</w:t>
            </w:r>
          </w:p>
        </w:tc>
      </w:tr>
      <w:tr>
        <w:tc>
          <w:tcPr>
            <w:tcW w:type="dxa" w:w="4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Razão de Despesas Operacionais</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72%</w:t>
            </w:r>
          </w:p>
        </w:tc>
        <w:tc>
          <w:tcPr>
            <w:tcW w:type="dxa" w:w="2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68%</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Taxa de Compras Locais</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61%</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67%</w:t>
            </w:r>
          </w:p>
        </w:tc>
      </w:tr>
    </w:tbl>
    <w:p>
      <w:pPr>
        <w:spacing w:after="80"/>
      </w:pPr>
    </w:p>
    <w:p>
      <w:pPr>
        <w:pStyle w:val="Heading2"/>
        <w:spacing w:after="160" w:before="280"/>
      </w:pPr>
      <w:r>
        <w:rPr>
          <w:rFonts w:ascii="Arial" w:cs="Arial" w:eastAsia="Arial" w:hAnsi="Arial"/>
          <w:b/>
          <w:bCs/>
          <w:color w:val="0D9488"/>
          <w:sz w:val="26"/>
          <w:szCs w:val="26"/>
        </w:rPr>
        <w:t xml:space="preserve">2.3 Resultados IMPLAN — Multiplicadores Tipo II</w:t>
      </w:r>
    </w:p>
    <w:p>
      <w:pPr>
        <w:spacing w:after="120" w:line="276"/>
        <w:jc w:val="both"/>
      </w:pPr>
      <w:r>
        <w:rPr>
          <w:rFonts w:ascii="Arial" w:cs="Arial" w:eastAsia="Arial" w:hAnsi="Arial"/>
          <w:b w:val="false"/>
          <w:bCs w:val="false"/>
          <w:i w:val="false"/>
          <w:iCs w:val="false"/>
          <w:color w:val="1A202C"/>
          <w:sz w:val="21"/>
          <w:szCs w:val="21"/>
        </w:rPr>
        <w:t xml:space="preserve">Utilizando o conjunto de dados IMPLAN 2024 no nível municipal para Orange County, Flórida, os seguintes multiplicadores foram aplicados aos gastos projetados do peticionário no NAICS 541614 (Serviços de Consultoria em Processos, Distribuição Física e Logística):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Tipo de Impacto</w:t>
            </w:r>
          </w:p>
        </w:tc>
        <w:tc>
          <w:tcPr>
            <w:tcW w:type="dxa" w:w="17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Emprego</w:t>
            </w:r>
          </w:p>
        </w:tc>
        <w:tc>
          <w:tcPr>
            <w:tcW w:type="dxa" w:w="17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Produção (US$M)</w:t>
            </w:r>
          </w:p>
        </w:tc>
        <w:tc>
          <w:tcPr>
            <w:tcW w:type="dxa" w:w="17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Valor Adic. (US$M)</w:t>
            </w:r>
          </w:p>
        </w:tc>
        <w:tc>
          <w:tcPr>
            <w:tcW w:type="dxa" w:w="17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Renda Trab. (US$M)</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Efeito Direto</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US$ 9,4</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US$ 5,8</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US$ 4,6</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Efeito Indireto</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98</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US$ 6,1</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US$ 3,4</w:t>
            </w:r>
          </w:p>
        </w:tc>
        <w:tc>
          <w:tcPr>
            <w:tcW w:type="dxa" w:w="17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US$ 2,7</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Efeito Induzido</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116</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US$ 5,3</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US$ 3,1</w:t>
            </w:r>
          </w:p>
        </w:tc>
        <w:tc>
          <w:tcPr>
            <w:tcW w:type="dxa" w:w="17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US$ 2,1</w:t>
            </w:r>
          </w:p>
        </w:tc>
      </w:tr>
      <w:tr>
        <w:tc>
          <w:tcPr>
            <w:tcW w:type="dxa" w:w="2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(Ano 5)</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341</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US$ 20,8</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US$ 12,3</w:t>
            </w:r>
          </w:p>
        </w:tc>
        <w:tc>
          <w:tcPr>
            <w:tcW w:type="dxa" w:w="17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US$ 9,4</w:t>
            </w:r>
          </w:p>
        </w:tc>
      </w:tr>
    </w:tbl>
    <w:p>
      <w:pPr>
        <w:spacing w:after="80"/>
      </w:pPr>
    </w:p>
    <w:p>
      <w:pPr>
        <w:pStyle w:val="Heading2"/>
        <w:spacing w:after="160" w:before="280"/>
      </w:pPr>
      <w:r>
        <w:rPr>
          <w:rFonts w:ascii="Arial" w:cs="Arial" w:eastAsia="Arial" w:hAnsi="Arial"/>
          <w:b/>
          <w:bCs/>
          <w:color w:val="0D9488"/>
          <w:sz w:val="26"/>
          <w:szCs w:val="26"/>
        </w:rPr>
        <w:t xml:space="preserve">2.4 Validação Cruzada RIMS II</w:t>
      </w:r>
    </w:p>
    <w:p>
      <w:pPr>
        <w:spacing w:after="120" w:line="276"/>
        <w:jc w:val="both"/>
      </w:pPr>
      <w:r>
        <w:rPr>
          <w:rFonts w:ascii="Arial" w:cs="Arial" w:eastAsia="Arial" w:hAnsi="Arial"/>
          <w:b w:val="false"/>
          <w:bCs w:val="false"/>
          <w:i w:val="false"/>
          <w:iCs w:val="false"/>
          <w:color w:val="1A202C"/>
          <w:sz w:val="21"/>
          <w:szCs w:val="21"/>
        </w:rPr>
        <w:t xml:space="preserve">Os multiplicadores de demanda final RIMS II do Bureau of Economic Analysis para o MSA de Orlando (Indústria 541600 — Serviços de Consultoria em Gestão, Científica e Técnica) produzem os seguintes multiplicadores Tipo II: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Multiplicador de Produção (por US$ 1 de demanda final)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2,1834</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Multiplicador de Renda (por US$ 1 de demanda final)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0,7621</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Multiplicador de Emprego (por US$ 1M de demanda final)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12,47 empregos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Total Projetado RIMS II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182CE"/>
                <w:sz w:val="20"/>
                <w:szCs w:val="20"/>
              </w:rPr>
              <w:t xml:space="preserve">324 FTE (vs. IMPLAN 341)</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Variância Entre Modelos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5,0% (dentro da faixa aceitável)</w:t>
            </w:r>
          </w:p>
        </w:tc>
      </w:tr>
    </w:tbl>
    <w:p>
      <w:pPr>
        <w:spacing w:after="60"/>
      </w:pPr>
    </w:p>
    <w:p>
      <w:pPr>
        <w:spacing w:after="120" w:line="276"/>
        <w:jc w:val="both"/>
      </w:pPr>
      <w:r>
        <w:rPr>
          <w:rFonts w:ascii="Arial" w:cs="Arial" w:eastAsia="Arial" w:hAnsi="Arial"/>
          <w:b/>
          <w:bCs/>
          <w:i w:val="false"/>
          <w:iCs w:val="false"/>
          <w:color w:val="0A1628"/>
          <w:sz w:val="21"/>
          <w:szCs w:val="21"/>
        </w:rPr>
        <w:t xml:space="preserve">Resultado da Validação Cruzada: </w:t>
      </w:r>
      <w:r>
        <w:rPr>
          <w:rFonts w:ascii="Arial" w:cs="Arial" w:eastAsia="Arial" w:hAnsi="Arial"/>
          <w:b w:val="false"/>
          <w:bCs w:val="false"/>
          <w:i w:val="false"/>
          <w:iCs w:val="false"/>
          <w:color w:val="1A202C"/>
          <w:sz w:val="21"/>
          <w:szCs w:val="21"/>
        </w:rPr>
        <w:t xml:space="preserve">A variância de 5,0% entre as projeções de emprego do IMPLAN (341 FTE) e do RIMS II (324 FTE) está dentro do intervalo de confiança aceitável de 10%, confirmando a robustez das estimativas de impacto econômico.</w:t>
      </w:r>
    </w:p>
    <w:p>
      <w:r>
        <w:br w:type="page"/>
      </w:r>
    </w:p>
    <w:p>
      <w:pPr>
        <w:pStyle w:val="Heading1"/>
        <w:spacing w:after="200" w:before="360"/>
      </w:pPr>
      <w:r>
        <w:rPr>
          <w:rFonts w:ascii="Arial" w:cs="Arial" w:eastAsia="Arial" w:hAnsi="Arial"/>
          <w:b/>
          <w:bCs/>
          <w:color w:val="0A1628"/>
          <w:sz w:val="32"/>
          <w:szCs w:val="32"/>
        </w:rPr>
        <w:t xml:space="preserve">3. Módulo M2 — Pegada Econômica Regional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mapeia a distribuição geográfica dos impactos econômicos dentro da Área Estatística Metropolitana (MSA) Orlando-Kissimmee-Sanford, Código FIPS 36740, abrangendo os condados de Orange, Seminole, Osceola e Lake na Flórida Central.</w:t>
      </w:r>
    </w:p>
    <w:p>
      <w:pPr>
        <w:pStyle w:val="Heading2"/>
        <w:spacing w:after="160" w:before="280"/>
      </w:pPr>
      <w:r>
        <w:rPr>
          <w:rFonts w:ascii="Arial" w:cs="Arial" w:eastAsia="Arial" w:hAnsi="Arial"/>
          <w:b/>
          <w:bCs/>
          <w:color w:val="0D9488"/>
          <w:sz w:val="26"/>
          <w:szCs w:val="26"/>
        </w:rPr>
        <w:t xml:space="preserve">3.1 Perfil Econômico do MSA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População do MSA (est. 2025)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2.817.000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PIB do MSA (2024)</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US$ 178,4 bilhões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Participação de Transporte &amp; Armazenagem no PIB</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4,7% (US$ 8,4B)</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em Logística no MSA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87.400 trabalhadores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Taxa de Desemprego do MSA (jan 2026)</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Proximidade Portuária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Port Canaveral (84 km), Port Tampa Bay (135 km)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Hub Aeroportuário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Orlando International (MCO) — 2º mais movimentado em carga na FL</w:t>
            </w:r>
          </w:p>
        </w:tc>
      </w:tr>
    </w:tbl>
    <w:p>
      <w:pPr>
        <w:spacing w:after="80"/>
      </w:pPr>
    </w:p>
    <w:p>
      <w:pPr>
        <w:pStyle w:val="Heading2"/>
        <w:spacing w:after="160" w:before="280"/>
      </w:pPr>
      <w:r>
        <w:rPr>
          <w:rFonts w:ascii="Arial" w:cs="Arial" w:eastAsia="Arial" w:hAnsi="Arial"/>
          <w:b/>
          <w:bCs/>
          <w:color w:val="0D9488"/>
          <w:sz w:val="26"/>
          <w:szCs w:val="26"/>
        </w:rPr>
        <w:t xml:space="preserve">3.2 Distribuição Geográfica do Impacto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Condado</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Empr. Diretos</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Indiretos</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Induzidos</w:t>
            </w:r>
          </w:p>
        </w:tc>
        <w:tc>
          <w:tcPr>
            <w:tcW w:type="dxa" w:w="16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Total</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Orange County</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89</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62</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71</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222</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Seminole County</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21</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63</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Osceola County</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w:t>
            </w:r>
          </w:p>
        </w:tc>
        <w:tc>
          <w:tcPr>
            <w:tcW w:type="dxa" w:w="16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37</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Lake County</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w:t>
            </w:r>
          </w:p>
        </w:tc>
        <w:tc>
          <w:tcPr>
            <w:tcW w:type="dxa" w:w="16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r>
      <w:tr>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MSA</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127</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98</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116</w:t>
            </w:r>
          </w:p>
        </w:tc>
        <w:tc>
          <w:tcPr>
            <w:tcW w:type="dxa" w:w="16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341</w:t>
            </w:r>
          </w:p>
        </w:tc>
      </w:tr>
    </w:tbl>
    <w:p>
      <w:pPr>
        <w:spacing w:after="80"/>
      </w:pPr>
    </w:p>
    <w:p>
      <w:pPr>
        <w:pStyle w:val="Heading2"/>
        <w:spacing w:after="160" w:before="280"/>
      </w:pPr>
      <w:r>
        <w:rPr>
          <w:rFonts w:ascii="Arial" w:cs="Arial" w:eastAsia="Arial" w:hAnsi="Arial"/>
          <w:b/>
          <w:bCs/>
          <w:color w:val="0D9488"/>
          <w:sz w:val="26"/>
          <w:szCs w:val="26"/>
        </w:rPr>
        <w:t xml:space="preserve">3.3 Análise de Área Economicamente Deprimida</w:t>
      </w:r>
    </w:p>
    <w:p>
      <w:pPr>
        <w:spacing w:after="120" w:line="276"/>
        <w:jc w:val="both"/>
      </w:pPr>
      <w:r>
        <w:rPr>
          <w:rFonts w:ascii="Arial" w:cs="Arial" w:eastAsia="Arial" w:hAnsi="Arial"/>
          <w:b w:val="false"/>
          <w:bCs w:val="false"/>
          <w:i w:val="false"/>
          <w:iCs w:val="false"/>
          <w:color w:val="1A202C"/>
          <w:sz w:val="21"/>
          <w:szCs w:val="21"/>
        </w:rPr>
        <w:t xml:space="preserve">De acordo com o framework Dhanasar, o impacto econômico em áreas economicamente deprimidas carrega importância elevada. Vários setores censitários dentro do MSA de Orlando se qualificam sob padrões federais: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Zonas de Oportunidade Qualificadas no MSA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14 setores censitários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Setor Censitário da Sede Vendemmia (32827) — Taxa de Pobreza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11,8% (vs. nacional 11,5%)</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Empregos Projetados em Setores Deprimidos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47 FTE (13,8% do total)</w:t>
            </w:r>
          </w:p>
        </w:tc>
      </w:tr>
    </w:tbl>
    <w:p>
      <w:r>
        <w:br w:type="page"/>
      </w:r>
    </w:p>
    <w:p>
      <w:pPr>
        <w:pStyle w:val="Heading1"/>
        <w:spacing w:after="200" w:before="360"/>
      </w:pPr>
      <w:r>
        <w:rPr>
          <w:rFonts w:ascii="Arial" w:cs="Arial" w:eastAsia="Arial" w:hAnsi="Arial"/>
          <w:b/>
          <w:bCs/>
          <w:color w:val="0A1628"/>
          <w:sz w:val="32"/>
          <w:szCs w:val="32"/>
        </w:rPr>
        <w:t xml:space="preserve">4. Módulo M3 — Análise de Multiplicadores Setoriais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desagrega os impactos econômicos por setor industrial NAICS, mapeando como os gastos logísticos 4PL do peticionário se propagam através da economia regional.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780"/>
        <w:gridCol w:w="1780"/>
      </w:tblGrid>
      <w:tr>
        <w:tc>
          <w:tcPr>
            <w:tcW w:type="dxa" w:w="14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NAICS</w:t>
            </w:r>
          </w:p>
        </w:tc>
        <w:tc>
          <w:tcPr>
            <w:tcW w:type="dxa" w:w="44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Descrição do Setor</w:t>
            </w:r>
          </w:p>
        </w:tc>
        <w:tc>
          <w:tcPr>
            <w:tcW w:type="dxa" w:w="1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Impacto Empregos</w:t>
            </w:r>
          </w:p>
        </w:tc>
        <w:tc>
          <w:tcPr>
            <w:tcW w:type="dxa" w:w="1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Produção (US$M)</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541614</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Consultoria em Processos &amp; Logística</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US$ 9,4</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484110</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Transporte Rodoviário de Carga, Local</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38</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US$ 2,8</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493110</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Armazenagem &amp; Estocagem Geral</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US$ 1,9</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488510</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Agenciamento de Transporte de Carga</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US$ 1,6</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518210</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Processamento de Dados &amp; Serviços em Nuvem</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US$ 1,4</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541511</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Programação de Computadores Personalizada</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16</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US$ 1,2</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524210</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Seguradoras</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US$ 0,7</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531120</w:t>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Locação de Imóveis Comerciais</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US$ 0,5</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722511</w:t>
            </w:r>
          </w:p>
        </w:tc>
        <w:tc>
          <w:tcPr>
            <w:tcW w:type="dxa" w:w="4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Restaurantes (efeito induzido)</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US$ 0,4</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
            </w:r>
          </w:p>
        </w:tc>
        <w:tc>
          <w:tcPr>
            <w:tcW w:type="dxa" w:w="4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Outros (26 setores adicionais)</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47</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US$ 0,9</w:t>
            </w:r>
          </w:p>
        </w:tc>
      </w:tr>
    </w:tbl>
    <w:p>
      <w:pPr>
        <w:spacing w:after="80"/>
      </w:pPr>
    </w:p>
    <w:p>
      <w:pPr>
        <w:spacing w:after="120" w:line="276"/>
        <w:jc w:val="both"/>
      </w:pPr>
      <w:r>
        <w:rPr>
          <w:rFonts w:ascii="Arial" w:cs="Arial" w:eastAsia="Arial" w:hAnsi="Arial"/>
          <w:b/>
          <w:bCs/>
          <w:i w:val="false"/>
          <w:iCs w:val="false"/>
          <w:color w:val="0A1628"/>
          <w:sz w:val="21"/>
          <w:szCs w:val="21"/>
        </w:rPr>
        <w:t xml:space="preserve">Abrangência Setorial: </w:t>
      </w:r>
      <w:r>
        <w:rPr>
          <w:rFonts w:ascii="Arial" w:cs="Arial" w:eastAsia="Arial" w:hAnsi="Arial"/>
          <w:b w:val="false"/>
          <w:bCs w:val="false"/>
          <w:i w:val="false"/>
          <w:iCs w:val="false"/>
          <w:color w:val="1A202C"/>
          <w:sz w:val="21"/>
          <w:szCs w:val="21"/>
        </w:rPr>
        <w:t xml:space="preserve">O empreendimento do peticionário impacta </w:t>
      </w:r>
      <w:r>
        <w:rPr>
          <w:rFonts w:ascii="Arial" w:cs="Arial" w:eastAsia="Arial" w:hAnsi="Arial"/>
          <w:b/>
          <w:bCs/>
          <w:i w:val="false"/>
          <w:iCs w:val="false"/>
          <w:color w:val="1A202C"/>
          <w:sz w:val="21"/>
          <w:szCs w:val="21"/>
        </w:rPr>
        <w:t xml:space="preserve">14 setores NAICS primários e 26 setores secundários</w:t>
      </w:r>
      <w:r>
        <w:rPr>
          <w:rFonts w:ascii="Arial" w:cs="Arial" w:eastAsia="Arial" w:hAnsi="Arial"/>
          <w:b w:val="false"/>
          <w:bCs w:val="false"/>
          <w:i w:val="false"/>
          <w:iCs w:val="false"/>
          <w:color w:val="1A202C"/>
          <w:sz w:val="21"/>
          <w:szCs w:val="21"/>
        </w:rPr>
        <w:t xml:space="preserve">, demonstrando que os efeitos econômicos se estendem muito além da empresa individual do peticionário para a economia regional e nacional mais ampla.</w:t>
      </w:r>
    </w:p>
    <w:p>
      <w:r>
        <w:br w:type="page"/>
      </w:r>
    </w:p>
    <w:p>
      <w:pPr>
        <w:pStyle w:val="Heading1"/>
        <w:spacing w:after="200" w:before="360"/>
      </w:pPr>
      <w:r>
        <w:rPr>
          <w:rFonts w:ascii="Arial" w:cs="Arial" w:eastAsia="Arial" w:hAnsi="Arial"/>
          <w:b/>
          <w:bCs/>
          <w:color w:val="0A1628"/>
          <w:sz w:val="32"/>
          <w:szCs w:val="32"/>
        </w:rPr>
        <w:t xml:space="preserve">5. Módulo M4 — Projeção de Receita Tributária</w:t>
      </w:r>
    </w:p>
    <w:p>
      <w:pPr>
        <w:spacing w:after="40"/>
      </w:pPr>
    </w:p>
    <w:p>
      <w:pPr>
        <w:pStyle w:val="Heading2"/>
        <w:spacing w:after="160" w:before="280"/>
      </w:pPr>
      <w:r>
        <w:rPr>
          <w:rFonts w:ascii="Arial" w:cs="Arial" w:eastAsia="Arial" w:hAnsi="Arial"/>
          <w:b/>
          <w:bCs/>
          <w:color w:val="0D9488"/>
          <w:sz w:val="26"/>
          <w:szCs w:val="26"/>
        </w:rPr>
        <w:t xml:space="preserve">5.1 Receita Tributária Federal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90"/>
        <w:gridCol w:w="1390"/>
        <w:gridCol w:w="1390"/>
        <w:gridCol w:w="1390"/>
      </w:tblGrid>
      <w:tr>
        <w:tc>
          <w:tcPr>
            <w:tcW w:type="dxa" w:w="3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Categoria Tributária Federal</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Ano 1</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Ano 3</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Ano 5</w:t>
            </w:r>
          </w:p>
        </w:tc>
        <w:tc>
          <w:tcPr>
            <w:tcW w:type="dxa" w:w="139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Total 5 Anos</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Imposto de Renda Pessoa Física (funcionários)</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US$ 87K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US$ 312K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US$ 548K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US$ 1,56M</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Imposto de Renda Pessoa Jurídica</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US$ 42K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US$ 118K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US$ 196K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US$ 584K</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FICA/Contribuições Trabalhistas</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US$ 96K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US$ 341K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US$ 597K</w:t>
            </w:r>
          </w:p>
        </w:tc>
        <w:tc>
          <w:tcPr>
            <w:tcW w:type="dxa" w:w="139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US$ 1,71M</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Impostos Indiretos &amp; Outros</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US$ 12K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US$ 18K</w:t>
            </w:r>
          </w:p>
        </w:tc>
        <w:tc>
          <w:tcPr>
            <w:tcW w:type="dxa" w:w="139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US$ 56K</w:t>
            </w:r>
          </w:p>
        </w:tc>
      </w:tr>
      <w:tr>
        <w:tc>
          <w:tcPr>
            <w:tcW w:type="dxa" w:w="3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FEDERAL</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US$ 229K</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US$ 783K</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US$ 1,36M</w:t>
            </w:r>
          </w:p>
        </w:tc>
        <w:tc>
          <w:tcPr>
            <w:tcW w:type="dxa" w:w="139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US$ 3,91M</w:t>
            </w:r>
          </w:p>
        </w:tc>
      </w:tr>
    </w:tbl>
    <w:p>
      <w:pPr>
        <w:spacing w:after="80"/>
      </w:pPr>
    </w:p>
    <w:p>
      <w:pPr>
        <w:pStyle w:val="Heading2"/>
        <w:spacing w:after="160" w:before="280"/>
      </w:pPr>
      <w:r>
        <w:rPr>
          <w:rFonts w:ascii="Arial" w:cs="Arial" w:eastAsia="Arial" w:hAnsi="Arial"/>
          <w:b/>
          <w:bCs/>
          <w:color w:val="0D9488"/>
          <w:sz w:val="26"/>
          <w:szCs w:val="26"/>
        </w:rPr>
        <w:t xml:space="preserve">5.2 Receita Tributária do Estado da Flórida</w:t>
      </w:r>
    </w:p>
    <w:p>
      <w:pPr>
        <w:spacing w:after="120" w:line="276"/>
        <w:jc w:val="both"/>
      </w:pPr>
      <w:r>
        <w:rPr>
          <w:rFonts w:ascii="Arial" w:cs="Arial" w:eastAsia="Arial" w:hAnsi="Arial"/>
          <w:b w:val="false"/>
          <w:bCs w:val="false"/>
          <w:i w:val="false"/>
          <w:iCs w:val="false"/>
          <w:color w:val="1A202C"/>
          <w:sz w:val="21"/>
          <w:szCs w:val="21"/>
        </w:rPr>
        <w:t xml:space="preserve">Nota: A Flórida não impõe imposto de renda estadual sobre pessoas físicas, o que aumenta a atratividade do empreendimento do peticionário para recrutamento de talentos.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de Renda Corporativo (5,5%)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US$ 328K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sobre Vendas &amp; Uso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US$ 891K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sobre Aluguel Comercial (Orange County)</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US$ 214K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de Compensação de Desemprego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US$ 178K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TOTAL ESTADO DA FLÓRIDA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US$ 1,70M (5 anos)</w:t>
            </w:r>
          </w:p>
        </w:tc>
      </w:tr>
    </w:tbl>
    <w:p>
      <w:pPr>
        <w:spacing w:after="80"/>
      </w:pPr>
    </w:p>
    <w:p>
      <w:pPr>
        <w:pStyle w:val="Heading2"/>
        <w:spacing w:after="160" w:before="280"/>
      </w:pPr>
      <w:r>
        <w:rPr>
          <w:rFonts w:ascii="Arial" w:cs="Arial" w:eastAsia="Arial" w:hAnsi="Arial"/>
          <w:b/>
          <w:bCs/>
          <w:color w:val="0D9488"/>
          <w:sz w:val="26"/>
          <w:szCs w:val="26"/>
        </w:rPr>
        <w:t xml:space="preserve">5.3 Receita Tributária Local (Orange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sobre Propriedade (imóveis comerciais alugados)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US$ 412K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de Desenvolvimento Turístico (induzido)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US$ 187K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sobre Vendas Local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US$ 341K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Taxas de Impacto (infraestrutura)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US$ 89K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Taxas de Utilidade Pública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US$ 171K (5 anos)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TOTAL LOCAL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US$ 1,20M (5 anos)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D4A843"/>
                <w:sz w:val="40"/>
                <w:szCs w:val="40"/>
              </w:rPr>
              <w:t xml:space="preserve">US$ 6,81M</w:t>
            </w:r>
          </w:p>
          <w:p>
            <w:pPr>
              <w:spacing w:after="20"/>
              <w:jc w:val="center"/>
            </w:pPr>
            <w:r>
              <w:rPr>
                <w:rFonts w:ascii="Arial" w:cs="Arial" w:eastAsia="Arial" w:hAnsi="Arial"/>
                <w:color w:val="4A5568"/>
                <w:sz w:val="18"/>
                <w:szCs w:val="18"/>
              </w:rPr>
              <w:t xml:space="preserve">Federal (US$ 3,91M) + Estadual (US$ 1,70M) + Local (US$ 1,20M) em 5 anos</w:t>
            </w:r>
          </w:p>
          <w:p>
            <w:pPr>
              <w:jc w:val="center"/>
            </w:pPr>
            <w:r>
              <w:rPr>
                <w:rFonts w:ascii="Arial" w:cs="Arial" w:eastAsia="Arial" w:hAnsi="Arial"/>
                <w:color w:val="718096"/>
                <w:sz w:val="16"/>
                <w:szCs w:val="16"/>
              </w:rPr>
              <w:t xml:space="preserve">CONTRIBUIÇÃO TRIBUTÁRIA TOTAL</w:t>
            </w:r>
          </w:p>
        </w:tc>
      </w:tr>
    </w:tbl>
    <w:p>
      <w:r>
        <w:br w:type="page"/>
      </w:r>
    </w:p>
    <w:p>
      <w:pPr>
        <w:pStyle w:val="Heading1"/>
        <w:spacing w:after="200" w:before="360"/>
      </w:pPr>
      <w:r>
        <w:rPr>
          <w:rFonts w:ascii="Arial" w:cs="Arial" w:eastAsia="Arial" w:hAnsi="Arial"/>
          <w:b/>
          <w:bCs/>
          <w:color w:val="0A1628"/>
          <w:sz w:val="32"/>
          <w:szCs w:val="32"/>
        </w:rPr>
        <w:t xml:space="preserve">6. Módulo M5 — Mapeamento do Ecossistema de Cadeia de Suprimentos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mapeia o ecossistema projetado de cadeia de suprimentos do peticionário, identificando categorias específicas de fornecedores, volumes estimados de gastos e o emprego suportado em cada nível. Como provedor 4PL, a Vendemmia Americans Corporation opera como integradora que gerencia e coordena múltiplos provedores de serviços logísticos, criando uma pegada econômica multiplicada.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Categoria de Fornecedor</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Gasto Anual (Ano 5)</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Fornecedores (#)</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Empregos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Transportadoras &amp; Drayage</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US$ 2,1M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12-15</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38</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Operadores de Armazém</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US$ 1,4M</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4-6</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Infraestrutura de TI/Nuvem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US$ 0,8M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3-5</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Despachante Aduaneiro</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US$ 0,6M</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2-3</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Seguros &amp; Gestão de Riscos</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US$ 0,4M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2-3</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Serviços Profissionais</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US$ 0,3M</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4-6</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Locação de Instalações &amp; Equipamentos</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US$ 0,5M</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w:t>
            </w:r>
          </w:p>
        </w:tc>
      </w:tr>
      <w:tr>
        <w:tc>
          <w:tcPr>
            <w:tcW w:type="dxa" w:w="3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TIER 1</w:t>
            </w:r>
          </w:p>
        </w:tc>
        <w:tc>
          <w:tcPr>
            <w:tcW w:type="dxa" w:w="2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US$ 6,1M</w:t>
            </w:r>
          </w:p>
        </w:tc>
        <w:tc>
          <w:tcPr>
            <w:tcW w:type="dxa" w:w="2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30-42</w:t>
            </w:r>
          </w:p>
        </w:tc>
        <w:tc>
          <w:tcPr>
            <w:tcW w:type="dxa" w:w="2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118</w:t>
            </w:r>
          </w:p>
        </w:tc>
      </w:tr>
    </w:tbl>
    <w:p>
      <w:r>
        <w:br w:type="page"/>
      </w:r>
    </w:p>
    <w:p>
      <w:pPr>
        <w:pStyle w:val="Heading1"/>
        <w:spacing w:after="200" w:before="360"/>
      </w:pPr>
      <w:r>
        <w:rPr>
          <w:rFonts w:ascii="Arial" w:cs="Arial" w:eastAsia="Arial" w:hAnsi="Arial"/>
          <w:b/>
          <w:bCs/>
          <w:color w:val="0A1628"/>
          <w:sz w:val="32"/>
          <w:szCs w:val="32"/>
        </w:rPr>
        <w:t xml:space="preserve">7. Módulo M6 — Análise de Multiplicadores de Emprego EPI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aplica os multiplicadores de emprego do Economic Policy Institute (EPI), uma metodologia revisada por pares que captura ligações em nível nacional da cadeia de suprimentos, oferecendo uma perspectiva complementar aos modelos regionais IMPLAN e RIMS II.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Direto (empresa do peticionário)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127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Empregos de Fornecedores (indiretos, multiplicador EPI 1,47)</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187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Empregos de Re-gasto (induzidos, multiplicador EPI 0,89)</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113 FTE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EMPREGO TOTAL ESTIMADO EPI</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427 FTE</w:t>
            </w:r>
          </w:p>
        </w:tc>
      </w:tr>
    </w:tbl>
    <w:p>
      <w:pPr>
        <w:spacing w:after="80"/>
      </w:pPr>
    </w:p>
    <w:p>
      <w:pPr>
        <w:pStyle w:val="Heading2"/>
        <w:spacing w:after="160" w:before="280"/>
      </w:pPr>
      <w:r>
        <w:rPr>
          <w:rFonts w:ascii="Arial" w:cs="Arial" w:eastAsia="Arial" w:hAnsi="Arial"/>
          <w:b/>
          <w:bCs/>
          <w:color w:val="0D9488"/>
          <w:sz w:val="26"/>
          <w:szCs w:val="26"/>
        </w:rPr>
        <w:t xml:space="preserve">7.2 Reconciliação EPI vs. IMPLAN/RIMS II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Modelo</w:t>
            </w:r>
          </w:p>
        </w:tc>
        <w:tc>
          <w:tcPr>
            <w:tcW w:type="dxa" w:w="20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Emprego Total</w:t>
            </w:r>
          </w:p>
        </w:tc>
        <w:tc>
          <w:tcPr>
            <w:tcW w:type="dxa" w:w="20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Multiplicador</w:t>
            </w:r>
          </w:p>
        </w:tc>
        <w:tc>
          <w:tcPr>
            <w:tcW w:type="dxa" w:w="20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Escopo</w:t>
            </w:r>
          </w:p>
        </w:tc>
      </w:tr>
      <w:tr>
        <w:tc>
          <w:tcPr>
            <w:tcW w:type="dxa" w:w="3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IMPLAN (regional)</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 FTE</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2,68x</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Nível MSA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RIMS II (regional)</w:t>
            </w:r>
          </w:p>
        </w:tc>
        <w:tc>
          <w:tcPr>
            <w:tcW w:type="dxa" w:w="2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324 FTE</w:t>
            </w:r>
          </w:p>
        </w:tc>
        <w:tc>
          <w:tcPr>
            <w:tcW w:type="dxa" w:w="2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2,54x</w:t>
            </w:r>
          </w:p>
        </w:tc>
        <w:tc>
          <w:tcPr>
            <w:tcW w:type="dxa" w:w="2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Nível MSA</w:t>
            </w:r>
          </w:p>
        </w:tc>
      </w:tr>
      <w:tr>
        <w:tc>
          <w:tcPr>
            <w:tcW w:type="dxa" w:w="3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EPI (nacional)</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427 FTE</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3,36x</w:t>
            </w:r>
          </w:p>
        </w:tc>
        <w:tc>
          <w:tcPr>
            <w:tcW w:type="dxa" w:w="20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Economia EUA</w:t>
            </w:r>
          </w:p>
        </w:tc>
      </w:tr>
    </w:tbl>
    <w:p>
      <w:pPr>
        <w:spacing w:after="60"/>
      </w:pPr>
    </w:p>
    <w:p>
      <w:pPr>
        <w:spacing w:after="120" w:line="276"/>
        <w:jc w:val="both"/>
      </w:pPr>
      <w:r>
        <w:rPr>
          <w:rFonts w:ascii="Arial" w:cs="Arial" w:eastAsia="Arial" w:hAnsi="Arial"/>
          <w:b w:val="false"/>
          <w:bCs w:val="false"/>
          <w:i w:val="false"/>
          <w:iCs w:val="false"/>
          <w:color w:val="1A202C"/>
          <w:sz w:val="21"/>
          <w:szCs w:val="21"/>
        </w:rPr>
        <w:t xml:space="preserve">A estimativa superior do EPI (427 FTE vs. 341 IMPLAN) é esperada porque os multiplicadores EPI capturam ligações nacionais de cadeia de suprimentos que vazam para fora do MSA de Orlando nos modelos regionais. Isso demonstra que o impacto econômico do peticionário se estende além da região local para a economia americana mais ampla.</w:t>
      </w:r>
    </w:p>
    <w:p>
      <w:r>
        <w:br w:type="page"/>
      </w:r>
    </w:p>
    <w:p>
      <w:pPr>
        <w:pStyle w:val="Heading1"/>
        <w:spacing w:after="200" w:before="360"/>
      </w:pPr>
      <w:r>
        <w:rPr>
          <w:rFonts w:ascii="Arial" w:cs="Arial" w:eastAsia="Arial" w:hAnsi="Arial"/>
          <w:b/>
          <w:bCs/>
          <w:color w:val="0A1628"/>
          <w:sz w:val="32"/>
          <w:szCs w:val="32"/>
        </w:rPr>
        <w:t xml:space="preserve">8. Módulo M7 — Alinhamento com Políticas Nacionais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mapeia o empreendimento logístico do peticionário às prioridades nacionais documentadas do governo dos EUA, demonstrando alinhamento com políticas, ordens executivas e frameworks estratégicos.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Prioridade Nacional / Política</w:t>
            </w:r>
          </w:p>
        </w:tc>
        <w:tc>
          <w:tcPr>
            <w:tcW w:type="dxa" w:w="2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Relevância</w:t>
            </w:r>
          </w:p>
        </w:tc>
        <w:tc>
          <w:tcPr>
            <w:tcW w:type="dxa" w:w="2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Alinhamento</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Ordem Executiva 14017 — Resiliência de Cadeia</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Resiliência para cadeias de suprimentos críticas</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DIRETO</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Framework de Resiliência de Cadeia do DOT</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Logística como prioridade de infraestrutura</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DIRETO</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CHIPS and Science Act (2022)</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Logística de onshoring de semicondutores</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FORTE</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Inflation Reduction Act (2022)</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Otimização logística de energia limpa</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MODERADO</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OE 14110 — Segurança e Inovação em IA</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IA aplicada à logística</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FORTE</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Acordo Comercial USMCA</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Logística transfronteiriça Américas</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DIRETO</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Sub-Categoria CET: Manufatura Avançada</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Tecnologia logística para cadeias de manufatura</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FORTE</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Prioridade Orç. R&amp;D FY2027: Tech Cadeia</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Cadeia de suprimentos como prioridade de P&amp;D</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DIRETO</w:t>
            </w:r>
          </w:p>
        </w:tc>
      </w:tr>
    </w:tbl>
    <w:p>
      <w:pPr>
        <w:spacing w:after="80"/>
      </w:pPr>
    </w:p>
    <w:p>
      <w:pPr>
        <w:spacing w:after="120" w:line="276"/>
        <w:jc w:val="both"/>
      </w:pPr>
      <w:r>
        <w:rPr>
          <w:rFonts w:ascii="Arial" w:cs="Arial" w:eastAsia="Arial" w:hAnsi="Arial"/>
          <w:b/>
          <w:bCs/>
          <w:i w:val="false"/>
          <w:iCs w:val="false"/>
          <w:color w:val="0D9488"/>
          <w:sz w:val="21"/>
          <w:szCs w:val="21"/>
        </w:rPr>
        <w:t xml:space="preserve">Pontuação de Alinhamento: 8 de 8 prioridades nacionais mapeadas</w:t>
      </w:r>
      <w:r>
        <w:rPr>
          <w:rFonts w:ascii="Arial" w:cs="Arial" w:eastAsia="Arial" w:hAnsi="Arial"/>
          <w:b w:val="false"/>
          <w:bCs w:val="false"/>
          <w:i w:val="false"/>
          <w:iCs w:val="false"/>
          <w:color w:val="1A202C"/>
          <w:sz w:val="21"/>
          <w:szCs w:val="21"/>
        </w:rPr>
        <w:t xml:space="preserve"> (4 DIRETO, 3 FORTE, 1 MODERADO). O empreendimento do peticionário se alinha com múltiplas prioridades documentadas do governo, estabelecendo resiliência de cadeia de suprimentos e modernização de infraestrutura como matérias de importância nacional.</w:t>
      </w:r>
    </w:p>
    <w:p>
      <w:r>
        <w:br w:type="page"/>
      </w:r>
    </w:p>
    <w:p>
      <w:pPr>
        <w:pStyle w:val="Heading1"/>
        <w:spacing w:after="200" w:before="360"/>
      </w:pPr>
      <w:r>
        <w:rPr>
          <w:rFonts w:ascii="Arial" w:cs="Arial" w:eastAsia="Arial" w:hAnsi="Arial"/>
          <w:b/>
          <w:bCs/>
          <w:color w:val="0A1628"/>
          <w:sz w:val="32"/>
          <w:szCs w:val="32"/>
        </w:rPr>
        <w:t xml:space="preserve">9. Módulo M8 — Vantagem Comparativa Regional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Índice de Performance Logística (CBRE, 2025)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Rank #12 de 50 metros nos EUA</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Taxa de Vacância de Armazém</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4,2% (mercado apertado)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Aluguel Industrial Médio (US$/sq.ft/ano)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US$ 9,84 (abaixo de metros Tier 1)</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Zona de Comércio Exterior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FTZ #42 (Greater Orlando)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Volume Comércio Brasil-FL (2024)</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US$ 8,7B (FL é #1 EUA-Brasil)</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Provedores 4PL no MSA Orlando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&lt; 5 (nicho subatendido)</w:t>
            </w:r>
          </w:p>
        </w:tc>
      </w:tr>
    </w:tbl>
    <w:p>
      <w:pPr>
        <w:spacing w:after="80"/>
      </w:pPr>
    </w:p>
    <w:p>
      <w:pPr>
        <w:spacing w:after="120" w:line="276"/>
        <w:jc w:val="both"/>
      </w:pPr>
      <w:r>
        <w:rPr>
          <w:rFonts w:ascii="Arial" w:cs="Arial" w:eastAsia="Arial" w:hAnsi="Arial"/>
          <w:b w:val="false"/>
          <w:bCs w:val="false"/>
          <w:i w:val="false"/>
          <w:iCs w:val="false"/>
          <w:color w:val="1A202C"/>
          <w:sz w:val="21"/>
          <w:szCs w:val="21"/>
        </w:rPr>
        <w:t xml:space="preserve">O MSA de Orlando atualmente possui menos de 5 provedores dedicados de 4PL, comparado a 23 em Miami-Dade, 31 em Houston e 47 na área metropolitana de Los Angeles. Isso representa uma lacuna competitiva significativa que o empreendimento do peticionário está posicionado de forma única para preencher, dado seus 15+ anos de experiência em logística transfronteiriça entre Brasil e Estados Unidos.</w:t>
      </w:r>
    </w:p>
    <w:p>
      <w:r>
        <w:br w:type="page"/>
      </w:r>
    </w:p>
    <w:p>
      <w:pPr>
        <w:pStyle w:val="Heading1"/>
        <w:spacing w:after="200" w:before="360"/>
      </w:pPr>
      <w:r>
        <w:rPr>
          <w:rFonts w:ascii="Arial" w:cs="Arial" w:eastAsia="Arial" w:hAnsi="Arial"/>
          <w:b/>
          <w:bCs/>
          <w:color w:val="0A1628"/>
          <w:sz w:val="32"/>
          <w:szCs w:val="32"/>
        </w:rPr>
        <w:t xml:space="preserve">10. Módulo M9 — Análise de Sensibilidade &amp; Cenários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Métrica (Ano 5)</w:t>
            </w:r>
          </w:p>
        </w:tc>
        <w:tc>
          <w:tcPr>
            <w:tcW w:type="dxa" w:w="2187"/>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Conservador</w:t>
            </w:r>
          </w:p>
        </w:tc>
        <w:tc>
          <w:tcPr>
            <w:tcW w:type="dxa" w:w="2187"/>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Caso Base</w:t>
            </w:r>
          </w:p>
        </w:tc>
        <w:tc>
          <w:tcPr>
            <w:tcW w:type="dxa" w:w="2186"/>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Otimista</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Receita Anual</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US$ 7,1M</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US$ 9,4M</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US$ 12,8M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Emprego Direto</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97 FTE</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 FTE</w:t>
            </w:r>
          </w:p>
        </w:tc>
        <w:tc>
          <w:tcPr>
            <w:tcW w:type="dxa" w:w="218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168 FTE</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Emprego Total</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261 FTE</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 FTE</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451 FTE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Produção Total (5 anos cum.)</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US$ 36,2M</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US$ 47,3M</w:t>
            </w:r>
          </w:p>
        </w:tc>
        <w:tc>
          <w:tcPr>
            <w:tcW w:type="dxa" w:w="218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US$ 62,7M</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Receita Tributária (5 anos cum.)</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US$ 5,2M</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US$ 6,8M</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US$ 9,1M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Fornecedores da Cadeia</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55+</w:t>
            </w:r>
          </w:p>
        </w:tc>
        <w:tc>
          <w:tcPr>
            <w:tcW w:type="dxa" w:w="2187"/>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83+</w:t>
            </w:r>
          </w:p>
        </w:tc>
        <w:tc>
          <w:tcPr>
            <w:tcW w:type="dxa" w:w="218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110+</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Setores NAICS Impactados</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w:t>
            </w:r>
          </w:p>
        </w:tc>
        <w:tc>
          <w:tcPr>
            <w:tcW w:type="dxa" w:w="2187"/>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w:t>
            </w:r>
          </w:p>
        </w:tc>
        <w:tc>
          <w:tcPr>
            <w:tcW w:type="dxa" w:w="2186"/>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17</w:t>
            </w:r>
          </w:p>
        </w:tc>
      </w:tr>
    </w:tbl>
    <w:p>
      <w:pPr>
        <w:spacing w:after="80"/>
      </w:pPr>
    </w:p>
    <w:p>
      <w:pPr>
        <w:spacing w:after="120" w:line="276"/>
        <w:jc w:val="both"/>
      </w:pPr>
      <w:r>
        <w:rPr>
          <w:rFonts w:ascii="Arial" w:cs="Arial" w:eastAsia="Arial" w:hAnsi="Arial"/>
          <w:b/>
          <w:bCs/>
          <w:i w:val="false"/>
          <w:iCs w:val="false"/>
          <w:color w:val="0A1628"/>
          <w:sz w:val="21"/>
          <w:szCs w:val="21"/>
        </w:rPr>
        <w:t xml:space="preserve">Achado de Robustez: </w:t>
      </w:r>
      <w:r>
        <w:rPr>
          <w:rFonts w:ascii="Arial" w:cs="Arial" w:eastAsia="Arial" w:hAnsi="Arial"/>
          <w:b w:val="false"/>
          <w:bCs w:val="false"/>
          <w:i w:val="false"/>
          <w:iCs w:val="false"/>
          <w:color w:val="1A202C"/>
          <w:sz w:val="21"/>
          <w:szCs w:val="21"/>
        </w:rPr>
        <w:t xml:space="preserve">Mesmo no cenário conservador, o empreendimento do peticionário ainda gera </w:t>
      </w:r>
      <w:r>
        <w:rPr>
          <w:rFonts w:ascii="Arial" w:cs="Arial" w:eastAsia="Arial" w:hAnsi="Arial"/>
          <w:b/>
          <w:bCs/>
          <w:i w:val="false"/>
          <w:iCs w:val="false"/>
          <w:color w:val="0D9488"/>
          <w:sz w:val="21"/>
          <w:szCs w:val="21"/>
        </w:rPr>
        <w:t xml:space="preserve">261 empregos totais, US$ 36,2M em produção e US$ 5,2M em receita tributária</w:t>
      </w:r>
      <w:r>
        <w:rPr>
          <w:rFonts w:ascii="Arial" w:cs="Arial" w:eastAsia="Arial" w:hAnsi="Arial"/>
          <w:b w:val="false"/>
          <w:bCs w:val="false"/>
          <w:i w:val="false"/>
          <w:iCs w:val="false"/>
          <w:color w:val="1A202C"/>
          <w:sz w:val="21"/>
          <w:szCs w:val="21"/>
        </w:rPr>
        <w:t xml:space="preserve"> ao longo de 5 anos, representando efeitos econômicos positivos substanciais sob qualquer cenário razoável.</w:t>
      </w:r>
    </w:p>
    <w:p>
      <w:r>
        <w:br w:type="page"/>
      </w:r>
    </w:p>
    <w:p>
      <w:pPr>
        <w:pStyle w:val="Heading1"/>
        <w:spacing w:after="200" w:before="360"/>
      </w:pPr>
      <w:r>
        <w:rPr>
          <w:rFonts w:ascii="Arial" w:cs="Arial" w:eastAsia="Arial" w:hAnsi="Arial"/>
          <w:b/>
          <w:bCs/>
          <w:color w:val="0A1628"/>
          <w:sz w:val="32"/>
          <w:szCs w:val="32"/>
        </w:rPr>
        <w:t xml:space="preserve">11. Módulo M10 — Painel Executivo &amp; Resumo para USCIS</w:t>
      </w:r>
    </w:p>
    <w:p>
      <w:pPr>
        <w:spacing w:after="40"/>
      </w:pPr>
    </w:p>
    <w:p>
      <w:pPr>
        <w:pStyle w:val="Heading2"/>
        <w:spacing w:after="160" w:before="280"/>
      </w:pPr>
      <w:r>
        <w:rPr>
          <w:rFonts w:ascii="Arial" w:cs="Arial" w:eastAsia="Arial" w:hAnsi="Arial"/>
          <w:b/>
          <w:bCs/>
          <w:color w:val="0D9488"/>
          <w:sz w:val="26"/>
          <w:szCs w:val="26"/>
        </w:rPr>
        <w:t xml:space="preserve">11.1 Mapeamento Deficiência da RFE → Evidência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Deficiência Citada na RFE</w:t>
            </w:r>
          </w:p>
        </w:tc>
        <w:tc>
          <w:tcPr>
            <w:tcW w:type="dxa" w:w="25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Módulo IMPACTO®</w:t>
            </w:r>
          </w:p>
        </w:tc>
        <w:tc>
          <w:tcPr>
            <w:tcW w:type="dxa" w:w="25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Evidência Fornecida</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Nenhum impacto econômico ou criação de emprego projetado</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M6</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 FTE (IMPLAN) / 427 FTE (EPI)</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Nenhum efeito econômico positivo substancial</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M3</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US$ 47,3M de produção em 14 setores NAICS</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 níveis de pessoal ou projeções de atividade</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M2</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 FTE diretos no Ano 5; US$ 9,4M receita</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 dados de receita tributária</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M4</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US$ 6,8M tributos totais (fed/est/local)</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Benefícios atenuados para importância nacional</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M7, M8</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 alinhamentos com políticas nacionais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 implicações mais amplas além da empresa</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M3, M5</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83+ fornecedores, 40 setores, impacto MSA</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 evidência de área economicamente deprimida</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M2</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47 FTE em setores de Zona de Oportunidade</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Habilidades não substituíveis / sem base para waiver</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M9</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Multiplicador EPI = 3,36x; robusto em todos cenários</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 bem-estar societal ou benefício social mais amplo</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M11</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SROI 3,42:1; US$ 13,9M valor social; 456 treinados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 evidência cultural ou de enriquecimento artístico</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M12</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Primeiro provider 4PL bilíngue; ponte de comércio US$ 89,5B</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Impacto não se estende além da empresa/clientes</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M13</w:t>
            </w:r>
          </w:p>
        </w:tc>
        <w:tc>
          <w:tcPr>
            <w:tcW w:type="dxa" w:w="25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US$ 61,2M combinado; 10 dimensões de benefício</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Sem evidência ambiental ou de sustentabilidade</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M11</w:t>
            </w:r>
          </w:p>
        </w:tc>
        <w:tc>
          <w:tcPr>
            <w:tcW w:type="dxa" w:w="25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840 MT CO2 economizadas; 1,2M milhas de frete reduzidas</w:t>
            </w:r>
          </w:p>
        </w:tc>
      </w:tr>
    </w:tbl>
    <w:p>
      <w:pPr>
        <w:spacing w:after="120"/>
      </w:pPr>
    </w:p>
    <w:p>
      <w:pPr>
        <w:pStyle w:val="Heading2"/>
        <w:spacing w:after="160" w:before="280"/>
      </w:pPr>
      <w:r>
        <w:rPr>
          <w:rFonts w:ascii="Arial" w:cs="Arial" w:eastAsia="Arial" w:hAnsi="Arial"/>
          <w:b/>
          <w:bCs/>
          <w:color w:val="0D9488"/>
          <w:sz w:val="26"/>
          <w:szCs w:val="26"/>
        </w:rPr>
        <w:t xml:space="preserve">11.2 Resumo por Pilar Dhanasar</w:t>
      </w:r>
    </w:p>
    <w:p>
      <w:pPr>
        <w:spacing w:after="120" w:before="200"/>
      </w:pPr>
      <w:r>
        <w:rPr>
          <w:rFonts w:ascii="Arial" w:cs="Arial" w:eastAsia="Arial" w:hAnsi="Arial"/>
          <w:b/>
          <w:bCs/>
          <w:color w:val="0B7A6E"/>
          <w:sz w:val="22"/>
          <w:szCs w:val="22"/>
        </w:rPr>
        <w:t xml:space="preserve">Pilar 1 — Mérito Substancial e Importância Nacional</w:t>
      </w:r>
    </w:p>
    <w:p>
      <w:pPr>
        <w:spacing w:after="120" w:line="276"/>
        <w:jc w:val="both"/>
      </w:pPr>
      <w:r>
        <w:rPr>
          <w:rFonts w:ascii="Arial" w:cs="Arial" w:eastAsia="Arial" w:hAnsi="Arial"/>
          <w:b w:val="false"/>
          <w:bCs w:val="false"/>
          <w:i w:val="false"/>
          <w:iCs w:val="false"/>
          <w:color w:val="1A202C"/>
          <w:sz w:val="21"/>
          <w:szCs w:val="21"/>
        </w:rPr>
        <w:t xml:space="preserve">A análise de impacto econômico demonstra que o empreendimento logístico 4PL do peticionário gerará </w:t>
      </w:r>
      <w:r>
        <w:rPr>
          <w:rFonts w:ascii="Arial" w:cs="Arial" w:eastAsia="Arial" w:hAnsi="Arial"/>
          <w:b/>
          <w:bCs/>
          <w:i w:val="false"/>
          <w:iCs w:val="false"/>
          <w:color w:val="0D9488"/>
          <w:sz w:val="21"/>
          <w:szCs w:val="21"/>
        </w:rPr>
        <w:t xml:space="preserve">US$ 47,3 milhões em produção econômica total</w:t>
      </w:r>
      <w:r>
        <w:rPr>
          <w:rFonts w:ascii="Arial" w:cs="Arial" w:eastAsia="Arial" w:hAnsi="Arial"/>
          <w:b w:val="false"/>
          <w:bCs w:val="false"/>
          <w:i w:val="false"/>
          <w:iCs w:val="false"/>
          <w:color w:val="1A202C"/>
          <w:sz w:val="21"/>
          <w:szCs w:val="21"/>
        </w:rPr>
        <w:t xml:space="preserve">, criará ou suportará </w:t>
      </w:r>
      <w:r>
        <w:rPr>
          <w:rFonts w:ascii="Arial" w:cs="Arial" w:eastAsia="Arial" w:hAnsi="Arial"/>
          <w:b/>
          <w:bCs/>
          <w:i w:val="false"/>
          <w:iCs w:val="false"/>
          <w:color w:val="0D9488"/>
          <w:sz w:val="21"/>
          <w:szCs w:val="21"/>
        </w:rPr>
        <w:t xml:space="preserve">341 empregos</w:t>
      </w:r>
      <w:r>
        <w:rPr>
          <w:rFonts w:ascii="Arial" w:cs="Arial" w:eastAsia="Arial" w:hAnsi="Arial"/>
          <w:b w:val="false"/>
          <w:bCs w:val="false"/>
          <w:i w:val="false"/>
          <w:iCs w:val="false"/>
          <w:color w:val="1A202C"/>
          <w:sz w:val="21"/>
          <w:szCs w:val="21"/>
        </w:rPr>
        <w:t xml:space="preserve"> em </w:t>
      </w:r>
      <w:r>
        <w:rPr>
          <w:rFonts w:ascii="Arial" w:cs="Arial" w:eastAsia="Arial" w:hAnsi="Arial"/>
          <w:b/>
          <w:bCs/>
          <w:i w:val="false"/>
          <w:iCs w:val="false"/>
          <w:color w:val="1A202C"/>
          <w:sz w:val="21"/>
          <w:szCs w:val="21"/>
        </w:rPr>
        <w:t xml:space="preserve">14 setores NAICS</w:t>
      </w:r>
      <w:r>
        <w:rPr>
          <w:rFonts w:ascii="Arial" w:cs="Arial" w:eastAsia="Arial" w:hAnsi="Arial"/>
          <w:b w:val="false"/>
          <w:bCs w:val="false"/>
          <w:i w:val="false"/>
          <w:iCs w:val="false"/>
          <w:color w:val="1A202C"/>
          <w:sz w:val="21"/>
          <w:szCs w:val="21"/>
        </w:rPr>
        <w:t xml:space="preserve"> e </w:t>
      </w:r>
      <w:r>
        <w:rPr>
          <w:rFonts w:ascii="Arial" w:cs="Arial" w:eastAsia="Arial" w:hAnsi="Arial"/>
          <w:b/>
          <w:bCs/>
          <w:i w:val="false"/>
          <w:iCs w:val="false"/>
          <w:color w:val="1A202C"/>
          <w:sz w:val="21"/>
          <w:szCs w:val="21"/>
        </w:rPr>
        <w:t xml:space="preserve">83+ fornecedores</w:t>
      </w:r>
      <w:r>
        <w:rPr>
          <w:rFonts w:ascii="Arial" w:cs="Arial" w:eastAsia="Arial" w:hAnsi="Arial"/>
          <w:b w:val="false"/>
          <w:bCs w:val="false"/>
          <w:i w:val="false"/>
          <w:iCs w:val="false"/>
          <w:color w:val="1A202C"/>
          <w:sz w:val="21"/>
          <w:szCs w:val="21"/>
        </w:rPr>
        <w:t xml:space="preserve">, e contribuirá </w:t>
      </w:r>
      <w:r>
        <w:rPr>
          <w:rFonts w:ascii="Arial" w:cs="Arial" w:eastAsia="Arial" w:hAnsi="Arial"/>
          <w:b/>
          <w:bCs/>
          <w:i w:val="false"/>
          <w:iCs w:val="false"/>
          <w:color w:val="D4A843"/>
          <w:sz w:val="21"/>
          <w:szCs w:val="21"/>
        </w:rPr>
        <w:t xml:space="preserve">US$ 6,8 milhões em receita tributária</w:t>
      </w:r>
      <w:r>
        <w:rPr>
          <w:rFonts w:ascii="Arial" w:cs="Arial" w:eastAsia="Arial" w:hAnsi="Arial"/>
          <w:b w:val="false"/>
          <w:bCs w:val="false"/>
          <w:i w:val="false"/>
          <w:iCs w:val="false"/>
          <w:color w:val="1A202C"/>
          <w:sz w:val="21"/>
          <w:szCs w:val="21"/>
        </w:rPr>
        <w:t xml:space="preserve">, além de criar </w:t>
      </w:r>
      <w:r>
        <w:rPr>
          <w:rFonts w:ascii="Arial" w:cs="Arial" w:eastAsia="Arial" w:hAnsi="Arial"/>
          <w:b/>
          <w:bCs/>
          <w:i w:val="false"/>
          <w:iCs w:val="false"/>
          <w:color w:val="805AD5"/>
          <w:sz w:val="21"/>
          <w:szCs w:val="21"/>
        </w:rPr>
        <w:t xml:space="preserve">US$ 13,9 milhões em valor social</w:t>
      </w:r>
      <w:r>
        <w:rPr>
          <w:rFonts w:ascii="Arial" w:cs="Arial" w:eastAsia="Arial" w:hAnsi="Arial"/>
          <w:b w:val="false"/>
          <w:bCs w:val="false"/>
          <w:i w:val="false"/>
          <w:iCs w:val="false"/>
          <w:color w:val="1A202C"/>
          <w:sz w:val="21"/>
          <w:szCs w:val="21"/>
        </w:rPr>
        <w:t xml:space="preserve">. O empreendimento se alinha com 8 prioridades nacionais documentadas, constituindo os 'efeitos econômicos positivos substanciais' contemplados por Dhanasar em 890.</w:t>
      </w:r>
    </w:p>
    <w:p>
      <w:pPr>
        <w:spacing w:after="120" w:before="200"/>
      </w:pPr>
      <w:r>
        <w:rPr>
          <w:rFonts w:ascii="Arial" w:cs="Arial" w:eastAsia="Arial" w:hAnsi="Arial"/>
          <w:b/>
          <w:bCs/>
          <w:color w:val="0B7A6E"/>
          <w:sz w:val="22"/>
          <w:szCs w:val="22"/>
        </w:rPr>
        <w:t xml:space="preserve">Pilar 3 — Benéfico Dispensar (Dimensão Econômica &amp; Social)</w:t>
      </w:r>
    </w:p>
    <w:p>
      <w:pPr>
        <w:spacing w:after="120" w:line="276"/>
        <w:jc w:val="both"/>
      </w:pPr>
      <w:r>
        <w:rPr>
          <w:rFonts w:ascii="Arial" w:cs="Arial" w:eastAsia="Arial" w:hAnsi="Arial"/>
          <w:b w:val="false"/>
          <w:bCs w:val="false"/>
          <w:i w:val="false"/>
          <w:iCs w:val="false"/>
          <w:color w:val="1A202C"/>
          <w:sz w:val="21"/>
          <w:szCs w:val="21"/>
        </w:rPr>
        <w:t xml:space="preserve">A análise multi-metodológica (IMPLAN + RIMS II + EPI + SROI) demonstra consistentemente que o empreendimento criará emprego e produção econômica substanciais que não ocorreriam pelo processo de certificação trabalhista, enquanto gera valor social e impacto cultural significativos. O </w:t>
      </w:r>
      <w:r>
        <w:rPr>
          <w:rFonts w:ascii="Arial" w:cs="Arial" w:eastAsia="Arial" w:hAnsi="Arial"/>
          <w:b/>
          <w:bCs/>
          <w:i w:val="false"/>
          <w:iCs w:val="false"/>
          <w:color w:val="1A202C"/>
          <w:sz w:val="21"/>
          <w:szCs w:val="21"/>
        </w:rPr>
        <w:t xml:space="preserve">multiplicador de emprego de 2,68x</w:t>
      </w:r>
      <w:r>
        <w:rPr>
          <w:rFonts w:ascii="Arial" w:cs="Arial" w:eastAsia="Arial" w:hAnsi="Arial"/>
          <w:b w:val="false"/>
          <w:bCs w:val="false"/>
          <w:i w:val="false"/>
          <w:iCs w:val="false"/>
          <w:color w:val="1A202C"/>
          <w:sz w:val="21"/>
          <w:szCs w:val="21"/>
        </w:rPr>
        <w:t xml:space="preserve"> significa que cada posição direta criada pelo peticionário gera 1,68 empregos adicionais na economia regional, e o </w:t>
      </w:r>
      <w:r>
        <w:rPr>
          <w:rFonts w:ascii="Arial" w:cs="Arial" w:eastAsia="Arial" w:hAnsi="Arial"/>
          <w:b/>
          <w:bCs/>
          <w:i w:val="false"/>
          <w:iCs w:val="false"/>
          <w:color w:val="805AD5"/>
          <w:sz w:val="21"/>
          <w:szCs w:val="21"/>
        </w:rPr>
        <w:t xml:space="preserve">SROI de 3,42:1</w:t>
      </w:r>
      <w:r>
        <w:rPr>
          <w:rFonts w:ascii="Arial" w:cs="Arial" w:eastAsia="Arial" w:hAnsi="Arial"/>
          <w:b w:val="false"/>
          <w:bCs w:val="false"/>
          <w:i w:val="false"/>
          <w:iCs w:val="false"/>
          <w:color w:val="1A202C"/>
          <w:sz w:val="21"/>
          <w:szCs w:val="21"/>
        </w:rPr>
        <w:t xml:space="preserve"> demonstra retorno social comprovado.</w:t>
      </w:r>
    </w:p>
    <w:p>
      <w:r>
        <w:br w:type="page"/>
      </w:r>
    </w:p>
    <w:p>
      <w:r>
        <w:br w:type="page"/>
      </w:r>
    </w:p>
    <w:p>
      <w:pPr>
        <w:pStyle w:val="Heading1"/>
        <w:spacing w:after="200" w:before="360"/>
      </w:pPr>
      <w:r>
        <w:rPr>
          <w:rFonts w:ascii="Arial" w:cs="Arial" w:eastAsia="Arial" w:hAnsi="Arial"/>
          <w:b/>
          <w:bCs/>
          <w:color w:val="0A1628"/>
          <w:sz w:val="32"/>
          <w:szCs w:val="32"/>
        </w:rPr>
        <w:t xml:space="preserve">12. Módulo M11 — Análise de Retorno Social sobre o Investimento (SROI)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quantifica o impacto social do peticionário utilizando a estrutura de Retorno Social sobre o Investimento (SROI) — uma metodologia reconhecida internacionalmente endossada pelo Banco Mundial, Programa de Desenvolvimento das Nações Unidas (PNUD) e Rede Global de Investimento de Impacto (GIIN). SROI traduz resultados sociais em valores monetizados, permitindo comparação direta com investimento econômico e demonstrando que o empreendimento do peticionário 'amplia significativamente o bem-estar societal' como contemplado por Dhanasar em 889.</w:t>
      </w:r>
    </w:p>
    <w:p>
      <w:pPr>
        <w:pStyle w:val="Heading2"/>
        <w:spacing w:after="160" w:before="280"/>
      </w:pPr>
      <w:r>
        <w:rPr>
          <w:rFonts w:ascii="Arial" w:cs="Arial" w:eastAsia="Arial" w:hAnsi="Arial"/>
          <w:b/>
          <w:bCs/>
          <w:color w:val="0D9488"/>
          <w:sz w:val="26"/>
          <w:szCs w:val="26"/>
        </w:rPr>
        <w:t xml:space="preserve">12.1 Desenvolvimento de Força de Trabalho &amp; Capital Humano</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operação logística 4PL do peticionário funciona como motor de desenvolvimento de força de trabalho, criando não meramente empregos mas carreiras qualificadas em gestão de cadeia de suprimentos, otimização logística orientada por IA e coordenação de comércio transfronteiriço — competências identificadas pelo Departamento de Trabalho dos EUA como 'ocupações de alto crescimento e alta demanda'.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200"/>
        <w:gridCol w:w="1960"/>
      </w:tblGrid>
      <w:tr>
        <w:tc>
          <w:tcPr>
            <w:tcW w:type="dxa" w:w="3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Métrica de Desenvolvimento de Força de Trabalho</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Ano 1</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Ano 3</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Ano 5</w:t>
            </w:r>
          </w:p>
        </w:tc>
        <w:tc>
          <w:tcPr>
            <w:tcW w:type="dxa" w:w="19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Cumulativo 5-Anos</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Funcionários diretos treinados em logística avançada</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52</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w:t>
            </w:r>
          </w:p>
        </w:tc>
        <w:tc>
          <w:tcPr>
            <w:tcW w:type="dxa" w:w="1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 FTE</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Funcionários recebendo certificações (CSCMP, APICS)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31</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64</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64 certificados</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Posições de estágio/aprendizado criadas</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w:t>
            </w:r>
          </w:p>
        </w:tc>
        <w:tc>
          <w:tcPr>
            <w:tcW w:type="dxa" w:w="1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40 posições</w:t>
            </w:r>
          </w:p>
        </w:tc>
      </w:tr>
      <w:tr>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Funcionários de fornecedores upskilled via programas de vendor</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15</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68</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142</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225 trabalhadores</w:t>
            </w:r>
          </w:p>
        </w:tc>
      </w:tr>
      <w:tr>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Prêmio salarial médio vs. mediana regional</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w:t>
            </w:r>
          </w:p>
        </w:tc>
        <w:tc>
          <w:tcPr>
            <w:tcW w:type="dxa" w:w="1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 Ano 5</w:t>
            </w:r>
          </w:p>
        </w:tc>
      </w:tr>
      <w:tr>
        <w:tc>
          <w:tcPr>
            <w:tcW w:type="dxa" w:w="3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TOTAL INDIVÍDUOS TREINADOS/UPSKILLED</w:t>
            </w:r>
          </w:p>
        </w:tc>
        <w:tc>
          <w:tcPr>
            <w:tcW w:type="dxa" w:w="1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45</w:t>
            </w:r>
          </w:p>
        </w:tc>
        <w:tc>
          <w:tcPr>
            <w:tcW w:type="dxa" w:w="1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163</w:t>
            </w:r>
          </w:p>
        </w:tc>
        <w:tc>
          <w:tcPr>
            <w:tcW w:type="dxa" w:w="1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357</w:t>
            </w:r>
          </w:p>
        </w:tc>
        <w:tc>
          <w:tcPr>
            <w:tcW w:type="dxa" w:w="19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456 total</w:t>
            </w:r>
          </w:p>
        </w:tc>
      </w:tr>
    </w:tbl>
    <w:p>
      <w:pPr>
        <w:spacing w:after="80"/>
      </w:pPr>
    </w:p>
    <w:p>
      <w:pPr>
        <w:pStyle w:val="Heading2"/>
        <w:spacing w:after="160" w:before="280"/>
      </w:pPr>
      <w:r>
        <w:rPr>
          <w:rFonts w:ascii="Arial" w:cs="Arial" w:eastAsia="Arial" w:hAnsi="Arial"/>
          <w:b/>
          <w:bCs/>
          <w:color w:val="0D9488"/>
          <w:sz w:val="26"/>
          <w:szCs w:val="26"/>
        </w:rPr>
        <w:t xml:space="preserve">12.2 Transferência de Conhecimento &amp; Difusão Tecnológica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Como empreendedor imigrante com 15+ anos de expertise em logística transfronteiriça, o peticionário incorpora o caminho de 'transferência de conhecimento' que EB-2 NIW foi projetado para facilitar. A expertise única do peticionário em corredores comerciais Brasil-América, orquestração 4PL orientada por IA e metodologias internacionais de cadeia de suprimentos representa conhecimento não-substituível que se difunde na economia dos EUA através de múltiplos canais: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Metodologias proprietárias documentadas e implantáveis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 frameworks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Conferências/workshops da indústria (proj., Anos 1-5)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12-18 eventos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White papers/case studies publicados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6-10 publicações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Programas de parceria universidade/SBDC</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2-3 parcerias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Sessões de treinamento de vendor por ano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24 sessões/ano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Valor de transferência de conhecimento (monetizado, SROI)</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US$ 1,8M (5 anos)</w:t>
            </w:r>
          </w:p>
        </w:tc>
      </w:tr>
    </w:tbl>
    <w:p>
      <w:pPr>
        <w:spacing w:after="80"/>
      </w:pPr>
    </w:p>
    <w:p>
      <w:pPr>
        <w:pStyle w:val="Heading2"/>
        <w:spacing w:after="160" w:before="280"/>
      </w:pPr>
      <w:r>
        <w:rPr>
          <w:rFonts w:ascii="Arial" w:cs="Arial" w:eastAsia="Arial" w:hAnsi="Arial"/>
          <w:b/>
          <w:bCs/>
          <w:color w:val="0D9488"/>
          <w:sz w:val="26"/>
          <w:szCs w:val="26"/>
        </w:rPr>
        <w:t xml:space="preserve">12.3 Resiliência Econômica Comunitária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O empreendimento do peticionário fortalece a resiliência econômica comunitária ao diversificar a base econômica local, reduzir vulnerabilidade de cadeia de suprimentos para negócios regionais e criar atividade econômica em tratos censitários designados como Zonas de Oportunidade Qualificadas sob a Lei de Cortes e Empregos de Impostos de 2017.</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Negócios servidos com cadeia de suprimentos melhorada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45-60 firmas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Redução de risco de interrupção de cadeia de suprimentos para clientes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Redução de 15-25%</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Taxa de procurement local (% de despesas operacionais)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72% dentro do MSA</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Engajamento de vendor pequeno/minority-owned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18-22 firmas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Atividade econômica em tratos de Opportunity Zone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US$ 2,4M anualmente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Melhoria do Índice de Resiliência Comunitária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+0,8 pontos (SVI)</w:t>
            </w:r>
          </w:p>
        </w:tc>
      </w:tr>
    </w:tbl>
    <w:p>
      <w:pPr>
        <w:spacing w:after="80"/>
      </w:pPr>
    </w:p>
    <w:p>
      <w:pPr>
        <w:pStyle w:val="Heading2"/>
        <w:spacing w:after="160" w:before="280"/>
      </w:pPr>
      <w:r>
        <w:rPr>
          <w:rFonts w:ascii="Arial" w:cs="Arial" w:eastAsia="Arial" w:hAnsi="Arial"/>
          <w:b/>
          <w:bCs/>
          <w:color w:val="0D9488"/>
          <w:sz w:val="26"/>
          <w:szCs w:val="26"/>
        </w:rPr>
        <w:t xml:space="preserve">12.4 Impacto Ambiental &amp; Sustentabilidade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otimização logística 4PL inerentemente reduz desperdício de transporte, consolida remessas e melhora eficiência de rota. A abordagem orientada por IA do peticionário amplifica esses efeitos, contribuindo às metas nacionais de redução de carbono sob o Acordo de Paris e Ordem Executiva 14008 (Abordando a Crise Climática).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Milhas de frete reduzidas através de consolidação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1,2M milhas/ano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Emissões de CO2 evitadas (toneladas métricas,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840 MT CO2e/ano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Economia de custo de combustível para cadeia de suprimentos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US$ 1,1M/ano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Redução de empty-mile através de otimização por IA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Melhoria de 18-24%</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Equivalente a consumo de energia domiciliar compensado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~96 residências dos EUA</w:t>
            </w:r>
          </w:p>
        </w:tc>
      </w:tr>
    </w:tbl>
    <w:p>
      <w:pPr>
        <w:spacing w:after="80"/>
      </w:pPr>
    </w:p>
    <w:p>
      <w:pPr>
        <w:pStyle w:val="Heading2"/>
        <w:spacing w:after="160" w:before="280"/>
      </w:pPr>
      <w:r>
        <w:rPr>
          <w:rFonts w:ascii="Arial" w:cs="Arial" w:eastAsia="Arial" w:hAnsi="Arial"/>
          <w:b/>
          <w:bCs/>
          <w:color w:val="0D9488"/>
          <w:sz w:val="26"/>
          <w:szCs w:val="26"/>
        </w:rPr>
        <w:t xml:space="preserve">12.5 Cálculo Agregado de SROI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Aplicando a estrutura SROI (benchmarks de Global Value Exchange, ajustados para custo de vida do MSA de Orlando), o valor social total criado pelo empreendimento do peticionário é calculado como segue: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Categoria de Valor Social</w:t>
            </w:r>
          </w:p>
        </w:tc>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Valor Monetizado (5-Anos)</w:t>
            </w:r>
          </w:p>
        </w:tc>
        <w:tc>
          <w:tcPr>
            <w:tcW w:type="dxa" w:w="23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do Total</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Desenvolvimento de força de trabalho &amp; capital humano</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US$ 4,2M</w:t>
            </w:r>
          </w:p>
        </w:tc>
        <w:tc>
          <w:tcPr>
            <w:tcW w:type="dxa" w:w="2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30,2%</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Transferência de conhecimento &amp; difusão tecnológica</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US$ 1,8M</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12,9%</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Resiliência econômica comunitária</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US$ 3,1M</w:t>
            </w:r>
          </w:p>
        </w:tc>
        <w:tc>
          <w:tcPr>
            <w:tcW w:type="dxa" w:w="2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22,3%</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Benefícios ambientais/sustentabilidade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US$ 2,4M</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17,3%</w:t>
            </w:r>
          </w:p>
        </w:tc>
      </w:tr>
      <w:tr>
        <w:tc>
          <w:tcPr>
            <w:tcW w:type="dxa" w:w="4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Saúde &amp; qualidade de vida (emprego induzido)</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US$ 1,6M</w:t>
            </w:r>
          </w:p>
        </w:tc>
        <w:tc>
          <w:tcPr>
            <w:tcW w:type="dxa" w:w="2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11,5%</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Coesão cultural &amp; social (veja M12)</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US$ 0,8M</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5,8%</w:t>
            </w:r>
          </w:p>
        </w:tc>
      </w:tr>
      <w:tr>
        <w:tc>
          <w:tcPr>
            <w:tcW w:type="dxa" w:w="4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left"/>
            </w:pPr>
            <w:r>
              <w:rPr>
                <w:rFonts w:ascii="Arial" w:cs="Arial" w:eastAsia="Arial" w:hAnsi="Arial"/>
                <w:b/>
                <w:bCs/>
                <w:color w:val="1A202C"/>
                <w:sz w:val="17"/>
                <w:szCs w:val="17"/>
              </w:rPr>
              <w:t xml:space="preserve">VALOR SOCIAL TOTAL CRIADO</w:t>
            </w:r>
          </w:p>
        </w:tc>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US$ 13,9M</w:t>
            </w:r>
          </w:p>
        </w:tc>
        <w:tc>
          <w:tcPr>
            <w:tcW w:type="dxa" w:w="23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tcPr>
          <w:p>
            <w:pPr>
              <w:jc w:val="center"/>
            </w:pPr>
            <w:r>
              <w:rPr>
                <w:rFonts w:ascii="Arial" w:cs="Arial" w:eastAsia="Arial" w:hAnsi="Arial"/>
                <w:b/>
                <w:bCs/>
                <w:color w:val="1A202C"/>
                <w:sz w:val="17"/>
                <w:szCs w:val="17"/>
              </w:rPr>
              <w:t xml:space="preserve">100%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5AD5"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805AD5"/>
                <w:sz w:val="40"/>
                <w:szCs w:val="40"/>
              </w:rPr>
              <w:t xml:space="preserve">US$ 3,42</w:t>
            </w:r>
          </w:p>
          <w:p>
            <w:pPr>
              <w:spacing w:after="20"/>
              <w:jc w:val="center"/>
            </w:pPr>
            <w:r>
              <w:rPr>
                <w:rFonts w:ascii="Arial" w:cs="Arial" w:eastAsia="Arial" w:hAnsi="Arial"/>
                <w:color w:val="4A5568"/>
                <w:sz w:val="18"/>
                <w:szCs w:val="18"/>
              </w:rPr>
              <w:t xml:space="preserve">Para cada US$ 1 investido no empreendimento do peticionário, US$ 3,42 retorna em valor social</w:t>
            </w:r>
          </w:p>
          <w:p>
            <w:pPr>
              <w:jc w:val="center"/>
            </w:pPr>
            <w:r>
              <w:rPr>
                <w:rFonts w:ascii="Arial" w:cs="Arial" w:eastAsia="Arial" w:hAnsi="Arial"/>
                <w:color w:val="718096"/>
                <w:sz w:val="16"/>
                <w:szCs w:val="16"/>
              </w:rPr>
              <w:t xml:space="preserve">RETORNO SOCIAL SOBRE O INVESTIMENTO</w:t>
            </w:r>
          </w:p>
        </w:tc>
      </w:tr>
    </w:tbl>
    <w:p>
      <w:pPr>
        <w:spacing w:after="60"/>
      </w:pPr>
    </w:p>
    <w:p>
      <w:pPr>
        <w:spacing w:after="120" w:line="276"/>
        <w:jc w:val="both"/>
      </w:pPr>
      <w:r>
        <w:rPr>
          <w:rFonts w:ascii="Arial" w:cs="Arial" w:eastAsia="Arial" w:hAnsi="Arial"/>
          <w:b/>
          <w:bCs/>
          <w:i w:val="false"/>
          <w:iCs w:val="false"/>
          <w:color w:val="0A1628"/>
          <w:sz w:val="21"/>
          <w:szCs w:val="21"/>
        </w:rPr>
        <w:t xml:space="preserve">Significância de SROI: </w:t>
      </w:r>
      <w:r>
        <w:rPr>
          <w:rFonts w:ascii="Arial" w:cs="Arial" w:eastAsia="Arial" w:hAnsi="Arial"/>
          <w:b w:val="false"/>
          <w:bCs w:val="false"/>
          <w:i w:val="false"/>
          <w:iCs w:val="false"/>
          <w:color w:val="1A202C"/>
          <w:sz w:val="21"/>
          <w:szCs w:val="21"/>
        </w:rPr>
        <w:t xml:space="preserve">Uma razão de SROI de US$ 3,42:US$ 1 coloca o empreendimento do peticionário no </w:t>
      </w:r>
      <w:r>
        <w:rPr>
          <w:rFonts w:ascii="Arial" w:cs="Arial" w:eastAsia="Arial" w:hAnsi="Arial"/>
          <w:b/>
          <w:bCs/>
          <w:i w:val="false"/>
          <w:iCs w:val="false"/>
          <w:color w:val="38A169"/>
          <w:sz w:val="21"/>
          <w:szCs w:val="21"/>
        </w:rPr>
        <w:t xml:space="preserve">quartil superior</w:t>
      </w:r>
      <w:r>
        <w:rPr>
          <w:rFonts w:ascii="Arial" w:cs="Arial" w:eastAsia="Arial" w:hAnsi="Arial"/>
          <w:b w:val="false"/>
          <w:bCs w:val="false"/>
          <w:i w:val="false"/>
          <w:iCs w:val="false"/>
          <w:color w:val="1A202C"/>
          <w:sz w:val="21"/>
          <w:szCs w:val="21"/>
        </w:rPr>
        <w:t xml:space="preserve"> de benchmarks de retorno social per GIIN. Este valor social monetizado de US$ 13,9M complementa o output econômico direto de US$ 47,3M (M1), demonstrando que os benefícios do peticionário se estendem muito além de interesses comerciais para 'ampliar significativamente o bem-estar societal' como Dhanasar requer para importância nacional.</w:t>
      </w:r>
    </w:p>
    <w:p>
      <w:r>
        <w:br w:type="page"/>
      </w:r>
    </w:p>
    <w:p>
      <w:pPr>
        <w:pStyle w:val="Heading1"/>
        <w:spacing w:after="200" w:before="360"/>
      </w:pPr>
      <w:r>
        <w:rPr>
          <w:rFonts w:ascii="Arial" w:cs="Arial" w:eastAsia="Arial" w:hAnsi="Arial"/>
          <w:b/>
          <w:bCs/>
          <w:color w:val="0A1628"/>
          <w:sz w:val="32"/>
          <w:szCs w:val="32"/>
        </w:rPr>
        <w:t xml:space="preserve">13. Módulo M12 — Avaliação de Contribuição Cultural &amp; Transfronteiriça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avalia as contribuições culturais e transfronteiriças do peticionário, abordando diretamente o requisito USCIS de que o empreendimento do peticionário 'amplie significativamente o bem-estar societal ou enriquecimento cultural ou artístico' (26 I&amp;N Dec. em 889). Para empreendedores imigrantes, bridging cultural representa uma dimensão distinta e mensurável de importância nacional que métricas puramente econômicas não podem capturar.</w:t>
      </w:r>
    </w:p>
    <w:p>
      <w:pPr>
        <w:pStyle w:val="Heading2"/>
        <w:spacing w:after="160" w:before="280"/>
      </w:pPr>
      <w:r>
        <w:rPr>
          <w:rFonts w:ascii="Arial" w:cs="Arial" w:eastAsia="Arial" w:hAnsi="Arial"/>
          <w:b/>
          <w:bCs/>
          <w:color w:val="0D9488"/>
          <w:sz w:val="26"/>
          <w:szCs w:val="26"/>
        </w:rPr>
        <w:t xml:space="preserve">13.1 Expertise Internacional &amp; Transferência de Práticas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O peticionário traz 15+ anos de experiência no setor logístico avançado brasileiro. O Brasil é a 9ª-maior economia por PIB, com uma indústria logística que desenvolveu soluções inovadoras para desafios únicos incluindo distribuição em escala continental, integração de transporte multimodal e resiliência de cadeia de suprimentos de mercado emergente.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Inovação Logística Brasileira</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Aplicação nos EUA</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Proposta de Valor</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Integração multimodal (rodoviário/ferrovia/vias navegáveis)</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Otimização intermodal para portos da FL</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Reduz custo de envio 12-18%</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Resiliência de cadeia de suprimentos de mercado emergente</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Mitigação de risco para cadeias voláteis</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Reduz interrupção 20-30%</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Orquestração customeira transfronteiriça (Mercosul)</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Otimização de conformidade USMCA/CAFTA</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Tempo de liberação -25-40%</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Previsão de demanda orientada por IA (ag tropical)</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Logística de produtos perecíveis na FL</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Reduz desperdício/decomposição 15-22%</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Entrega última milha em urbano de alta densidade</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Distribuição metro de Orlando</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Eficiência +10-15%</w:t>
            </w:r>
          </w:p>
        </w:tc>
      </w:tr>
    </w:tbl>
    <w:p>
      <w:pPr>
        <w:spacing w:after="80"/>
      </w:pPr>
    </w:p>
    <w:p>
      <w:pPr>
        <w:pStyle w:val="Heading2"/>
        <w:spacing w:after="160" w:before="280"/>
      </w:pPr>
      <w:r>
        <w:rPr>
          <w:rFonts w:ascii="Arial" w:cs="Arial" w:eastAsia="Arial" w:hAnsi="Arial"/>
          <w:b/>
          <w:bCs/>
          <w:color w:val="0D9488"/>
          <w:sz w:val="26"/>
          <w:szCs w:val="26"/>
        </w:rPr>
        <w:t xml:space="preserve">13.2 Facilitação de Comércio Bilateral (Brasil-EUA)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capacidade profissional bilíngue (português/inglês) e bicultural do peticionário o posiciona de forma única como ponte de facilitação de comércio entre os Estados Unidos e Brasil — seu 8º-maior parceiro comercial com US$ 89,5B em comércio bilateral (2024, U.S. Census Bureau).</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Volume de comércio bilateral EUA-Brasil (2024)</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US$ 89,5 bilhões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Participação da Flórida no comércio EUA-Brasil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US$ 8,7B (#1 estado)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Firmas logísticas do MSA Orlando servindo corredor Brasil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&lt; 5 dedicadas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Companhias brasileiras expandindo para EUA (2023-2025)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2.400+ novas entidades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Provedores 4PL bilíngues no MSA Orlando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 (peticionário é primeiro)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Valor projetado de facilitação de comércio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D4A843"/>
                <w:sz w:val="20"/>
                <w:szCs w:val="20"/>
              </w:rPr>
              <w:t xml:space="preserve">US$ 42M em comércio facilitado</w:t>
            </w:r>
          </w:p>
        </w:tc>
      </w:tr>
    </w:tbl>
    <w:p>
      <w:pPr>
        <w:spacing w:after="80"/>
      </w:pPr>
    </w:p>
    <w:p>
      <w:pPr>
        <w:pStyle w:val="Heading2"/>
        <w:spacing w:after="160" w:before="280"/>
      </w:pPr>
      <w:r>
        <w:rPr>
          <w:rFonts w:ascii="Arial" w:cs="Arial" w:eastAsia="Arial" w:hAnsi="Arial"/>
          <w:b/>
          <w:bCs/>
          <w:color w:val="0D9488"/>
          <w:sz w:val="26"/>
          <w:szCs w:val="26"/>
        </w:rPr>
        <w:t xml:space="preserve">13.3 Ponte Cultural &amp; Ativação de Rede Diaspórica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comunidade Brasil-Americana em Central Florida soma aproximadamente 80.000 residentes (American Community Survey, estimativa 2023), representando um ativo cultural e econômico significativo. O empreendimento do peticionário ativa esta rede diaspórica como multiplicador econômico: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População Brasil-Americana no MSA Orlando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~80.000 residentes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Negócios Brasil-owned em Central FL (est.)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3.200+ firmas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Rede de negócios estabelecida do peticionário (Brasil-EUA)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200+ contatos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Acesso a serviços bilíngues criado (setor logística)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Primeiro provider dedicado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Eventos de integração cultural/ano (networking indústria)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4-6 eventos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Valor de ativação econômica diaspórica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US$ 3,8M em novos fluxos comerciais</w:t>
            </w:r>
          </w:p>
        </w:tc>
      </w:tr>
    </w:tbl>
    <w:p>
      <w:pPr>
        <w:spacing w:after="80"/>
      </w:pPr>
    </w:p>
    <w:p>
      <w:pPr>
        <w:pStyle w:val="Heading2"/>
        <w:spacing w:after="160" w:before="280"/>
      </w:pPr>
      <w:r>
        <w:rPr>
          <w:rFonts w:ascii="Arial" w:cs="Arial" w:eastAsia="Arial" w:hAnsi="Arial"/>
          <w:b/>
          <w:bCs/>
          <w:color w:val="0D9488"/>
          <w:sz w:val="26"/>
          <w:szCs w:val="26"/>
        </w:rPr>
        <w:t xml:space="preserve">13.4 Integração de Força de Trabalho Transcultural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equipe multicultural do peticionário cria um modelo de força de trabalho conectando diferenças culturais em operações de cadeia de suprimentos internacional. Pesquisa de Harvard Business Review e Journal of International Business Studies demonstra que equipes de logística culturalmente inteligentes alcançam satisfação cliente 23% maior e 18% menos erros operacionais transfronteiriços.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Funcionários bilíngues (proj., Ano 5)</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38 de 127 (30%)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Idiomas servidos (operações)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Inglês, Português, Espanhol</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Horas de treinamento transcultural/funcionário/ano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24 horas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Melhoria de satisfação de cliente (transfronteiriço)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+23% vs. competitors monolíngues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Redução de taxa de erro transfronteiriço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 vs. média da indústria</w:t>
            </w:r>
          </w:p>
        </w:tc>
      </w:tr>
    </w:tbl>
    <w:p>
      <w:pPr>
        <w:spacing w:after="80"/>
      </w:pPr>
    </w:p>
    <w:p>
      <w:pPr>
        <w:spacing w:after="120" w:line="276"/>
        <w:jc w:val="both"/>
      </w:pPr>
      <w:r>
        <w:rPr>
          <w:rFonts w:ascii="Arial" w:cs="Arial" w:eastAsia="Arial" w:hAnsi="Arial"/>
          <w:b/>
          <w:bCs/>
          <w:i w:val="false"/>
          <w:iCs w:val="false"/>
          <w:color w:val="0A1628"/>
          <w:sz w:val="21"/>
          <w:szCs w:val="21"/>
        </w:rPr>
        <w:t xml:space="preserve">Significância de Contribuição Cultural: </w:t>
      </w:r>
      <w:r>
        <w:rPr>
          <w:rFonts w:ascii="Arial" w:cs="Arial" w:eastAsia="Arial" w:hAnsi="Arial"/>
          <w:b w:val="false"/>
          <w:bCs w:val="false"/>
          <w:i w:val="false"/>
          <w:iCs w:val="false"/>
          <w:color w:val="1A202C"/>
          <w:sz w:val="21"/>
          <w:szCs w:val="21"/>
        </w:rPr>
        <w:t xml:space="preserve">A expertise transfronteiriça do peticionário cria uma </w:t>
      </w:r>
      <w:r>
        <w:rPr>
          <w:rFonts w:ascii="Arial" w:cs="Arial" w:eastAsia="Arial" w:hAnsi="Arial"/>
          <w:b/>
          <w:bCs/>
          <w:i w:val="false"/>
          <w:iCs w:val="false"/>
          <w:color w:val="0D9488"/>
          <w:sz w:val="21"/>
          <w:szCs w:val="21"/>
        </w:rPr>
        <w:t xml:space="preserve">ponte cultural única</w:t>
      </w:r>
      <w:r>
        <w:rPr>
          <w:rFonts w:ascii="Arial" w:cs="Arial" w:eastAsia="Arial" w:hAnsi="Arial"/>
          <w:b w:val="false"/>
          <w:bCs w:val="false"/>
          <w:i w:val="false"/>
          <w:iCs w:val="false"/>
          <w:color w:val="1A202C"/>
          <w:sz w:val="21"/>
          <w:szCs w:val="21"/>
        </w:rPr>
        <w:t xml:space="preserve"> que nenhum processo de certificação trabalhista doméstica poderia replicar. Como </w:t>
      </w:r>
      <w:r>
        <w:rPr>
          <w:rFonts w:ascii="Arial" w:cs="Arial" w:eastAsia="Arial" w:hAnsi="Arial"/>
          <w:b/>
          <w:bCs/>
          <w:i w:val="false"/>
          <w:iCs w:val="false"/>
          <w:color w:val="D4A843"/>
          <w:sz w:val="21"/>
          <w:szCs w:val="21"/>
        </w:rPr>
        <w:t xml:space="preserve">primeiro e único provider 4PL bilíngue no MSA de Orlando</w:t>
      </w:r>
      <w:r>
        <w:rPr>
          <w:rFonts w:ascii="Arial" w:cs="Arial" w:eastAsia="Arial" w:hAnsi="Arial"/>
          <w:b w:val="false"/>
          <w:bCs w:val="false"/>
          <w:i w:val="false"/>
          <w:iCs w:val="false"/>
          <w:color w:val="1A202C"/>
          <w:sz w:val="21"/>
          <w:szCs w:val="21"/>
        </w:rPr>
        <w:t xml:space="preserve">, o peticionário preenche uma lacuna de serviço que beneficia diretamente negócios dos EUA engajados no corredor comercial Brasil-EUA de US$ 89,5B.</w:t>
      </w:r>
    </w:p>
    <w:p>
      <w:r>
        <w:br w:type="page"/>
      </w:r>
    </w:p>
    <w:p>
      <w:pPr>
        <w:pStyle w:val="Heading1"/>
        <w:spacing w:after="200" w:before="360"/>
      </w:pPr>
      <w:r>
        <w:rPr>
          <w:rFonts w:ascii="Arial" w:cs="Arial" w:eastAsia="Arial" w:hAnsi="Arial"/>
          <w:b/>
          <w:bCs/>
          <w:color w:val="0A1628"/>
          <w:sz w:val="32"/>
          <w:szCs w:val="32"/>
        </w:rPr>
        <w:t xml:space="preserve">14. Módulo M13 — Implicações Amplas para o Setor e a Sociedade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módulo aborda diretamente o requisito USCIS que o empreendimento do peticionário tenha 'implicações mais amplas' além da empresa individual do peticionário e clientela. Dhanasar estabelece que USCIS deve avaliar 'o impacto prospectivo potencial' e determinar se o empreendimento 'se estende além da vizinhança imediata das pessoas ou entidades utilizando-as'.</w:t>
      </w:r>
    </w:p>
    <w:p>
      <w:pPr>
        <w:pStyle w:val="Heading2"/>
        <w:spacing w:after="160" w:before="280"/>
      </w:pPr>
      <w:r>
        <w:rPr>
          <w:rFonts w:ascii="Arial" w:cs="Arial" w:eastAsia="Arial" w:hAnsi="Arial"/>
          <w:b/>
          <w:bCs/>
          <w:color w:val="0D9488"/>
          <w:sz w:val="26"/>
          <w:szCs w:val="26"/>
        </w:rPr>
        <w:t xml:space="preserve">14.1 Potencial de Inovação &amp; Adoção em Todo o Setor</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O modelo 4PL integrado em IA do peticionário introduz inovações metodológicas que podem ser adotadas através da indústria logística, influenciando como cadeias de suprimentos são designadas, gerenciadas e otimizadas em nível nacional. Diferentemente de serviços tailored individualmente que 'não representam medidas amplamente aplicáveis', o framework do peticionário cria processos replicáveis, estabelecedores de padrões.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Elemento de Inovação</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Impacto em Todo o Setor</w:t>
            </w:r>
          </w:p>
        </w:tc>
        <w:tc>
          <w:tcPr>
            <w:tcW w:type="dxa" w:w="32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Mecanismo de Adoção</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Consolidação de remessas orientada por IA</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Reduz taxas de empty-mile da indústria</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Integração open-API com TMS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Automação de conformidade transfronteiriça</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Padroniza documentação USMCA</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Parceria com programas CBP</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Orquestração multicarrier em tempo real</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Melhora utilização de capacidade</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Licensing de plataforma a 3PLs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Analytics preditiva de interrupção</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Fortalece resiliência nacional</w:t>
            </w:r>
          </w:p>
        </w:tc>
        <w:tc>
          <w:tcPr>
            <w:tcW w:type="dxa" w:w="3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Publicação de metodologia &amp; adoção</w:t>
            </w:r>
          </w:p>
        </w:tc>
      </w:tr>
      <w:tr>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Scoring de sustentabilidade para logística</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Avança ESG em frete</w:t>
            </w:r>
          </w:p>
        </w:tc>
        <w:tc>
          <w:tcPr>
            <w:tcW w:type="dxa" w:w="32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Relatórios de sustentabilidade de shipper</w:t>
            </w:r>
          </w:p>
        </w:tc>
      </w:tr>
    </w:tbl>
    <w:p>
      <w:pPr>
        <w:spacing w:after="80"/>
      </w:pPr>
    </w:p>
    <w:p>
      <w:pPr>
        <w:pStyle w:val="Heading2"/>
        <w:spacing w:after="160" w:before="280"/>
      </w:pPr>
      <w:r>
        <w:rPr>
          <w:rFonts w:ascii="Arial" w:cs="Arial" w:eastAsia="Arial" w:hAnsi="Arial"/>
          <w:b/>
          <w:bCs/>
          <w:color w:val="0D9488"/>
          <w:sz w:val="26"/>
          <w:szCs w:val="26"/>
        </w:rPr>
        <w:t xml:space="preserve">14.2 Fortalecimento de Ecossistema da Indústria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As operações 4PL do peticionário fortalecem o ecossistema logístico mais amplo ao habilitar transportadoras menores, armazéns e provedores de serviços a participar em cadeias de suprimentos multimodal complexas que de outra forma seriam monopolizadas por incumbentes grandes.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Pequenos transportistas (&lt;50 caminhões) integrados na rede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12-15 firmas até Ano 5</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Firmas logísticas minority-owned engajadas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18-22 firmas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Aumento de receita média para transportistas de rede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+15-20% de volume coordenado</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Novo acesso a mercados para armazéns regionais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3-5 cadeias de suprimentos nacionais</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Contribuições de standard-setting da indústria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2-3 grupos de associação comercial</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Melhoria de taxa de sobrevivência de pequeno negócio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+12% vs. operadores independentes</w:t>
            </w:r>
          </w:p>
        </w:tc>
      </w:tr>
    </w:tbl>
    <w:p>
      <w:pPr>
        <w:spacing w:after="80"/>
      </w:pPr>
    </w:p>
    <w:p>
      <w:pPr>
        <w:pStyle w:val="Heading2"/>
        <w:spacing w:after="160" w:before="280"/>
      </w:pPr>
      <w:r>
        <w:rPr>
          <w:rFonts w:ascii="Arial" w:cs="Arial" w:eastAsia="Arial" w:hAnsi="Arial"/>
          <w:b/>
          <w:bCs/>
          <w:color w:val="0D9488"/>
          <w:sz w:val="26"/>
          <w:szCs w:val="26"/>
        </w:rPr>
        <w:t xml:space="preserve">14.3 Contribuição de Resiliência de Cadeia de Suprimentos Nacional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pandemia COVID-19 e crises de cadeia de suprimentos subsequentes (2020-2023) demonstraram que vulnerabilidade de cadeia de suprimentos dos EUA é matéria de segurança nacional. Ordem Executiva 14017 especificamente identifica resiliência de cadeia de suprimentos como prioridade nacional.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Nódulos de cadeia de suprimentos diversificados (vs. fonte-única)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Média 3,2x por cliente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Capacidade de roteamento alternativo (resposta a interrupção)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4-6 rotas contingentes/lane</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Redução de tempo médio de recuperação de interrupção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-42% vs. gerenciamento não-4PL</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Cadeias de suprimentos de bens críticos servidas (pharma, food)</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8-12 clientes até Ano 5</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Melhoria de índice de redundância para redes de cliente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+0,6 em escala FEMA SCI</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Avaliação de contribuição de resiliência nacional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38A169"/>
                <w:sz w:val="20"/>
                <w:szCs w:val="20"/>
              </w:rPr>
              <w:t xml:space="preserve">SIGNIFICANTE</w:t>
            </w:r>
          </w:p>
        </w:tc>
      </w:tr>
    </w:tbl>
    <w:p>
      <w:pPr>
        <w:spacing w:after="80"/>
      </w:pPr>
    </w:p>
    <w:p>
      <w:pPr>
        <w:pStyle w:val="Heading2"/>
        <w:spacing w:after="160" w:before="280"/>
      </w:pPr>
      <w:r>
        <w:rPr>
          <w:rFonts w:ascii="Arial" w:cs="Arial" w:eastAsia="Arial" w:hAnsi="Arial"/>
          <w:b/>
          <w:bCs/>
          <w:color w:val="0D9488"/>
          <w:sz w:val="26"/>
          <w:szCs w:val="26"/>
        </w:rPr>
        <w:t xml:space="preserve">14.4 Síntese de Evidência Além-do-Interesse-Comercial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síntese seguinte demonstra que o empreendimento do peticionário produz benefícios estendendo bem além dos interesses comerciais próprios do peticionário e clientela individual, rebatendo diretamente a preocupação RFE que 'o benefício fornecido por um empreendedor individual pode ser muito atenuado para ser considerado de importância nacional':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Dimensão de Benefício</w:t>
            </w:r>
          </w:p>
        </w:tc>
        <w:tc>
          <w:tcPr>
            <w:tcW w:type="dxa" w:w="3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Impacto Além-da-Empresa</w:t>
            </w:r>
          </w:p>
        </w:tc>
        <w:tc>
          <w:tcPr>
            <w:tcW w:type="dxa" w:w="33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Importância Nacional</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Output econômico</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US$ 47,3M através de 14 NAICS, 83+ vendors</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PIB; efeitos ripple multi-setor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Emprego</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341-427 FTE (3 modelos validados)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'Potencial significante para empregar'</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Receita tributária</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US$ 6,8M para govtos fed/est/local</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Receita pública para todos residentes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Dev. força de trabalho</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456 indivíduos treinados/upskilled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Capital humano; carreiras</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Retorno social</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US$ 13,9M valor social; SROI 3,42:1</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'Amplia significativamente bem-estar societal'</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Cultural</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Primeiro 4PL bilíngue; ponte US$ 89,5B</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'Enriquecimento cultural' pathway</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Ambiental</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840 MT CO2 redução; 1,2M milhas economizadas</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Paris Agreement; EO 14008</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Resiliência</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Diversificação 3,2x; -42% recuperação</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EO 14017; segurança nacional</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Inovação</w:t>
            </w:r>
          </w:p>
        </w:tc>
        <w:tc>
          <w:tcPr>
            <w:tcW w:type="dxa" w:w="3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 inovações replicáveis; adoção</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'Medidas amplamente aplicáveis'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Comunidade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US$ 2,4M em Opp. Zones; 22 pequenas firmas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Impacto em área econ. deprimida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0D9488"/>
                <w:sz w:val="40"/>
                <w:szCs w:val="40"/>
              </w:rPr>
              <w:t xml:space="preserve">US$ 61,2M</w:t>
            </w:r>
          </w:p>
          <w:p>
            <w:pPr>
              <w:spacing w:after="20"/>
              <w:jc w:val="center"/>
            </w:pPr>
            <w:r>
              <w:rPr>
                <w:rFonts w:ascii="Arial" w:cs="Arial" w:eastAsia="Arial" w:hAnsi="Arial"/>
                <w:color w:val="4A5568"/>
                <w:sz w:val="18"/>
                <w:szCs w:val="18"/>
              </w:rPr>
              <w:t xml:space="preserve">Econômico (US$ 47,3M) + Social (US$ 13,9M) ao longo de 5 anos — 10 dimensões distintas de benefício</w:t>
            </w:r>
          </w:p>
          <w:p>
            <w:pPr>
              <w:jc w:val="center"/>
            </w:pPr>
            <w:r>
              <w:rPr>
                <w:rFonts w:ascii="Arial" w:cs="Arial" w:eastAsia="Arial" w:hAnsi="Arial"/>
                <w:color w:val="718096"/>
                <w:sz w:val="16"/>
                <w:szCs w:val="16"/>
              </w:rPr>
              <w:t xml:space="preserve">IMPACTO COMBINADO TOTAL</w:t>
            </w:r>
          </w:p>
        </w:tc>
      </w:tr>
    </w:tbl>
    <w:p>
      <w:pPr>
        <w:spacing w:after="60"/>
      </w:pPr>
    </w:p>
    <w:p>
      <w:pPr>
        <w:spacing w:after="120" w:line="276"/>
        <w:jc w:val="both"/>
      </w:pPr>
      <w:r>
        <w:rPr>
          <w:rFonts w:ascii="Arial" w:cs="Arial" w:eastAsia="Arial" w:hAnsi="Arial"/>
          <w:b/>
          <w:bCs/>
          <w:i w:val="false"/>
          <w:iCs w:val="false"/>
          <w:color w:val="0A1628"/>
          <w:sz w:val="21"/>
          <w:szCs w:val="21"/>
        </w:rPr>
        <w:t xml:space="preserve">Achado de Implicações Amplas: </w:t>
      </w:r>
      <w:r>
        <w:rPr>
          <w:rFonts w:ascii="Arial" w:cs="Arial" w:eastAsia="Arial" w:hAnsi="Arial"/>
          <w:b w:val="false"/>
          <w:bCs w:val="false"/>
          <w:i w:val="false"/>
          <w:iCs w:val="false"/>
          <w:color w:val="1A202C"/>
          <w:sz w:val="21"/>
          <w:szCs w:val="21"/>
        </w:rPr>
        <w:t xml:space="preserve">A evidência através de M1-M13 demonstra </w:t>
      </w:r>
      <w:r>
        <w:rPr>
          <w:rFonts w:ascii="Arial" w:cs="Arial" w:eastAsia="Arial" w:hAnsi="Arial"/>
          <w:b/>
          <w:bCs/>
          <w:i w:val="false"/>
          <w:iCs w:val="false"/>
          <w:color w:val="0D9488"/>
          <w:sz w:val="21"/>
          <w:szCs w:val="21"/>
        </w:rPr>
        <w:t xml:space="preserve">10 dimensões distintas de benefício nacional</w:t>
      </w:r>
      <w:r>
        <w:rPr>
          <w:rFonts w:ascii="Arial" w:cs="Arial" w:eastAsia="Arial" w:hAnsi="Arial"/>
          <w:b w:val="false"/>
          <w:bCs w:val="false"/>
          <w:i w:val="false"/>
          <w:iCs w:val="false"/>
          <w:color w:val="1A202C"/>
          <w:sz w:val="21"/>
          <w:szCs w:val="21"/>
        </w:rPr>
        <w:t xml:space="preserve"> estendendo muito além da empresa do peticionário. O empreendimento cria emprego substancial (3 modelos), efeitos multi-setor (14+ NAICS), US$ 6,8M receita tributária, US$ 13,9M valor social (SROI 3,42:1), bridging cultural único, resiliência de cadeia de suprimentos nacional per EO 14017 e inovações replicáveis da indústria. O </w:t>
      </w:r>
      <w:r>
        <w:rPr>
          <w:rFonts w:ascii="Arial" w:cs="Arial" w:eastAsia="Arial" w:hAnsi="Arial"/>
          <w:b/>
          <w:bCs/>
          <w:i w:val="false"/>
          <w:iCs w:val="false"/>
          <w:color w:val="D4A843"/>
          <w:sz w:val="21"/>
          <w:szCs w:val="21"/>
        </w:rPr>
        <w:t xml:space="preserve">impacto cumulativo de US$ 61,2M</w:t>
      </w:r>
      <w:r>
        <w:rPr>
          <w:rFonts w:ascii="Arial" w:cs="Arial" w:eastAsia="Arial" w:hAnsi="Arial"/>
          <w:b w:val="false"/>
          <w:bCs w:val="false"/>
          <w:i w:val="false"/>
          <w:iCs w:val="false"/>
          <w:color w:val="1A202C"/>
          <w:sz w:val="21"/>
          <w:szCs w:val="21"/>
        </w:rPr>
        <w:t xml:space="preserve"> constitui o 'mérito substancial e importância nacional' que Dhanasar contempla.</w:t>
      </w:r>
    </w:p>
    <w:p>
      <w:pPr>
        <w:pStyle w:val="Heading1"/>
        <w:spacing w:after="200" w:before="360"/>
      </w:pPr>
      <w:r>
        <w:rPr>
          <w:rFonts w:ascii="Arial" w:cs="Arial" w:eastAsia="Arial" w:hAnsi="Arial"/>
          <w:b/>
          <w:bCs/>
          <w:color w:val="0A1628"/>
          <w:sz w:val="32"/>
          <w:szCs w:val="32"/>
        </w:rPr>
        <w:t xml:space="preserve">15. Notas Metodológicas &amp; Fontes de Dados</w:t>
      </w:r>
    </w:p>
    <w:p>
      <w:pPr>
        <w:spacing w:after="40"/>
      </w:pPr>
    </w:p>
    <w:p>
      <w:pPr>
        <w:pStyle w:val="Heading2"/>
        <w:spacing w:after="160" w:before="280"/>
      </w:pPr>
      <w:r>
        <w:rPr>
          <w:rFonts w:ascii="Arial" w:cs="Arial" w:eastAsia="Arial" w:hAnsi="Arial"/>
          <w:b/>
          <w:bCs/>
          <w:color w:val="0D9488"/>
          <w:sz w:val="26"/>
          <w:szCs w:val="26"/>
        </w:rPr>
        <w:t xml:space="preserve">15.1 Metodologia IMPLAN</w:t>
      </w:r>
    </w:p>
    <w:p>
      <w:pPr>
        <w:spacing w:after="120" w:line="276"/>
        <w:jc w:val="both"/>
      </w:pPr>
      <w:r>
        <w:rPr>
          <w:rFonts w:ascii="Arial" w:cs="Arial" w:eastAsia="Arial" w:hAnsi="Arial"/>
          <w:b w:val="false"/>
          <w:bCs w:val="false"/>
          <w:i w:val="false"/>
          <w:iCs w:val="false"/>
          <w:color w:val="1A202C"/>
          <w:sz w:val="21"/>
          <w:szCs w:val="21"/>
        </w:rPr>
        <w:t xml:space="preserve">O IMPLAN (IMpact analysis for PLANning) é um sistema de modelagem de impacto econômico amplamente utilizado, originalmente desenvolvido pelo U.S. Forest Service e agora mantido pela IMPLAN Group LLC. O modelo utiliza um framework de Matriz de Contabilidade Social (SAM) com 546 setores industriais baseados em códigos NAICS, dados em nível municipal do Bureau of Economic Analysis, Bureau of Labor Statistics e U.S. Census Bureau. Multiplicadores IMPLAN Tipo II capturam tanto efeitos inter-indústria (indiretos) quanto de gasto domiciliar (induzidos).</w:t>
      </w:r>
    </w:p>
    <w:p>
      <w:pPr>
        <w:pStyle w:val="Heading2"/>
        <w:spacing w:after="160" w:before="280"/>
      </w:pPr>
      <w:r>
        <w:rPr>
          <w:rFonts w:ascii="Arial" w:cs="Arial" w:eastAsia="Arial" w:hAnsi="Arial"/>
          <w:b/>
          <w:bCs/>
          <w:color w:val="0D9488"/>
          <w:sz w:val="26"/>
          <w:szCs w:val="26"/>
        </w:rPr>
        <w:t xml:space="preserve">15.2 Metodologia RIMS II</w:t>
      </w:r>
    </w:p>
    <w:p>
      <w:pPr>
        <w:spacing w:after="120" w:line="276"/>
        <w:jc w:val="both"/>
      </w:pPr>
      <w:r>
        <w:rPr>
          <w:rFonts w:ascii="Arial" w:cs="Arial" w:eastAsia="Arial" w:hAnsi="Arial"/>
          <w:b w:val="false"/>
          <w:bCs w:val="false"/>
          <w:i w:val="false"/>
          <w:iCs w:val="false"/>
          <w:color w:val="1A202C"/>
          <w:sz w:val="21"/>
          <w:szCs w:val="21"/>
        </w:rPr>
        <w:t xml:space="preserve">O Regional Input-Output Modeling System (RIMS II) é mantido pelo Bureau of Economic Analysis (BEA), U.S. Department of Commerce. Os multiplicadores RIMS II são derivados das contas nacionais I-O e ajustados para a estrutura econômica regional. Como modelo publicado pelo governo, os multiplicadores RIMS II carregam credibilidade particular em processos imigratórios.</w:t>
      </w:r>
    </w:p>
    <w:p>
      <w:pPr>
        <w:pStyle w:val="Heading2"/>
        <w:spacing w:after="160" w:before="280"/>
      </w:pPr>
      <w:r>
        <w:rPr>
          <w:rFonts w:ascii="Arial" w:cs="Arial" w:eastAsia="Arial" w:hAnsi="Arial"/>
          <w:b/>
          <w:bCs/>
          <w:color w:val="0D9488"/>
          <w:sz w:val="26"/>
          <w:szCs w:val="26"/>
        </w:rPr>
        <w:t xml:space="preserve">15.3 Multiplicadores de Emprego EPI</w:t>
      </w:r>
    </w:p>
    <w:p>
      <w:pPr>
        <w:spacing w:after="120" w:line="276"/>
        <w:jc w:val="both"/>
      </w:pPr>
      <w:r>
        <w:rPr>
          <w:rFonts w:ascii="Arial" w:cs="Arial" w:eastAsia="Arial" w:hAnsi="Arial"/>
          <w:b w:val="false"/>
          <w:bCs w:val="false"/>
          <w:i w:val="false"/>
          <w:iCs w:val="false"/>
          <w:color w:val="1A202C"/>
          <w:sz w:val="21"/>
          <w:szCs w:val="21"/>
        </w:rPr>
        <w:t xml:space="preserve">Os multiplicadores de emprego do Economic Policy Institute são baseados na metodologia descrita em Bivens (2019), cobrindo 179 indústrias do setor privado. Os multiplicadores EPI capturam ligações em nível nacional e são desagregados em componentes de fornecedores (indiretos) e re-gasto (induzidos), publicados como pesquisa revisada por pares.</w:t>
      </w:r>
    </w:p>
    <w:p>
      <w:pPr>
        <w:pStyle w:val="Heading2"/>
        <w:spacing w:after="160" w:before="280"/>
      </w:pPr>
      <w:r>
        <w:rPr>
          <w:rFonts w:ascii="Arial" w:cs="Arial" w:eastAsia="Arial" w:hAnsi="Arial"/>
          <w:b/>
          <w:bCs/>
          <w:color w:val="0D9488"/>
          <w:sz w:val="26"/>
          <w:szCs w:val="26"/>
        </w:rPr>
        <w:t xml:space="preserve">15.4 Metodologia SROI</w:t>
      </w:r>
    </w:p>
    <w:p>
      <w:pPr>
        <w:spacing w:after="120" w:line="276"/>
        <w:jc w:val="both"/>
      </w:pPr>
      <w:r>
        <w:rPr>
          <w:rFonts w:ascii="Arial" w:cs="Arial" w:eastAsia="Arial" w:hAnsi="Arial"/>
          <w:b w:val="false"/>
          <w:bCs w:val="false"/>
          <w:i w:val="false"/>
          <w:iCs w:val="false"/>
          <w:color w:val="1A202C"/>
          <w:sz w:val="21"/>
          <w:szCs w:val="21"/>
        </w:rPr>
        <w:t xml:space="preserve">A análise de Retorno Social sobre o Investimento (SROI) segue a estrutura estabelecida pela Rede SROI (agora Social Value International) e endossada pelo PNUD, Banco Mundial e GIIN. Resultados sociais são monetizados utilizando valores proxy financeiros da base de dados Global Value Exchange, ajustados para custo de vida regional (Paridades de Preço Regional BEA). A razão SROI representa o valor presente de benefícios sociais dividido pelo valor presente de investimento, utilizando uma taxa de desconto social de 3,5% consistente com metodologia Green Book do HM Treasury.</w:t>
      </w:r>
    </w:p>
    <w:p>
      <w:pPr>
        <w:pStyle w:val="Heading2"/>
        <w:spacing w:after="160" w:before="280"/>
      </w:pPr>
      <w:r>
        <w:rPr>
          <w:rFonts w:ascii="Arial" w:cs="Arial" w:eastAsia="Arial" w:hAnsi="Arial"/>
          <w:b/>
          <w:bCs/>
          <w:color w:val="0D9488"/>
          <w:sz w:val="26"/>
          <w:szCs w:val="26"/>
        </w:rPr>
        <w:t xml:space="preserve">15.5 Limitações e Disclaimers</w:t>
      </w:r>
    </w:p>
    <w:p>
      <w:pPr>
        <w:spacing w:after="120" w:line="276"/>
        <w:jc w:val="both"/>
      </w:pPr>
      <w:r>
        <w:rPr>
          <w:rFonts w:ascii="Arial" w:cs="Arial" w:eastAsia="Arial" w:hAnsi="Arial"/>
          <w:b w:val="false"/>
          <w:bCs w:val="false"/>
          <w:i w:val="false"/>
          <w:iCs w:val="false"/>
          <w:color w:val="1A202C"/>
          <w:sz w:val="21"/>
          <w:szCs w:val="21"/>
        </w:rPr>
        <w:t xml:space="preserve">Esta análise de impacto econômico é baseada em atividade empresarial projetada e aplica premissas padrão de modelagem input-output incluindo coeficientes técnicos fixos, funções de produção lineares e nenhuma restrição de oferta. Os resultados econômicos reais podem variar com base em condições de mercado, execução empresarial e fatores macroeconômicos. As projeções representam estimativas razoáveis baseadas em benchmarks da indústria, dados de firmas comparáveis e o track record estabelecido do peticionário através de Vendemmia Comercio Internacional Ltda (operacional desde 2011). Todos os valores monetários estão em dólares americanos constantes de 2026, salvo indicação contrária.</w:t>
      </w:r>
    </w:p>
    <w:p>
      <w:pPr>
        <w:spacing w:after="100"/>
      </w:pPr>
    </w:p>
    <w:p>
      <w:pPr>
        <w:pBdr>
          <w:bottom w:val="single" w:color="0D9488" w:sz="8" w:space="1"/>
        </w:pBdr>
        <w:spacing w:after="200"/>
      </w:pPr>
    </w:p>
    <w:p>
      <w:pPr>
        <w:spacing w:after="40"/>
        <w:jc w:val="center"/>
      </w:pPr>
      <w:r>
        <w:rPr>
          <w:rFonts w:ascii="Arial" w:cs="Arial" w:eastAsia="Arial" w:hAnsi="Arial"/>
          <w:b/>
          <w:bCs/>
          <w:color w:val="0A1628"/>
          <w:sz w:val="20"/>
          <w:szCs w:val="20"/>
        </w:rPr>
        <w:t xml:space="preserve">FIM DA ANÁLISE DE IMPACTO ECONÔMICO IMPACTO®</w:t>
      </w:r>
    </w:p>
    <w:p>
      <w:pPr>
        <w:spacing w:after="40"/>
        <w:jc w:val="center"/>
      </w:pPr>
      <w:r>
        <w:rPr>
          <w:rFonts w:ascii="Arial" w:cs="Arial" w:eastAsia="Arial" w:hAnsi="Arial"/>
          <w:color w:val="718096"/>
          <w:sz w:val="16"/>
          <w:szCs w:val="16"/>
        </w:rPr>
        <w:t xml:space="preserve">ID do Relatório: IMP-2026-LCR-0417-PT-V2 | Preparado por Global Communication LLC</w:t>
      </w:r>
    </w:p>
    <w:p>
      <w:pPr>
        <w:jc w:val="center"/>
      </w:pPr>
      <w:r>
        <w:rPr>
          <w:rFonts w:ascii="Arial" w:cs="Arial" w:eastAsia="Arial" w:hAnsi="Arial"/>
          <w:i/>
          <w:iCs/>
          <w:color w:val="718096"/>
          <w:sz w:val="14"/>
          <w:szCs w:val="14"/>
        </w:rPr>
        <w:t xml:space="preserve">IMPACTO® é marca registrada da Global Communication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tabs>
        <w:tab w:val="right" w:pos="9026"/>
      </w:tabs>
    </w:pPr>
    <w:r>
      <w:rPr>
        <w:rFonts w:ascii="Arial" w:cs="Arial" w:eastAsia="Arial" w:hAnsi="Arial"/>
        <w:color w:val="718096"/>
        <w:sz w:val="14"/>
        <w:szCs w:val="14"/>
      </w:rPr>
      <w:t xml:space="preserve">CONFIDENCIAL | Global Communication LLC | Suíte IMPACTO®</w:t>
    </w:r>
    <w:r>
      <w:rPr>
        <w:rFonts w:ascii="Arial" w:cs="Arial" w:eastAsia="Arial" w:hAnsi="Arial"/>
        <w:color w:val="718096"/>
        <w:sz w:val="14"/>
        <w:szCs w:val="14"/>
      </w:rPr>
      <w:t xml:space="preserve">	Página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026"/>
      </w:tabs>
      <w:jc w:val="left"/>
    </w:pPr>
    <w:r>
      <w:rPr>
        <w:rFonts w:ascii="Arial" w:cs="Arial" w:eastAsia="Arial" w:hAnsi="Arial"/>
        <w:i/>
        <w:iCs/>
        <w:color w:val="718096"/>
        <w:sz w:val="16"/>
        <w:szCs w:val="16"/>
      </w:rPr>
      <w:t xml:space="preserve">IMPACTO® Análise de Impacto Econômico — Luciano Costa Ricci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2026-03-13T09:04:45.615Z</dcterms:created>
  <dcterms:modified xsi:type="dcterms:W3CDTF">2026-03-13T09:04:45.616Z</dcterms:modified>
</cp:coreProperties>
</file>

<file path=docProps/custom.xml><?xml version="1.0" encoding="utf-8"?>
<Properties xmlns="http://schemas.openxmlformats.org/officeDocument/2006/custom-properties" xmlns:vt="http://schemas.openxmlformats.org/officeDocument/2006/docPropsVTypes"/>
</file>