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0"/>
        <w:jc w:val="center"/>
      </w:pPr>
      <w:r>
        <w:rPr>
          <w:rFonts w:ascii="Arial" w:cs="Arial" w:eastAsia="Arial" w:hAnsi="Arial"/>
          <w:b/>
          <w:bCs/>
          <w:color w:val="0A1628"/>
          <w:sz w:val="64"/>
          <w:szCs w:val="64"/>
        </w:rPr>
        <w:t xml:space="preserve">IMPACTO®</w:t>
      </w:r>
    </w:p>
    <w:p>
      <w:pPr>
        <w:spacing w:after="200"/>
        <w:jc w:val="center"/>
      </w:pPr>
      <w:r>
        <w:rPr>
          <w:rFonts w:ascii="Arial" w:cs="Arial" w:eastAsia="Arial" w:hAnsi="Arial"/>
          <w:b/>
          <w:bCs/>
          <w:color w:val="00A3CC"/>
          <w:sz w:val="36"/>
          <w:szCs w:val="36"/>
        </w:rPr>
        <w:t xml:space="preserve">REACTOR</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none" w:color="FFFFFF" w:sz="0"/>
              <w:left w:val="none" w:color="FFFFFF" w:sz="0"/>
              <w:bottom w:val="single" w:color="00A3CC" w:sz="6"/>
              <w:right w:val="none" w:color="FFFFFF" w:sz="0"/>
            </w:tcBorders>
          </w:tcPr>
          <w:p>
            <w:pPr>
              <w:spacing w:after="0"/>
              <w:jc w:val="center"/>
            </w:pPr>
          </w:p>
        </w:tc>
      </w:tr>
    </w:tbl>
    <w:p>
      <w:pPr>
        <w:spacing w:after="60"/>
      </w:pPr>
    </w:p>
    <w:p>
      <w:pPr>
        <w:spacing w:after="60"/>
        <w:jc w:val="center"/>
      </w:pPr>
      <w:r>
        <w:rPr>
          <w:rFonts w:ascii="Arial" w:cs="Arial" w:eastAsia="Arial" w:hAnsi="Arial"/>
          <w:color w:val="1A2744"/>
          <w:sz w:val="24"/>
          <w:szCs w:val="24"/>
        </w:rPr>
        <w:t xml:space="preserve">Economic Impact Intelligence Suite</w:t>
      </w:r>
    </w:p>
    <w:p>
      <w:pPr>
        <w:spacing w:after="200"/>
        <w:jc w:val="center"/>
      </w:pPr>
      <w:r>
        <w:rPr>
          <w:rFonts w:ascii="Arial" w:cs="Arial" w:eastAsia="Arial" w:hAnsi="Arial"/>
          <w:color w:val="475569"/>
          <w:sz w:val="20"/>
          <w:szCs w:val="20"/>
        </w:rPr>
        <w:t xml:space="preserve">Guia Explicativo do Produto</w:t>
      </w:r>
    </w:p>
    <w:p>
      <w:pPr>
        <w:spacing w:after="60"/>
      </w:pPr>
    </w:p>
    <w:p>
      <w:pPr>
        <w:spacing w:after="60"/>
        <w:jc w:val="center"/>
      </w:pPr>
      <w:r>
        <w:rPr>
          <w:rFonts w:ascii="Arial" w:cs="Arial" w:eastAsia="Arial" w:hAnsi="Arial"/>
          <w:i/>
          <w:iCs/>
          <w:color w:val="475569"/>
          <w:sz w:val="20"/>
          <w:szCs w:val="20"/>
        </w:rPr>
        <w:t xml:space="preserve">Evidência Econômica Científica para EB-2 NIW</w:t>
      </w:r>
    </w:p>
    <w:p>
      <w:pPr>
        <w:spacing w:after="60"/>
      </w:pPr>
    </w:p>
    <w:p>
      <w:pPr>
        <w:spacing w:after="60"/>
        <w:jc w:val="center"/>
      </w:pPr>
      <w:r>
        <w:rPr>
          <w:rFonts w:ascii="Arial" w:cs="Arial" w:eastAsia="Arial" w:hAnsi="Arial"/>
          <w:color w:val="475569"/>
          <w:sz w:val="18"/>
          <w:szCs w:val="18"/>
        </w:rPr>
        <w:t xml:space="preserve">Metodologia Tripla  •  Validação Cruzada  •  Blindagem contra RFE</w:t>
      </w:r>
    </w:p>
    <w:p>
      <w:pPr>
        <w:spacing w:after="60"/>
      </w:pPr>
    </w:p>
    <w:p>
      <w:pPr>
        <w:spacing w:after="60"/>
      </w:pPr>
    </w:p>
    <w:p>
      <w:pPr>
        <w:jc w:val="center"/>
      </w:pPr>
      <w:r>
        <w:rPr>
          <w:rFonts w:ascii="Arial" w:cs="Arial" w:eastAsia="Arial" w:hAnsi="Arial"/>
          <w:b/>
          <w:bCs/>
          <w:color w:val="B91C1C"/>
          <w:sz w:val="16"/>
          <w:szCs w:val="16"/>
        </w:rPr>
        <w:t xml:space="preserve">CONFIDENCIAL</w:t>
      </w:r>
    </w:p>
    <w:p>
      <w:r>
        <w:br w:type="page"/>
      </w:r>
    </w:p>
    <w:p>
      <w:pPr>
        <w:pBdr>
          <w:bottom w:val="single" w:color="00A3CC" w:sz="4" w:space="6"/>
        </w:pBdr>
        <w:spacing w:after="40" w:before="60"/>
      </w:pPr>
      <w:r>
        <w:rPr>
          <w:rFonts w:ascii="Arial" w:cs="Arial" w:eastAsia="Arial" w:hAnsi="Arial"/>
          <w:b/>
          <w:bCs/>
          <w:color w:val="00A3CC"/>
          <w:sz w:val="16"/>
          <w:szCs w:val="16"/>
        </w:rPr>
        <w:t xml:space="preserve">01  </w:t>
      </w:r>
      <w:r>
        <w:rPr>
          <w:rFonts w:ascii="Arial" w:cs="Arial" w:eastAsia="Arial" w:hAnsi="Arial"/>
          <w:b/>
          <w:bCs/>
          <w:color w:val="00A3CC"/>
          <w:sz w:val="16"/>
          <w:szCs w:val="16"/>
        </w:rPr>
        <w:t xml:space="preserve">VISÃO GERAL</w:t>
      </w:r>
    </w:p>
    <w:p>
      <w:pPr>
        <w:spacing w:after="40"/>
      </w:pPr>
    </w:p>
    <w:p>
      <w:pPr>
        <w:pStyle w:val="Heading1"/>
        <w:spacing w:after="180" w:before="320"/>
      </w:pPr>
      <w:r>
        <w:rPr>
          <w:rFonts w:ascii="Arial" w:cs="Arial" w:eastAsia="Arial" w:hAnsi="Arial"/>
          <w:b/>
          <w:bCs/>
          <w:color w:val="0A1628"/>
          <w:sz w:val="30"/>
          <w:szCs w:val="30"/>
        </w:rPr>
        <w:t xml:space="preserve">O Que é o IMPACTO® Reactor?</w:t>
      </w:r>
    </w:p>
    <w:p>
      <w:pPr>
        <w:spacing w:after="120" w:before="0"/>
        <w:jc w:val="both"/>
      </w:pPr>
      <w:r>
        <w:rPr>
          <w:rFonts w:ascii="Arial" w:cs="Arial" w:eastAsia="Arial" w:hAnsi="Arial"/>
          <w:b w:val="false"/>
          <w:bCs w:val="false"/>
          <w:i w:val="false"/>
          <w:iCs w:val="false"/>
          <w:color w:val="1E293B"/>
          <w:sz w:val="21"/>
          <w:szCs w:val="21"/>
        </w:rPr>
        <w:t xml:space="preserve">O IMPACTO® Reactor é uma suíte proprietária de análise de impacto econômico projetada para fortalecer petições EB-2 NIW (National Interest Waiver). Ele transforma dados econômicos brutos em evidências quantitativas robustas e tecnicamente fundamentadas que demonstram que o empreendimento do peticionário gera efeitos econômicos positivos substanciais, conforme exigido pelo framework Matter of Dhanasar.</w:t>
      </w:r>
    </w:p>
    <w:p>
      <w:pPr>
        <w:spacing w:after="120" w:before="0"/>
        <w:jc w:val="both"/>
      </w:pPr>
      <w:r>
        <w:rPr>
          <w:rFonts w:ascii="Arial" w:cs="Arial" w:eastAsia="Arial" w:hAnsi="Arial"/>
          <w:b w:val="false"/>
          <w:bCs w:val="false"/>
          <w:i w:val="false"/>
          <w:iCs w:val="false"/>
          <w:color w:val="1E293B"/>
          <w:sz w:val="21"/>
          <w:szCs w:val="21"/>
        </w:rPr>
        <w:t xml:space="preserve">Em termos simples: o IMPACTO® Reactor responde com números concretos às perguntas que o USCIS faz em praticamente toda RFE de EB-2 NIW — “Quantos empregos? Quanto em impostos? Qual o impacto real na economia americana?” — usando as mesmas ferramentas que o próprio governo utiliza para avaliar políticas públicas.</w:t>
      </w:r>
    </w:p>
    <w:p>
      <w:pPr>
        <w:spacing w:after="120" w:before="0"/>
        <w:jc w:val="both"/>
      </w:pPr>
      <w:r>
        <w:rPr>
          <w:rFonts w:ascii="Arial" w:cs="Arial" w:eastAsia="Arial" w:hAnsi="Arial"/>
          <w:b w:val="false"/>
          <w:bCs w:val="false"/>
          <w:i w:val="false"/>
          <w:iCs w:val="false"/>
          <w:color w:val="1E293B"/>
          <w:sz w:val="21"/>
          <w:szCs w:val="21"/>
        </w:rPr>
        <w:t xml:space="preserve">O Reactor utiliza até três metodologias econômicas independentes (IMPLAN, RIMS II e EPI) para calcular impactos diretos, indiretos e induzidos do empreendimento. Quando múltiplos modelos convergem nos resultados, a evidência ganha um grau de robustez técnica que fortalece significativamente a petição.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3CC" w:sz="1"/>
              <w:left w:val="single" w:color="00A3CC" w:sz="8"/>
              <w:bottom w:val="single" w:color="00A3CC" w:sz="1"/>
              <w:right w:val="single" w:color="00A3CC" w:sz="1"/>
            </w:tcBorders>
            <w:shd w:fill="E8F4F8" w:val="clear"/>
            <w:tcMar>
              <w:top w:type="dxa" w:w="120"/>
              <w:left w:type="dxa" w:w="200"/>
              <w:bottom w:type="dxa" w:w="120"/>
              <w:right w:type="dxa" w:w="200"/>
            </w:tcMar>
          </w:tcPr>
          <w:p>
            <w:pPr>
              <w:jc w:val="both"/>
            </w:pPr>
            <w:r>
              <w:rPr>
                <w:rFonts w:ascii="Arial" w:cs="Arial" w:eastAsia="Arial" w:hAnsi="Arial"/>
                <w:i/>
                <w:iCs/>
                <w:color w:val="0A1628"/>
                <w:sz w:val="20"/>
                <w:szCs w:val="20"/>
              </w:rPr>
              <w:t xml:space="preserve">O IMPACTO® Reactor não é um business plan. Não é uma carta de recomendação. É uma análise econômica científica baseada em modelos de referência do Bureau of Economic Analysis e do U.S. Department of Commerce. Se o business plan é o “argumento”, o Reactor é a “prova pericial”.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8F4F8" w:val="clear"/>
            <w:tcMar>
              <w:top w:type="dxa" w:w="100"/>
              <w:left w:type="dxa" w:w="150"/>
              <w:bottom w:type="dxa" w:w="100"/>
              <w:right w:type="dxa" w:w="150"/>
            </w:tcMar>
          </w:tcPr>
          <w:p>
            <w:r>
              <w:rPr>
                <w:rFonts w:ascii="Arial" w:cs="Arial" w:eastAsia="Arial" w:hAnsi="Arial"/>
                <w:b/>
                <w:bCs/>
                <w:color w:val="0A1628"/>
                <w:sz w:val="20"/>
                <w:szCs w:val="20"/>
              </w:rPr>
              <w:t xml:space="preserve">Científico</w:t>
            </w:r>
          </w:p>
          <w:p>
            <w:pPr>
              <w:spacing w:after="0"/>
            </w:pPr>
            <w:r>
              <w:rPr>
                <w:rFonts w:ascii="Arial" w:cs="Arial" w:eastAsia="Arial" w:hAnsi="Arial"/>
                <w:color w:val="475569"/>
                <w:sz w:val="18"/>
                <w:szCs w:val="18"/>
              </w:rPr>
              <w:t xml:space="preserve">Baseado em modelos econométricos de referência utilizados pelo governo federal americano para avaliar políticas públicas.</w:t>
            </w:r>
          </w:p>
        </w:tc>
        <w:tc>
          <w:tcPr>
            <w:tcW w:type="dxa" w:w="4680"/>
            <w:tcBorders>
              <w:top w:val="single" w:color="CBD5E1" w:sz="1"/>
              <w:left w:val="single" w:color="CBD5E1" w:sz="1"/>
              <w:bottom w:val="single" w:color="CBD5E1" w:sz="1"/>
              <w:right w:val="single" w:color="CBD5E1" w:sz="1"/>
            </w:tcBorders>
            <w:shd w:fill="E8F4F8" w:val="clear"/>
            <w:tcMar>
              <w:top w:type="dxa" w:w="100"/>
              <w:left w:type="dxa" w:w="150"/>
              <w:bottom w:type="dxa" w:w="100"/>
              <w:right w:type="dxa" w:w="150"/>
            </w:tcMar>
          </w:tcPr>
          <w:p>
            <w:r>
              <w:rPr>
                <w:rFonts w:ascii="Arial" w:cs="Arial" w:eastAsia="Arial" w:hAnsi="Arial"/>
                <w:b/>
                <w:bCs/>
                <w:color w:val="0A1628"/>
                <w:sz w:val="20"/>
                <w:szCs w:val="20"/>
              </w:rPr>
              <w:t xml:space="preserve">Multi-Validado</w:t>
            </w:r>
          </w:p>
          <w:p>
            <w:pPr>
              <w:spacing w:after="0"/>
            </w:pPr>
            <w:r>
              <w:rPr>
                <w:rFonts w:ascii="Arial" w:cs="Arial" w:eastAsia="Arial" w:hAnsi="Arial"/>
                <w:color w:val="475569"/>
                <w:sz w:val="18"/>
                <w:szCs w:val="18"/>
              </w:rPr>
              <w:t xml:space="preserve">Validação cruzada entre até 3 metodologias independentes (IMPLAN, RIMS II, EPI).</w:t>
            </w:r>
          </w:p>
        </w:tc>
      </w:tr>
      <w:tr>
        <w:tc>
          <w:tcPr>
            <w:tcW w:type="dxa" w:w="4680"/>
            <w:tcBorders>
              <w:top w:val="single" w:color="CBD5E1" w:sz="1"/>
              <w:left w:val="single" w:color="CBD5E1" w:sz="1"/>
              <w:bottom w:val="single" w:color="CBD5E1" w:sz="1"/>
              <w:right w:val="single" w:color="CBD5E1" w:sz="1"/>
            </w:tcBorders>
            <w:shd w:fill="E8F4F8" w:val="clear"/>
            <w:tcMar>
              <w:top w:type="dxa" w:w="100"/>
              <w:left w:type="dxa" w:w="150"/>
              <w:bottom w:type="dxa" w:w="100"/>
              <w:right w:type="dxa" w:w="150"/>
            </w:tcMar>
          </w:tcPr>
          <w:p>
            <w:r>
              <w:rPr>
                <w:rFonts w:ascii="Arial" w:cs="Arial" w:eastAsia="Arial" w:hAnsi="Arial"/>
                <w:b/>
                <w:bCs/>
                <w:color w:val="0A1628"/>
                <w:sz w:val="20"/>
                <w:szCs w:val="20"/>
              </w:rPr>
              <w:t xml:space="preserve">Anti-RFE</w:t>
            </w:r>
          </w:p>
          <w:p>
            <w:pPr>
              <w:spacing w:after="0"/>
            </w:pPr>
            <w:r>
              <w:rPr>
                <w:rFonts w:ascii="Arial" w:cs="Arial" w:eastAsia="Arial" w:hAnsi="Arial"/>
                <w:color w:val="475569"/>
                <w:sz w:val="18"/>
                <w:szCs w:val="18"/>
              </w:rPr>
              <w:t xml:space="preserve">Cada módulo foi projetado para responder a objeções específicas que aparecem em RFEs de EB-2 NIW.</w:t>
            </w:r>
          </w:p>
        </w:tc>
        <w:tc>
          <w:tcPr>
            <w:tcW w:type="dxa" w:w="4680"/>
            <w:tcBorders>
              <w:top w:val="single" w:color="CBD5E1" w:sz="1"/>
              <w:left w:val="single" w:color="CBD5E1" w:sz="1"/>
              <w:bottom w:val="single" w:color="CBD5E1" w:sz="1"/>
              <w:right w:val="single" w:color="CBD5E1" w:sz="1"/>
            </w:tcBorders>
            <w:shd w:fill="E8F4F8" w:val="clear"/>
            <w:tcMar>
              <w:top w:type="dxa" w:w="100"/>
              <w:left w:type="dxa" w:w="150"/>
              <w:bottom w:type="dxa" w:w="100"/>
              <w:right w:type="dxa" w:w="150"/>
            </w:tcMar>
          </w:tcPr>
          <w:p>
            <w:r>
              <w:rPr>
                <w:rFonts w:ascii="Arial" w:cs="Arial" w:eastAsia="Arial" w:hAnsi="Arial"/>
                <w:b/>
                <w:bCs/>
                <w:color w:val="0A1628"/>
                <w:sz w:val="20"/>
                <w:szCs w:val="20"/>
              </w:rPr>
              <w:t xml:space="preserve">Modular</w:t>
            </w:r>
          </w:p>
          <w:p>
            <w:pPr>
              <w:spacing w:after="0"/>
            </w:pPr>
            <w:r>
              <w:rPr>
                <w:rFonts w:ascii="Arial" w:cs="Arial" w:eastAsia="Arial" w:hAnsi="Arial"/>
                <w:color w:val="475569"/>
                <w:sz w:val="18"/>
                <w:szCs w:val="18"/>
              </w:rPr>
              <w:t xml:space="preserve">10 módulos independentes que podem ser combinados conforme a complexidade do caso.</w:t>
            </w:r>
          </w:p>
        </w:tc>
      </w:tr>
    </w:tbl>
    <w:p>
      <w:r>
        <w:br w:type="page"/>
      </w:r>
    </w:p>
    <w:p>
      <w:pPr>
        <w:pBdr>
          <w:bottom w:val="single" w:color="00A3CC" w:sz="4" w:space="6"/>
        </w:pBdr>
        <w:spacing w:after="40" w:before="60"/>
      </w:pPr>
      <w:r>
        <w:rPr>
          <w:rFonts w:ascii="Arial" w:cs="Arial" w:eastAsia="Arial" w:hAnsi="Arial"/>
          <w:b/>
          <w:bCs/>
          <w:color w:val="00A3CC"/>
          <w:sz w:val="16"/>
          <w:szCs w:val="16"/>
        </w:rPr>
        <w:t xml:space="preserve">02  </w:t>
      </w:r>
      <w:r>
        <w:rPr>
          <w:rFonts w:ascii="Arial" w:cs="Arial" w:eastAsia="Arial" w:hAnsi="Arial"/>
          <w:b/>
          <w:bCs/>
          <w:color w:val="00A3CC"/>
          <w:sz w:val="16"/>
          <w:szCs w:val="16"/>
        </w:rPr>
        <w:t xml:space="preserve">O PROBLEMA</w:t>
      </w:r>
    </w:p>
    <w:p>
      <w:pPr>
        <w:spacing w:after="40"/>
      </w:pPr>
    </w:p>
    <w:p>
      <w:pPr>
        <w:pStyle w:val="Heading1"/>
        <w:spacing w:after="180" w:before="320"/>
      </w:pPr>
      <w:r>
        <w:rPr>
          <w:rFonts w:ascii="Arial" w:cs="Arial" w:eastAsia="Arial" w:hAnsi="Arial"/>
          <w:b/>
          <w:bCs/>
          <w:color w:val="0A1628"/>
          <w:sz w:val="30"/>
          <w:szCs w:val="30"/>
        </w:rPr>
        <w:t xml:space="preserve">Por Que o IMPACTO® Reactor Existe?</w:t>
      </w:r>
    </w:p>
    <w:p>
      <w:pPr>
        <w:pStyle w:val="Heading2"/>
        <w:spacing w:after="120" w:before="240"/>
      </w:pPr>
      <w:r>
        <w:rPr>
          <w:rFonts w:ascii="Arial" w:cs="Arial" w:eastAsia="Arial" w:hAnsi="Arial"/>
          <w:b/>
          <w:bCs/>
          <w:color w:val="1A2744"/>
          <w:sz w:val="24"/>
          <w:szCs w:val="24"/>
        </w:rPr>
        <w:t xml:space="preserve">Colapso nas Aprovações EB-2 NIW</w:t>
      </w:r>
    </w:p>
    <w:p>
      <w:pPr>
        <w:spacing w:after="120" w:before="0"/>
        <w:jc w:val="both"/>
      </w:pPr>
      <w:r>
        <w:rPr>
          <w:rFonts w:ascii="Arial" w:cs="Arial" w:eastAsia="Arial" w:hAnsi="Arial"/>
          <w:b w:val="false"/>
          <w:bCs w:val="false"/>
          <w:i w:val="false"/>
          <w:iCs w:val="false"/>
          <w:color w:val="1E293B"/>
          <w:sz w:val="21"/>
          <w:szCs w:val="21"/>
        </w:rPr>
        <w:t xml:space="preserve">A taxa de aprovação de petições EB-2 NIW caiu de mais de 90% historicamente para apenas 43,31% no FY2024. Embora tenha apresentado recuperação parcial para aproximadamente 62–67% nos primeiros trimestres do FY2025, o cenário continua significativamente mais desafiador do que o histórico recente.</w:t>
      </w:r>
    </w:p>
    <w:p>
      <w:pPr>
        <w:spacing w:after="120" w:before="0"/>
        <w:jc w:val="both"/>
      </w:pPr>
      <w:r>
        <w:rPr>
          <w:rFonts w:ascii="Arial" w:cs="Arial" w:eastAsia="Arial" w:hAnsi="Arial"/>
          <w:b w:val="false"/>
          <w:bCs w:val="false"/>
          <w:i w:val="false"/>
          <w:iCs w:val="false"/>
          <w:color w:val="1E293B"/>
          <w:sz w:val="21"/>
          <w:szCs w:val="21"/>
        </w:rPr>
        <w:t xml:space="preserve">Essa queda não é aleatória. O USCIS está exigindo um patamar de evidência substancialmente mais elevado, com foco em dados quantitativos que demonstrem impacto econômico concreto. Petições que no passado seriam aprovadas com base apenas em argumentos qualitativos agora recebem RFE ou são indeferidas.</w:t>
      </w:r>
    </w:p>
    <w:p>
      <w:pPr>
        <w:spacing w:after="120" w:before="0"/>
        <w:jc w:val="both"/>
      </w:pPr>
      <w:r>
        <w:rPr>
          <w:rFonts w:ascii="Arial" w:cs="Arial" w:eastAsia="Arial" w:hAnsi="Arial"/>
          <w:b w:val="false"/>
          <w:bCs w:val="false"/>
          <w:i w:val="false"/>
          <w:iCs w:val="false"/>
          <w:color w:val="1E293B"/>
          <w:sz w:val="21"/>
          <w:szCs w:val="21"/>
        </w:rPr>
        <w:t xml:space="preserve">As principais razões para indeferimentos e RFEs estão concentradas na falta de evidências quantitativas:</w:t>
      </w:r>
    </w:p>
    <w:p>
      <w:pPr>
        <w:pStyle w:val="ListParagraph"/>
        <w:numPr>
          <w:ilvl w:val="0"/>
          <w:numId w:val="2"/>
        </w:numPr>
        <w:spacing w:after="80"/>
      </w:pPr>
      <w:r>
        <w:rPr>
          <w:rFonts w:ascii="Arial" w:cs="Arial" w:eastAsia="Arial" w:hAnsi="Arial"/>
          <w:color w:val="1E293B"/>
          <w:sz w:val="20"/>
          <w:szCs w:val="20"/>
        </w:rPr>
        <w:t xml:space="preserve">Nenhuma projeção de criação de empregos fornecida</w:t>
      </w:r>
    </w:p>
    <w:p>
      <w:pPr>
        <w:pStyle w:val="ListParagraph"/>
        <w:numPr>
          <w:ilvl w:val="0"/>
          <w:numId w:val="2"/>
        </w:numPr>
        <w:spacing w:after="80"/>
      </w:pPr>
      <w:r>
        <w:rPr>
          <w:rFonts w:ascii="Arial" w:cs="Arial" w:eastAsia="Arial" w:hAnsi="Arial"/>
          <w:color w:val="1E293B"/>
          <w:sz w:val="20"/>
          <w:szCs w:val="20"/>
        </w:rPr>
        <w:t xml:space="preserve">Nenhum dado de receita tributária apresentado</w:t>
      </w:r>
    </w:p>
    <w:p>
      <w:pPr>
        <w:pStyle w:val="ListParagraph"/>
        <w:numPr>
          <w:ilvl w:val="0"/>
          <w:numId w:val="2"/>
        </w:numPr>
        <w:spacing w:after="80"/>
      </w:pPr>
      <w:r>
        <w:rPr>
          <w:rFonts w:ascii="Arial" w:cs="Arial" w:eastAsia="Arial" w:hAnsi="Arial"/>
          <w:color w:val="1E293B"/>
          <w:sz w:val="20"/>
          <w:szCs w:val="20"/>
        </w:rPr>
        <w:t xml:space="preserve">Nenhuma demonstração de que o impacto vai além da empresa individual</w:t>
      </w:r>
    </w:p>
    <w:p>
      <w:pPr>
        <w:pStyle w:val="ListParagraph"/>
        <w:numPr>
          <w:ilvl w:val="0"/>
          <w:numId w:val="2"/>
        </w:numPr>
        <w:spacing w:after="80"/>
      </w:pPr>
      <w:r>
        <w:rPr>
          <w:rFonts w:ascii="Arial" w:cs="Arial" w:eastAsia="Arial" w:hAnsi="Arial"/>
          <w:color w:val="1E293B"/>
          <w:sz w:val="20"/>
          <w:szCs w:val="20"/>
        </w:rPr>
        <w:t xml:space="preserve">Nenhuma evidência de alinhamento com prioridades nacionais</w:t>
      </w:r>
    </w:p>
    <w:p>
      <w:pPr>
        <w:pStyle w:val="ListParagraph"/>
        <w:numPr>
          <w:ilvl w:val="0"/>
          <w:numId w:val="2"/>
        </w:numPr>
        <w:spacing w:after="80"/>
      </w:pPr>
      <w:r>
        <w:rPr>
          <w:rFonts w:ascii="Arial" w:cs="Arial" w:eastAsia="Arial" w:hAnsi="Arial"/>
          <w:color w:val="1E293B"/>
          <w:sz w:val="20"/>
          <w:szCs w:val="20"/>
        </w:rPr>
        <w:t xml:space="preserve">Business plans genéricos sem fundamentação econômica</w:t>
      </w:r>
    </w:p>
    <w:p>
      <w:pPr>
        <w:pStyle w:val="ListParagraph"/>
        <w:numPr>
          <w:ilvl w:val="0"/>
          <w:numId w:val="2"/>
        </w:numPr>
        <w:spacing w:after="80"/>
      </w:pPr>
      <w:r>
        <w:rPr>
          <w:rFonts w:ascii="Arial" w:cs="Arial" w:eastAsia="Arial" w:hAnsi="Arial"/>
          <w:color w:val="1E293B"/>
          <w:sz w:val="20"/>
          <w:szCs w:val="20"/>
        </w:rPr>
        <w:t xml:space="preserve">Conteúdo detectado como genérico ou sintético pelos novos sistemas ATLAS e ATA do USCIS</w:t>
      </w:r>
    </w:p>
    <w:p>
      <w:pPr>
        <w:spacing w:after="60"/>
      </w:pPr>
    </w:p>
    <w:p>
      <w:pPr>
        <w:pStyle w:val="Heading2"/>
        <w:spacing w:after="120" w:before="240"/>
      </w:pPr>
      <w:r>
        <w:rPr>
          <w:rFonts w:ascii="Arial" w:cs="Arial" w:eastAsia="Arial" w:hAnsi="Arial"/>
          <w:b/>
          <w:bCs/>
          <w:color w:val="1A2744"/>
          <w:sz w:val="24"/>
          <w:szCs w:val="24"/>
        </w:rPr>
        <w:t xml:space="preserve">Novos Sistemas de IA do USCIS</w:t>
      </w:r>
    </w:p>
    <w:p>
      <w:pPr>
        <w:spacing w:after="120" w:before="0"/>
        <w:jc w:val="both"/>
      </w:pPr>
      <w:r>
        <w:rPr>
          <w:rFonts w:ascii="Arial" w:cs="Arial" w:eastAsia="Arial" w:hAnsi="Arial"/>
          <w:b w:val="false"/>
          <w:bCs w:val="false"/>
          <w:i w:val="false"/>
          <w:iCs w:val="false"/>
          <w:color w:val="1E293B"/>
          <w:sz w:val="21"/>
          <w:szCs w:val="21"/>
        </w:rPr>
        <w:t xml:space="preserve">O USCIS implementou recentemente sistemas de inteligência artificial que elevaram o padrão de evidência necessário:</w:t>
      </w:r>
    </w:p>
    <w:p>
      <w:pPr>
        <w:pStyle w:val="ListParagraph"/>
        <w:numPr>
          <w:ilvl w:val="0"/>
          <w:numId w:val="2"/>
        </w:numPr>
        <w:spacing w:after="80"/>
      </w:pPr>
      <w:r>
        <w:rPr>
          <w:rFonts w:ascii="Arial" w:cs="Arial" w:eastAsia="Arial" w:hAnsi="Arial"/>
          <w:b/>
          <w:bCs/>
          <w:color w:val="1E293B"/>
          <w:sz w:val="20"/>
          <w:szCs w:val="20"/>
        </w:rPr>
        <w:t xml:space="preserve">ATLAS: </w:t>
      </w:r>
      <w:r>
        <w:rPr>
          <w:rFonts w:ascii="Arial" w:cs="Arial" w:eastAsia="Arial" w:hAnsi="Arial"/>
          <w:color w:val="475569"/>
          <w:sz w:val="20"/>
          <w:szCs w:val="20"/>
        </w:rPr>
        <w:t xml:space="preserve">Motor de vetting automatizado com NLP (processamento de linguagem natural) que analisa cartas de recomendação e business plans em busca de padrões genéricos, linguagem retórica sem fundamentação e inconsistências factuais.</w:t>
      </w:r>
    </w:p>
    <w:p>
      <w:pPr>
        <w:pStyle w:val="ListParagraph"/>
        <w:numPr>
          <w:ilvl w:val="0"/>
          <w:numId w:val="2"/>
        </w:numPr>
        <w:spacing w:after="80"/>
      </w:pPr>
      <w:r>
        <w:rPr>
          <w:rFonts w:ascii="Arial" w:cs="Arial" w:eastAsia="Arial" w:hAnsi="Arial"/>
          <w:b/>
          <w:bCs/>
          <w:color w:val="1E293B"/>
          <w:sz w:val="20"/>
          <w:szCs w:val="20"/>
        </w:rPr>
        <w:t xml:space="preserve">ATA (Asylum Text Analytics): </w:t>
      </w:r>
      <w:r>
        <w:rPr>
          <w:rFonts w:ascii="Arial" w:cs="Arial" w:eastAsia="Arial" w:hAnsi="Arial"/>
          <w:color w:val="475569"/>
          <w:sz w:val="20"/>
          <w:szCs w:val="20"/>
        </w:rPr>
        <w:t xml:space="preserve">Sistema de detecção de conteúdo genérico ou sintético, originalmente desenvolvido para casos de asilo, agora expandindo para EB-2 NIW. Identifica textos que seguem templates e carecem de dados individualizados.</w:t>
      </w:r>
    </w:p>
    <w:p>
      <w:pPr>
        <w:spacing w:after="120" w:before="0"/>
        <w:jc w:val="both"/>
      </w:pPr>
      <w:r>
        <w:rPr>
          <w:rFonts w:ascii="Arial" w:cs="Arial" w:eastAsia="Arial" w:hAnsi="Arial"/>
          <w:b w:val="false"/>
          <w:bCs w:val="false"/>
          <w:i w:val="false"/>
          <w:iCs w:val="false"/>
          <w:color w:val="1E293B"/>
          <w:sz w:val="21"/>
          <w:szCs w:val="21"/>
        </w:rPr>
        <w:t xml:space="preserve">Esses sistemas tornam business plans genéricos cada vez mais ineficazes. Evidências econômicas quantitativas e individualizadas por região, setor e cenário são a forma mais eficaz de se diferenciar de petições genéricas.</w:t>
      </w:r>
    </w:p>
    <w:p>
      <w:pPr>
        <w:spacing w:after="60"/>
      </w:pPr>
    </w:p>
    <w:p>
      <w:pPr>
        <w:pStyle w:val="Heading2"/>
        <w:spacing w:after="120" w:before="240"/>
      </w:pPr>
      <w:r>
        <w:rPr>
          <w:rFonts w:ascii="Arial" w:cs="Arial" w:eastAsia="Arial" w:hAnsi="Arial"/>
          <w:b/>
          <w:bCs/>
          <w:color w:val="1A2744"/>
          <w:sz w:val="24"/>
          <w:szCs w:val="24"/>
        </w:rPr>
        <w:t xml:space="preserve">A Solução: Evidência Econômica Científica</w:t>
      </w:r>
    </w:p>
    <w:p>
      <w:pPr>
        <w:spacing w:after="120" w:before="0"/>
        <w:jc w:val="both"/>
      </w:pPr>
      <w:r>
        <w:rPr>
          <w:rFonts w:ascii="Arial" w:cs="Arial" w:eastAsia="Arial" w:hAnsi="Arial"/>
          <w:b w:val="false"/>
          <w:bCs w:val="false"/>
          <w:i w:val="false"/>
          <w:iCs w:val="false"/>
          <w:color w:val="1E293B"/>
          <w:sz w:val="21"/>
          <w:szCs w:val="21"/>
        </w:rPr>
        <w:t xml:space="preserve">O IMPACTO® Reactor preenche exatamente essa lacuna. Ele fornece análises econômicas baseadas em modelos utilizados pelo próprio governo americano (Bureau of Economic Analysis, Department of Commerce), tornando significativamente mais difícil para o adjudicador descartar a evidência como “insuficiente” ou “genérica”.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3CC" w:sz="1"/>
              <w:left w:val="single" w:color="00A3CC" w:sz="8"/>
              <w:bottom w:val="single" w:color="00A3CC" w:sz="1"/>
              <w:right w:val="single" w:color="00A3CC" w:sz="1"/>
            </w:tcBorders>
            <w:shd w:fill="E8F4F8" w:val="clear"/>
            <w:tcMar>
              <w:top w:type="dxa" w:w="120"/>
              <w:left w:type="dxa" w:w="200"/>
              <w:bottom w:type="dxa" w:w="120"/>
              <w:right w:type="dxa" w:w="200"/>
            </w:tcMar>
          </w:tcPr>
          <w:p>
            <w:pPr>
              <w:jc w:val="both"/>
            </w:pPr>
            <w:r>
              <w:rPr>
                <w:rFonts w:ascii="Arial" w:cs="Arial" w:eastAsia="Arial" w:hAnsi="Arial"/>
                <w:i/>
                <w:iCs/>
                <w:color w:val="0A1628"/>
                <w:sz w:val="20"/>
                <w:szCs w:val="20"/>
              </w:rPr>
              <w:t xml:space="preserve">Analogia: Se o business plan é o “argumento”, o IMPACTO® Reactor é a “prova pericial”. Um diz o que você pretende fazer; o outro prova, com números auditáveis, o impacto que isso terá na economia.</w:t>
            </w:r>
          </w:p>
        </w:tc>
      </w:tr>
    </w:tbl>
    <w:p>
      <w:r>
        <w:br w:type="page"/>
      </w:r>
    </w:p>
    <w:p>
      <w:pPr>
        <w:pBdr>
          <w:bottom w:val="single" w:color="00A3CC" w:sz="4" w:space="6"/>
        </w:pBdr>
        <w:spacing w:after="40" w:before="60"/>
      </w:pPr>
      <w:r>
        <w:rPr>
          <w:rFonts w:ascii="Arial" w:cs="Arial" w:eastAsia="Arial" w:hAnsi="Arial"/>
          <w:b/>
          <w:bCs/>
          <w:color w:val="00A3CC"/>
          <w:sz w:val="16"/>
          <w:szCs w:val="16"/>
        </w:rPr>
        <w:t xml:space="preserve">03  </w:t>
      </w:r>
      <w:r>
        <w:rPr>
          <w:rFonts w:ascii="Arial" w:cs="Arial" w:eastAsia="Arial" w:hAnsi="Arial"/>
          <w:b/>
          <w:bCs/>
          <w:color w:val="00A3CC"/>
          <w:sz w:val="16"/>
          <w:szCs w:val="16"/>
        </w:rPr>
        <w:t xml:space="preserve">APLICAÇÃO ESTRATÉGICA</w:t>
      </w:r>
    </w:p>
    <w:p>
      <w:pPr>
        <w:spacing w:after="40"/>
      </w:pPr>
    </w:p>
    <w:p>
      <w:pPr>
        <w:pStyle w:val="Heading1"/>
        <w:spacing w:after="180" w:before="320"/>
      </w:pPr>
      <w:r>
        <w:rPr>
          <w:rFonts w:ascii="Arial" w:cs="Arial" w:eastAsia="Arial" w:hAnsi="Arial"/>
          <w:b/>
          <w:bCs/>
          <w:color w:val="0A1628"/>
          <w:sz w:val="30"/>
          <w:szCs w:val="30"/>
        </w:rPr>
        <w:t xml:space="preserve">Para Que Serve?</w:t>
      </w:r>
    </w:p>
    <w:p>
      <w:pPr>
        <w:spacing w:after="120" w:before="0"/>
        <w:jc w:val="both"/>
      </w:pPr>
      <w:r>
        <w:rPr>
          <w:rFonts w:ascii="Arial" w:cs="Arial" w:eastAsia="Arial" w:hAnsi="Arial"/>
          <w:b w:val="false"/>
          <w:bCs w:val="false"/>
          <w:i w:val="false"/>
          <w:iCs w:val="false"/>
          <w:color w:val="1E293B"/>
          <w:sz w:val="21"/>
          <w:szCs w:val="21"/>
        </w:rPr>
        <w:t xml:space="preserve">O IMPACTO® Reactor serve a três finalidades estratégicas dentro do processo EB-2 NIW, mapeadas diretamente ao framework Matter of Dhanasar:</w:t>
      </w:r>
    </w:p>
    <w:p>
      <w:pPr>
        <w:pStyle w:val="Heading2"/>
        <w:spacing w:after="120" w:before="240"/>
      </w:pPr>
      <w:r>
        <w:rPr>
          <w:rFonts w:ascii="Arial" w:cs="Arial" w:eastAsia="Arial" w:hAnsi="Arial"/>
          <w:b/>
          <w:bCs/>
          <w:color w:val="1A2744"/>
          <w:sz w:val="24"/>
          <w:szCs w:val="24"/>
        </w:rPr>
        <w:t xml:space="preserve">Pilar 1 — Importância Nacional</w:t>
      </w:r>
    </w:p>
    <w:p>
      <w:pPr>
        <w:spacing w:after="120" w:before="0"/>
        <w:jc w:val="both"/>
      </w:pPr>
      <w:r>
        <w:rPr>
          <w:rFonts w:ascii="Arial" w:cs="Arial" w:eastAsia="Arial" w:hAnsi="Arial"/>
          <w:b w:val="false"/>
          <w:bCs w:val="false"/>
          <w:i w:val="false"/>
          <w:iCs w:val="false"/>
          <w:color w:val="1E293B"/>
          <w:sz w:val="21"/>
          <w:szCs w:val="21"/>
        </w:rPr>
        <w:t xml:space="preserve">O USCIS exige que o peticionário demonstre que seu empreendimento tem “importância nacional” — não basta que o campo seja importante, o empreendimento específico precisa gerar “efeitos econômicos positivos substanciais” (Dhanasar, p. 890). O Reactor fornece:</w:t>
      </w:r>
    </w:p>
    <w:p>
      <w:pPr>
        <w:pStyle w:val="ListParagraph"/>
        <w:numPr>
          <w:ilvl w:val="0"/>
          <w:numId w:val="2"/>
        </w:numPr>
        <w:spacing w:after="80"/>
      </w:pPr>
      <w:r>
        <w:rPr>
          <w:rFonts w:ascii="Arial" w:cs="Arial" w:eastAsia="Arial" w:hAnsi="Arial"/>
          <w:color w:val="1E293B"/>
          <w:sz w:val="20"/>
          <w:szCs w:val="20"/>
        </w:rPr>
        <w:t xml:space="preserve">Projeção de empregos diretos, indiretos e induzidos</w:t>
      </w:r>
    </w:p>
    <w:p>
      <w:pPr>
        <w:pStyle w:val="ListParagraph"/>
        <w:numPr>
          <w:ilvl w:val="0"/>
          <w:numId w:val="2"/>
        </w:numPr>
        <w:spacing w:after="80"/>
      </w:pPr>
      <w:r>
        <w:rPr>
          <w:rFonts w:ascii="Arial" w:cs="Arial" w:eastAsia="Arial" w:hAnsi="Arial"/>
          <w:color w:val="1E293B"/>
          <w:sz w:val="20"/>
          <w:szCs w:val="20"/>
        </w:rPr>
        <w:t xml:space="preserve">Cálculo de produção econômica total e valor agregado ao PIB</w:t>
      </w:r>
    </w:p>
    <w:p>
      <w:pPr>
        <w:pStyle w:val="ListParagraph"/>
        <w:numPr>
          <w:ilvl w:val="0"/>
          <w:numId w:val="2"/>
        </w:numPr>
        <w:spacing w:after="80"/>
      </w:pPr>
      <w:r>
        <w:rPr>
          <w:rFonts w:ascii="Arial" w:cs="Arial" w:eastAsia="Arial" w:hAnsi="Arial"/>
          <w:color w:val="1E293B"/>
          <w:sz w:val="20"/>
          <w:szCs w:val="20"/>
        </w:rPr>
        <w:t xml:space="preserve">Receita tributária projetada desagregada por nível de governo</w:t>
      </w:r>
    </w:p>
    <w:p>
      <w:pPr>
        <w:pStyle w:val="ListParagraph"/>
        <w:numPr>
          <w:ilvl w:val="0"/>
          <w:numId w:val="2"/>
        </w:numPr>
        <w:spacing w:after="80"/>
      </w:pPr>
      <w:r>
        <w:rPr>
          <w:rFonts w:ascii="Arial" w:cs="Arial" w:eastAsia="Arial" w:hAnsi="Arial"/>
          <w:color w:val="1E293B"/>
          <w:sz w:val="20"/>
          <w:szCs w:val="20"/>
        </w:rPr>
        <w:t xml:space="preserve">Mapeamento de setores NAICS impactados</w:t>
      </w:r>
    </w:p>
    <w:p>
      <w:pPr>
        <w:pStyle w:val="ListParagraph"/>
        <w:numPr>
          <w:ilvl w:val="0"/>
          <w:numId w:val="2"/>
        </w:numPr>
        <w:spacing w:after="80"/>
      </w:pPr>
      <w:r>
        <w:rPr>
          <w:rFonts w:ascii="Arial" w:cs="Arial" w:eastAsia="Arial" w:hAnsi="Arial"/>
          <w:color w:val="1E293B"/>
          <w:sz w:val="20"/>
          <w:szCs w:val="20"/>
        </w:rPr>
        <w:t xml:space="preserve">Alinhamento com políticas nacionais documentadas (Executive Orders, Acts)</w:t>
      </w:r>
    </w:p>
    <w:p>
      <w:pPr>
        <w:spacing w:after="60"/>
      </w:pPr>
    </w:p>
    <w:p>
      <w:pPr>
        <w:pStyle w:val="Heading2"/>
        <w:spacing w:after="120" w:before="240"/>
      </w:pPr>
      <w:r>
        <w:rPr>
          <w:rFonts w:ascii="Arial" w:cs="Arial" w:eastAsia="Arial" w:hAnsi="Arial"/>
          <w:b/>
          <w:bCs/>
          <w:color w:val="1A2744"/>
          <w:sz w:val="24"/>
          <w:szCs w:val="24"/>
        </w:rPr>
        <w:t xml:space="preserve">Pilar 3 — Benéfico Dispensar</w:t>
      </w:r>
    </w:p>
    <w:p>
      <w:pPr>
        <w:spacing w:after="120" w:before="0"/>
        <w:jc w:val="both"/>
      </w:pPr>
      <w:r>
        <w:rPr>
          <w:rFonts w:ascii="Arial" w:cs="Arial" w:eastAsia="Arial" w:hAnsi="Arial"/>
          <w:b w:val="false"/>
          <w:bCs w:val="false"/>
          <w:i w:val="false"/>
          <w:iCs w:val="false"/>
          <w:color w:val="1E293B"/>
          <w:sz w:val="21"/>
          <w:szCs w:val="21"/>
        </w:rPr>
        <w:t xml:space="preserve">O Pilar 3 do Dhanasar exige demonstrar que é benéfico dispensar o requisito de oferta de emprego. O Reactor prova que o impacto econômico do peticionário vai muito além do que o processo de certificação trabalhista poderia avaliar, mostrando efeitos multiplicadores em cascata — cada emprego direto gera 1,5 a 2,5 empregos adicionais na economia. Os módulos de Supply Chain (M5) e Multiplicadores Setoriais (M3) são particularmente eficazes para este pilar.</w:t>
      </w:r>
    </w:p>
    <w:p>
      <w:pPr>
        <w:spacing w:after="60"/>
      </w:pPr>
    </w:p>
    <w:p>
      <w:pPr>
        <w:pStyle w:val="Heading2"/>
        <w:spacing w:after="120" w:before="240"/>
      </w:pPr>
      <w:r>
        <w:rPr>
          <w:rFonts w:ascii="Arial" w:cs="Arial" w:eastAsia="Arial" w:hAnsi="Arial"/>
          <w:b/>
          <w:bCs/>
          <w:color w:val="1A2744"/>
          <w:sz w:val="24"/>
          <w:szCs w:val="24"/>
        </w:rPr>
        <w:t xml:space="preserve">Neutralizar RFEs (Request for Evidence)</w:t>
      </w:r>
    </w:p>
    <w:p>
      <w:pPr>
        <w:spacing w:after="120" w:before="0"/>
        <w:jc w:val="both"/>
      </w:pPr>
      <w:r>
        <w:rPr>
          <w:rFonts w:ascii="Arial" w:cs="Arial" w:eastAsia="Arial" w:hAnsi="Arial"/>
          <w:b w:val="false"/>
          <w:bCs w:val="false"/>
          <w:i w:val="false"/>
          <w:iCs w:val="false"/>
          <w:color w:val="1E293B"/>
          <w:sz w:val="21"/>
          <w:szCs w:val="21"/>
        </w:rPr>
        <w:t xml:space="preserve">O IMPACTO® Reactor foi projetado para responder antecipadamente a cada tipo de objeção que aparece em RFEs de EB-2 NIW. Cada módulo endereça uma deficiência específica: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Objeção Típica do USCIS</w:t>
            </w:r>
          </w:p>
        </w:tc>
        <w:tc>
          <w:tcPr>
            <w:tcW w:type="dxa" w:w="416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Módulo que Resolve</w:t>
            </w:r>
          </w:p>
        </w:tc>
      </w:tr>
      <w:tr>
        <w:tc>
          <w:tcPr>
            <w:tcW w:type="dxa" w:w="5200"/>
            <w:tcBorders>
              <w:top w:val="single" w:color="CBD5E1" w:sz="1"/>
              <w:left w:val="single" w:color="CBD5E1" w:sz="1"/>
              <w:bottom w:val="single" w:color="CBD5E1" w:sz="1"/>
              <w:right w:val="single" w:color="CBD5E1" w:sz="1"/>
            </w:tcBorders>
            <w:shd w:fill="F0F4F8" w:val="clear"/>
            <w:tcMar>
              <w:top w:type="dxa" w:w="60"/>
              <w:left w:type="dxa" w:w="120"/>
              <w:bottom w:type="dxa" w:w="60"/>
              <w:right w:type="dxa" w:w="120"/>
            </w:tcMar>
          </w:tcPr>
          <w:p>
            <w:pPr>
              <w:jc w:val="left"/>
            </w:pPr>
            <w:r>
              <w:rPr>
                <w:rFonts w:ascii="Arial" w:cs="Arial" w:eastAsia="Arial" w:hAnsi="Arial"/>
                <w:b w:val="false"/>
                <w:bCs w:val="false"/>
                <w:color w:val="1E293B"/>
                <w:sz w:val="18"/>
                <w:szCs w:val="18"/>
              </w:rPr>
              <w:t xml:space="preserve">“Não demonstrou impacto econômico projetado”</w:t>
            </w:r>
          </w:p>
        </w:tc>
        <w:tc>
          <w:tcPr>
            <w:tcW w:type="dxa" w:w="4160"/>
            <w:tcBorders>
              <w:top w:val="single" w:color="CBD5E1" w:sz="1"/>
              <w:left w:val="single" w:color="CBD5E1" w:sz="1"/>
              <w:bottom w:val="single" w:color="CBD5E1" w:sz="1"/>
              <w:right w:val="single" w:color="CBD5E1" w:sz="1"/>
            </w:tcBorders>
            <w:shd w:fill="F0F4F8" w:val="clear"/>
            <w:tcMar>
              <w:top w:type="dxa" w:w="60"/>
              <w:left w:type="dxa" w:w="120"/>
              <w:bottom w:type="dxa" w:w="60"/>
              <w:right w:type="dxa" w:w="120"/>
            </w:tcMar>
          </w:tcPr>
          <w:p>
            <w:pPr>
              <w:jc w:val="left"/>
            </w:pPr>
            <w:r>
              <w:rPr>
                <w:rFonts w:ascii="Arial" w:cs="Arial" w:eastAsia="Arial" w:hAnsi="Arial"/>
                <w:b/>
                <w:bCs/>
                <w:color w:val="0A1628"/>
                <w:sz w:val="18"/>
                <w:szCs w:val="18"/>
              </w:rPr>
              <w:t xml:space="preserve">M1 — Análise Core (IMPLAN + RIMS II)</w:t>
            </w:r>
          </w:p>
        </w:tc>
      </w:tr>
      <w:tr>
        <w:tc>
          <w:tcPr>
            <w:tcW w:type="dxa" w:w="5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val="false"/>
                <w:bCs w:val="false"/>
                <w:color w:val="1E293B"/>
                <w:sz w:val="18"/>
                <w:szCs w:val="18"/>
              </w:rPr>
              <w:t xml:space="preserve">“Não mostrou níveis de pessoal futuros”</w:t>
            </w:r>
          </w:p>
        </w:tc>
        <w:tc>
          <w:tcPr>
            <w:tcW w:type="dxa" w:w="41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bCs/>
                <w:color w:val="0A1628"/>
                <w:sz w:val="18"/>
                <w:szCs w:val="18"/>
              </w:rPr>
              <w:t xml:space="preserve">M1 + M6 — Projeções de emprego</w:t>
            </w:r>
          </w:p>
        </w:tc>
      </w:tr>
      <w:tr>
        <w:tc>
          <w:tcPr>
            <w:tcW w:type="dxa" w:w="5200"/>
            <w:tcBorders>
              <w:top w:val="single" w:color="CBD5E1" w:sz="1"/>
              <w:left w:val="single" w:color="CBD5E1" w:sz="1"/>
              <w:bottom w:val="single" w:color="CBD5E1" w:sz="1"/>
              <w:right w:val="single" w:color="CBD5E1" w:sz="1"/>
            </w:tcBorders>
            <w:shd w:fill="F0F4F8" w:val="clear"/>
            <w:tcMar>
              <w:top w:type="dxa" w:w="60"/>
              <w:left w:type="dxa" w:w="120"/>
              <w:bottom w:type="dxa" w:w="60"/>
              <w:right w:type="dxa" w:w="120"/>
            </w:tcMar>
          </w:tcPr>
          <w:p>
            <w:pPr>
              <w:jc w:val="left"/>
            </w:pPr>
            <w:r>
              <w:rPr>
                <w:rFonts w:ascii="Arial" w:cs="Arial" w:eastAsia="Arial" w:hAnsi="Arial"/>
                <w:b w:val="false"/>
                <w:bCs w:val="false"/>
                <w:color w:val="1E293B"/>
                <w:sz w:val="18"/>
                <w:szCs w:val="18"/>
              </w:rPr>
              <w:t xml:space="preserve">“Não demonstrou receita tributária”</w:t>
            </w:r>
          </w:p>
        </w:tc>
        <w:tc>
          <w:tcPr>
            <w:tcW w:type="dxa" w:w="4160"/>
            <w:tcBorders>
              <w:top w:val="single" w:color="CBD5E1" w:sz="1"/>
              <w:left w:val="single" w:color="CBD5E1" w:sz="1"/>
              <w:bottom w:val="single" w:color="CBD5E1" w:sz="1"/>
              <w:right w:val="single" w:color="CBD5E1" w:sz="1"/>
            </w:tcBorders>
            <w:shd w:fill="F0F4F8" w:val="clear"/>
            <w:tcMar>
              <w:top w:type="dxa" w:w="60"/>
              <w:left w:type="dxa" w:w="120"/>
              <w:bottom w:type="dxa" w:w="60"/>
              <w:right w:type="dxa" w:w="120"/>
            </w:tcMar>
          </w:tcPr>
          <w:p>
            <w:pPr>
              <w:jc w:val="left"/>
            </w:pPr>
            <w:r>
              <w:rPr>
                <w:rFonts w:ascii="Arial" w:cs="Arial" w:eastAsia="Arial" w:hAnsi="Arial"/>
                <w:b/>
                <w:bCs/>
                <w:color w:val="0A1628"/>
                <w:sz w:val="18"/>
                <w:szCs w:val="18"/>
              </w:rPr>
              <w:t xml:space="preserve">M4 — Projeção Tributária</w:t>
            </w:r>
          </w:p>
        </w:tc>
      </w:tr>
      <w:tr>
        <w:tc>
          <w:tcPr>
            <w:tcW w:type="dxa" w:w="5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val="false"/>
                <w:bCs w:val="false"/>
                <w:color w:val="1E293B"/>
                <w:sz w:val="18"/>
                <w:szCs w:val="18"/>
              </w:rPr>
              <w:t xml:space="preserve">“Benefícios limitados à empresa individual”</w:t>
            </w:r>
          </w:p>
        </w:tc>
        <w:tc>
          <w:tcPr>
            <w:tcW w:type="dxa" w:w="41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bCs/>
                <w:color w:val="0A1628"/>
                <w:sz w:val="18"/>
                <w:szCs w:val="18"/>
              </w:rPr>
              <w:t xml:space="preserve">M3 + M5 — Setorial + Supply Chain</w:t>
            </w:r>
          </w:p>
        </w:tc>
      </w:tr>
      <w:tr>
        <w:tc>
          <w:tcPr>
            <w:tcW w:type="dxa" w:w="5200"/>
            <w:tcBorders>
              <w:top w:val="single" w:color="CBD5E1" w:sz="1"/>
              <w:left w:val="single" w:color="CBD5E1" w:sz="1"/>
              <w:bottom w:val="single" w:color="CBD5E1" w:sz="1"/>
              <w:right w:val="single" w:color="CBD5E1" w:sz="1"/>
            </w:tcBorders>
            <w:shd w:fill="F0F4F8" w:val="clear"/>
            <w:tcMar>
              <w:top w:type="dxa" w:w="60"/>
              <w:left w:type="dxa" w:w="120"/>
              <w:bottom w:type="dxa" w:w="60"/>
              <w:right w:type="dxa" w:w="120"/>
            </w:tcMar>
          </w:tcPr>
          <w:p>
            <w:pPr>
              <w:jc w:val="left"/>
            </w:pPr>
            <w:r>
              <w:rPr>
                <w:rFonts w:ascii="Arial" w:cs="Arial" w:eastAsia="Arial" w:hAnsi="Arial"/>
                <w:b w:val="false"/>
                <w:bCs w:val="false"/>
                <w:color w:val="1E293B"/>
                <w:sz w:val="18"/>
                <w:szCs w:val="18"/>
              </w:rPr>
              <w:t xml:space="preserve">“Impacto atenuado para importância nacional”</w:t>
            </w:r>
          </w:p>
        </w:tc>
        <w:tc>
          <w:tcPr>
            <w:tcW w:type="dxa" w:w="4160"/>
            <w:tcBorders>
              <w:top w:val="single" w:color="CBD5E1" w:sz="1"/>
              <w:left w:val="single" w:color="CBD5E1" w:sz="1"/>
              <w:bottom w:val="single" w:color="CBD5E1" w:sz="1"/>
              <w:right w:val="single" w:color="CBD5E1" w:sz="1"/>
            </w:tcBorders>
            <w:shd w:fill="F0F4F8" w:val="clear"/>
            <w:tcMar>
              <w:top w:type="dxa" w:w="60"/>
              <w:left w:type="dxa" w:w="120"/>
              <w:bottom w:type="dxa" w:w="60"/>
              <w:right w:type="dxa" w:w="120"/>
            </w:tcMar>
          </w:tcPr>
          <w:p>
            <w:pPr>
              <w:jc w:val="left"/>
            </w:pPr>
            <w:r>
              <w:rPr>
                <w:rFonts w:ascii="Arial" w:cs="Arial" w:eastAsia="Arial" w:hAnsi="Arial"/>
                <w:b/>
                <w:bCs/>
                <w:color w:val="0A1628"/>
                <w:sz w:val="18"/>
                <w:szCs w:val="18"/>
              </w:rPr>
              <w:t xml:space="preserve">M7 — Alinhamento com Políticas</w:t>
            </w:r>
          </w:p>
        </w:tc>
      </w:tr>
      <w:tr>
        <w:tc>
          <w:tcPr>
            <w:tcW w:type="dxa" w:w="5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val="false"/>
                <w:bCs w:val="false"/>
                <w:color w:val="1E293B"/>
                <w:sz w:val="18"/>
                <w:szCs w:val="18"/>
              </w:rPr>
              <w:t xml:space="preserve">“Não demonstrou área economicamente deprimida”</w:t>
            </w:r>
          </w:p>
        </w:tc>
        <w:tc>
          <w:tcPr>
            <w:tcW w:type="dxa" w:w="41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bCs/>
                <w:color w:val="0A1628"/>
                <w:sz w:val="18"/>
                <w:szCs w:val="18"/>
              </w:rPr>
              <w:t xml:space="preserve">M2 — Análise Regional</w:t>
            </w:r>
          </w:p>
        </w:tc>
      </w:tr>
      <w:tr>
        <w:tc>
          <w:tcPr>
            <w:tcW w:type="dxa" w:w="5200"/>
            <w:tcBorders>
              <w:top w:val="single" w:color="CBD5E1" w:sz="1"/>
              <w:left w:val="single" w:color="CBD5E1" w:sz="1"/>
              <w:bottom w:val="single" w:color="CBD5E1" w:sz="1"/>
              <w:right w:val="single" w:color="CBD5E1" w:sz="1"/>
            </w:tcBorders>
            <w:shd w:fill="F0F4F8" w:val="clear"/>
            <w:tcMar>
              <w:top w:type="dxa" w:w="60"/>
              <w:left w:type="dxa" w:w="120"/>
              <w:bottom w:type="dxa" w:w="60"/>
              <w:right w:type="dxa" w:w="120"/>
            </w:tcMar>
          </w:tcPr>
          <w:p>
            <w:pPr>
              <w:jc w:val="left"/>
            </w:pPr>
            <w:r>
              <w:rPr>
                <w:rFonts w:ascii="Arial" w:cs="Arial" w:eastAsia="Arial" w:hAnsi="Arial"/>
                <w:b w:val="false"/>
                <w:bCs w:val="false"/>
                <w:color w:val="1E293B"/>
                <w:sz w:val="18"/>
                <w:szCs w:val="18"/>
              </w:rPr>
              <w:t xml:space="preserve">“Habilidades não demonstradas como insubstituíveis”</w:t>
            </w:r>
          </w:p>
        </w:tc>
        <w:tc>
          <w:tcPr>
            <w:tcW w:type="dxa" w:w="4160"/>
            <w:tcBorders>
              <w:top w:val="single" w:color="CBD5E1" w:sz="1"/>
              <w:left w:val="single" w:color="CBD5E1" w:sz="1"/>
              <w:bottom w:val="single" w:color="CBD5E1" w:sz="1"/>
              <w:right w:val="single" w:color="CBD5E1" w:sz="1"/>
            </w:tcBorders>
            <w:shd w:fill="F0F4F8" w:val="clear"/>
            <w:tcMar>
              <w:top w:type="dxa" w:w="60"/>
              <w:left w:type="dxa" w:w="120"/>
              <w:bottom w:type="dxa" w:w="60"/>
              <w:right w:type="dxa" w:w="120"/>
            </w:tcMar>
          </w:tcPr>
          <w:p>
            <w:pPr>
              <w:jc w:val="left"/>
            </w:pPr>
            <w:r>
              <w:rPr>
                <w:rFonts w:ascii="Arial" w:cs="Arial" w:eastAsia="Arial" w:hAnsi="Arial"/>
                <w:b/>
                <w:bCs/>
                <w:color w:val="0A1628"/>
                <w:sz w:val="18"/>
                <w:szCs w:val="18"/>
              </w:rPr>
              <w:t xml:space="preserve">M6 + M9 — EPI + Sensibilidade</w:t>
            </w:r>
          </w:p>
        </w:tc>
      </w:tr>
      <w:tr>
        <w:tc>
          <w:tcPr>
            <w:tcW w:type="dxa" w:w="5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val="false"/>
                <w:bCs w:val="false"/>
                <w:color w:val="1E293B"/>
                <w:sz w:val="18"/>
                <w:szCs w:val="18"/>
              </w:rPr>
              <w:t xml:space="preserve">“Impacto não vai além da empresa/clientes”</w:t>
            </w:r>
          </w:p>
        </w:tc>
        <w:tc>
          <w:tcPr>
            <w:tcW w:type="dxa" w:w="41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bCs/>
                <w:color w:val="0A1628"/>
                <w:sz w:val="18"/>
                <w:szCs w:val="18"/>
              </w:rPr>
              <w:t xml:space="preserve">M3 + M5 + M8 — Setorial + SC + Regional</w:t>
            </w:r>
          </w:p>
        </w:tc>
      </w:tr>
    </w:tbl>
    <w:p>
      <w:r>
        <w:br w:type="page"/>
      </w:r>
    </w:p>
    <w:p>
      <w:pPr>
        <w:pBdr>
          <w:bottom w:val="single" w:color="00A3CC" w:sz="4" w:space="6"/>
        </w:pBdr>
        <w:spacing w:after="40" w:before="60"/>
      </w:pPr>
      <w:r>
        <w:rPr>
          <w:rFonts w:ascii="Arial" w:cs="Arial" w:eastAsia="Arial" w:hAnsi="Arial"/>
          <w:b/>
          <w:bCs/>
          <w:color w:val="00A3CC"/>
          <w:sz w:val="16"/>
          <w:szCs w:val="16"/>
        </w:rPr>
        <w:t xml:space="preserve">04  </w:t>
      </w:r>
      <w:r>
        <w:rPr>
          <w:rFonts w:ascii="Arial" w:cs="Arial" w:eastAsia="Arial" w:hAnsi="Arial"/>
          <w:b/>
          <w:bCs/>
          <w:color w:val="00A3CC"/>
          <w:sz w:val="16"/>
          <w:szCs w:val="16"/>
        </w:rPr>
        <w:t xml:space="preserve">ARQUITETURA DO PRODUTO</w:t>
      </w:r>
    </w:p>
    <w:p>
      <w:pPr>
        <w:spacing w:after="40"/>
      </w:pPr>
    </w:p>
    <w:p>
      <w:pPr>
        <w:pStyle w:val="Heading1"/>
        <w:spacing w:after="180" w:before="320"/>
      </w:pPr>
      <w:r>
        <w:rPr>
          <w:rFonts w:ascii="Arial" w:cs="Arial" w:eastAsia="Arial" w:hAnsi="Arial"/>
          <w:b/>
          <w:bCs/>
          <w:color w:val="0A1628"/>
          <w:sz w:val="30"/>
          <w:szCs w:val="30"/>
        </w:rPr>
        <w:t xml:space="preserve">Os 10 Módulos do Reactor</w:t>
      </w:r>
    </w:p>
    <w:p>
      <w:pPr>
        <w:spacing w:after="120" w:before="0"/>
        <w:jc w:val="both"/>
      </w:pPr>
      <w:r>
        <w:rPr>
          <w:rFonts w:ascii="Arial" w:cs="Arial" w:eastAsia="Arial" w:hAnsi="Arial"/>
          <w:b w:val="false"/>
          <w:bCs w:val="false"/>
          <w:i w:val="false"/>
          <w:iCs w:val="false"/>
          <w:color w:val="1E293B"/>
          <w:sz w:val="21"/>
          <w:szCs w:val="21"/>
        </w:rPr>
        <w:t xml:space="preserve">O IMPACTO® Reactor é composto por 10 módulos independentes e complementares, focados exclusivamente em impacto econômico. Cada cliente recebe todos os 10 módulos. Cada módulo foi desenhado para endereçar uma dimensão específica exigida pelo framework Dhanasar.</w:t>
      </w:r>
    </w:p>
    <w:p>
      <w:pPr>
        <w:spacing w:after="60"/>
      </w:pPr>
    </w:p>
    <w:p>
      <w:pPr>
        <w:pStyle w:val="Heading2"/>
        <w:spacing w:after="120" w:before="240"/>
      </w:pPr>
      <w:r>
        <w:rPr>
          <w:rFonts w:ascii="Arial" w:cs="Arial" w:eastAsia="Arial" w:hAnsi="Arial"/>
          <w:b/>
          <w:bCs/>
          <w:color w:val="1A2744"/>
          <w:sz w:val="24"/>
          <w:szCs w:val="24"/>
        </w:rPr>
        <w:t xml:space="preserve">M1 — Análise de Impacto Econômico Central</w:t>
      </w:r>
    </w:p>
    <w:p>
      <w:pPr>
        <w:spacing w:after="120" w:before="60"/>
        <w:jc w:val="both"/>
      </w:pPr>
      <w:r>
        <w:rPr>
          <w:rFonts w:ascii="Arial" w:cs="Arial" w:eastAsia="Arial" w:hAnsi="Arial"/>
          <w:b w:val="false"/>
          <w:bCs w:val="false"/>
          <w:i w:val="false"/>
          <w:iCs w:val="false"/>
          <w:color w:val="1E293B"/>
          <w:sz w:val="21"/>
          <w:szCs w:val="21"/>
        </w:rPr>
        <w:t xml:space="preserve">É o coração do produto. Usa dois modelos econômicos (IMPLAN e RIMS II) para calcular quantos empregos, quanta produção econômica e quanto valor agregado o empreendimento vai gerar em 5 anos. Produz projeções de empregos diretos, indiretos e induzidos, além de calcular a produção econômica total e o valor agregado ao PIB regional.</w:t>
      </w:r>
    </w:p>
    <w:p>
      <w:pPr>
        <w:spacing w:after="120" w:before="0"/>
        <w:jc w:val="both"/>
      </w:pPr>
      <w:r>
        <w:rPr>
          <w:rFonts w:ascii="Arial" w:cs="Arial" w:eastAsia="Arial" w:hAnsi="Arial"/>
          <w:b w:val="false"/>
          <w:bCs w:val="false"/>
          <w:i/>
          <w:iCs/>
          <w:color w:val="475569"/>
          <w:sz w:val="21"/>
          <w:szCs w:val="21"/>
        </w:rPr>
        <w:t xml:space="preserve">Por que importa: Responde diretamente à pergunta central do USCIS: “Qual o tamanho real do impacto econômico?” A validação cruzada entre dois modelos fortalece substancialmente a credibilidade da evidência.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3CC" w:sz="1"/>
              <w:left w:val="single" w:color="00A3CC" w:sz="8"/>
              <w:bottom w:val="single" w:color="00A3CC" w:sz="1"/>
              <w:right w:val="single" w:color="00A3CC" w:sz="1"/>
            </w:tcBorders>
            <w:shd w:fill="E8F4F8" w:val="clear"/>
            <w:tcMar>
              <w:top w:type="dxa" w:w="120"/>
              <w:left w:type="dxa" w:w="200"/>
              <w:bottom w:type="dxa" w:w="120"/>
              <w:right w:type="dxa" w:w="200"/>
            </w:tcMar>
          </w:tcPr>
          <w:p>
            <w:pPr>
              <w:jc w:val="both"/>
            </w:pPr>
            <w:r>
              <w:rPr>
                <w:rFonts w:ascii="Arial" w:cs="Arial" w:eastAsia="Arial" w:hAnsi="Arial"/>
                <w:i/>
                <w:iCs/>
                <w:color w:val="0A1628"/>
                <w:sz w:val="20"/>
                <w:szCs w:val="20"/>
              </w:rPr>
              <w:t xml:space="preserve">Se o business plan é um “palpite educado”, o M1 é um “laudo pericial com duas perícias independentes chegando à mesma conclusão”.</w:t>
            </w:r>
          </w:p>
        </w:tc>
      </w:tr>
    </w:tbl>
    <w:p>
      <w:pPr>
        <w:spacing w:after="60"/>
      </w:pPr>
    </w:p>
    <w:p>
      <w:pPr>
        <w:pStyle w:val="Heading2"/>
        <w:spacing w:after="120" w:before="240"/>
      </w:pPr>
      <w:r>
        <w:rPr>
          <w:rFonts w:ascii="Arial" w:cs="Arial" w:eastAsia="Arial" w:hAnsi="Arial"/>
          <w:b/>
          <w:bCs/>
          <w:color w:val="1A2744"/>
          <w:sz w:val="24"/>
          <w:szCs w:val="24"/>
        </w:rPr>
        <w:t xml:space="preserve">M2 — Pegada Econômica Regional</w:t>
      </w:r>
    </w:p>
    <w:p>
      <w:pPr>
        <w:spacing w:after="120" w:before="0"/>
        <w:jc w:val="both"/>
      </w:pPr>
      <w:r>
        <w:rPr>
          <w:rFonts w:ascii="Arial" w:cs="Arial" w:eastAsia="Arial" w:hAnsi="Arial"/>
          <w:b w:val="false"/>
          <w:bCs w:val="false"/>
          <w:i w:val="false"/>
          <w:iCs w:val="false"/>
          <w:color w:val="1E293B"/>
          <w:sz w:val="21"/>
          <w:szCs w:val="21"/>
        </w:rPr>
        <w:t xml:space="preserve">Mapeia como o impacto econômico se distribui geograficamente pela região (MSA — Metropolitan Statistical Area). Identifica quais condados se beneficiam, quais áreas são economicamente deprimidas (Opportunity Zones, QCTs, HUBZones) e quantos empregos vão para comunidades carentes.</w:t>
      </w:r>
    </w:p>
    <w:p>
      <w:pPr>
        <w:spacing w:after="120" w:before="0"/>
        <w:jc w:val="both"/>
      </w:pPr>
      <w:r>
        <w:rPr>
          <w:rFonts w:ascii="Arial" w:cs="Arial" w:eastAsia="Arial" w:hAnsi="Arial"/>
          <w:b w:val="false"/>
          <w:bCs w:val="false"/>
          <w:i/>
          <w:iCs/>
          <w:color w:val="475569"/>
          <w:sz w:val="21"/>
          <w:szCs w:val="21"/>
        </w:rPr>
        <w:t xml:space="preserve">Por que importa: O Dhanasar menciona especificamente que impacto em “áreas economicamente deprimidas” carrega peso adicional (p. 890). Este módulo captura exatamente essa dimensão, com dados georreferenciados.</w:t>
      </w:r>
    </w:p>
    <w:p>
      <w:pPr>
        <w:spacing w:after="60"/>
      </w:pPr>
    </w:p>
    <w:p>
      <w:pPr>
        <w:pStyle w:val="Heading2"/>
        <w:spacing w:after="120" w:before="240"/>
      </w:pPr>
      <w:r>
        <w:rPr>
          <w:rFonts w:ascii="Arial" w:cs="Arial" w:eastAsia="Arial" w:hAnsi="Arial"/>
          <w:b/>
          <w:bCs/>
          <w:color w:val="1A2744"/>
          <w:sz w:val="24"/>
          <w:szCs w:val="24"/>
        </w:rPr>
        <w:t xml:space="preserve">M3 — Análise de Multiplicadores Setoriais</w:t>
      </w:r>
    </w:p>
    <w:p>
      <w:pPr>
        <w:spacing w:after="120" w:before="0"/>
        <w:jc w:val="both"/>
      </w:pPr>
      <w:r>
        <w:rPr>
          <w:rFonts w:ascii="Arial" w:cs="Arial" w:eastAsia="Arial" w:hAnsi="Arial"/>
          <w:b w:val="false"/>
          <w:bCs w:val="false"/>
          <w:i w:val="false"/>
          <w:iCs w:val="false"/>
          <w:color w:val="1E293B"/>
          <w:sz w:val="21"/>
          <w:szCs w:val="21"/>
        </w:rPr>
        <w:t xml:space="preserve">Desagrega o impacto por setor industrial (NAICS). Mostra que o empreendimento não afeta só um setor, mas gera ondas de impacto em 14+ setores diferentes — de transporte a TI, de seguros a restaurantes. Cada setor é quantificado individualmente.</w:t>
      </w:r>
    </w:p>
    <w:p>
      <w:pPr>
        <w:spacing w:after="120" w:before="0"/>
        <w:jc w:val="both"/>
      </w:pPr>
      <w:r>
        <w:rPr>
          <w:rFonts w:ascii="Arial" w:cs="Arial" w:eastAsia="Arial" w:hAnsi="Arial"/>
          <w:b w:val="false"/>
          <w:bCs w:val="false"/>
          <w:i/>
          <w:iCs/>
          <w:color w:val="475569"/>
          <w:sz w:val="21"/>
          <w:szCs w:val="21"/>
        </w:rPr>
        <w:t xml:space="preserve">Por que importa: Destrói o argumento de que “o benefício se limita à empresa individual”. Se 14 setores são impactados, o efeito claramente vai além da empresa.</w:t>
      </w:r>
    </w:p>
    <w:p>
      <w:pPr>
        <w:spacing w:after="60"/>
      </w:pPr>
    </w:p>
    <w:p>
      <w:pPr>
        <w:pStyle w:val="Heading2"/>
        <w:spacing w:after="120" w:before="240"/>
      </w:pPr>
      <w:r>
        <w:rPr>
          <w:rFonts w:ascii="Arial" w:cs="Arial" w:eastAsia="Arial" w:hAnsi="Arial"/>
          <w:b/>
          <w:bCs/>
          <w:color w:val="1A2744"/>
          <w:sz w:val="24"/>
          <w:szCs w:val="24"/>
        </w:rPr>
        <w:t xml:space="preserve">M4 — Projeção de Receita Tributária</w:t>
      </w:r>
    </w:p>
    <w:p>
      <w:pPr>
        <w:spacing w:after="120" w:before="0"/>
        <w:jc w:val="both"/>
      </w:pPr>
      <w:r>
        <w:rPr>
          <w:rFonts w:ascii="Arial" w:cs="Arial" w:eastAsia="Arial" w:hAnsi="Arial"/>
          <w:b w:val="false"/>
          <w:bCs w:val="false"/>
          <w:i w:val="false"/>
          <w:iCs w:val="false"/>
          <w:color w:val="1E293B"/>
          <w:sz w:val="21"/>
          <w:szCs w:val="21"/>
        </w:rPr>
        <w:t xml:space="preserve">Calcula exatamente quanto o empreendimento contribuirá em impostos para os três níveis de governo: federal, estadual e local. Desagrega por tipo de imposto (income tax, sales tax, property tax, payroll tax), com projeções ano a ano por 5 anos.</w:t>
      </w:r>
    </w:p>
    <w:p>
      <w:pPr>
        <w:spacing w:after="120" w:before="0"/>
        <w:jc w:val="both"/>
      </w:pPr>
      <w:r>
        <w:rPr>
          <w:rFonts w:ascii="Arial" w:cs="Arial" w:eastAsia="Arial" w:hAnsi="Arial"/>
          <w:b w:val="false"/>
          <w:bCs w:val="false"/>
          <w:i/>
          <w:iCs/>
          <w:color w:val="475569"/>
          <w:sz w:val="21"/>
          <w:szCs w:val="21"/>
        </w:rPr>
        <w:t xml:space="preserve">Por que importa: RFEs frequentemente citam “nenhum dado de receita tributária”. Este módulo responde de forma direta e quantificada a essa objeção.</w:t>
      </w:r>
    </w:p>
    <w:p>
      <w:r>
        <w:br w:type="page"/>
      </w:r>
    </w:p>
    <w:p>
      <w:pPr>
        <w:pStyle w:val="Heading2"/>
        <w:spacing w:after="120" w:before="240"/>
      </w:pPr>
      <w:r>
        <w:rPr>
          <w:rFonts w:ascii="Arial" w:cs="Arial" w:eastAsia="Arial" w:hAnsi="Arial"/>
          <w:b/>
          <w:bCs/>
          <w:color w:val="1A2744"/>
          <w:sz w:val="24"/>
          <w:szCs w:val="24"/>
        </w:rPr>
        <w:t xml:space="preserve">M5 — Mapeamento de Cadeia de Suprimentos</w:t>
      </w:r>
    </w:p>
    <w:p>
      <w:pPr>
        <w:spacing w:after="120" w:before="0"/>
        <w:jc w:val="both"/>
      </w:pPr>
      <w:r>
        <w:rPr>
          <w:rFonts w:ascii="Arial" w:cs="Arial" w:eastAsia="Arial" w:hAnsi="Arial"/>
          <w:b w:val="false"/>
          <w:bCs w:val="false"/>
          <w:i w:val="false"/>
          <w:iCs w:val="false"/>
          <w:color w:val="1E293B"/>
          <w:sz w:val="21"/>
          <w:szCs w:val="21"/>
        </w:rPr>
        <w:t xml:space="preserve">Identifica todos os fornecedores que serão ativados pelo empreendimento (Tier 1 — fornecedores diretos e Tier 2 — fornecedores dos fornecedores), quanto será gasto com cada categoria e quantos empregos indiretos isso gera na economia regional e nacional.</w:t>
      </w:r>
    </w:p>
    <w:p>
      <w:pPr>
        <w:spacing w:after="120" w:before="0"/>
        <w:jc w:val="both"/>
      </w:pPr>
      <w:r>
        <w:rPr>
          <w:rFonts w:ascii="Arial" w:cs="Arial" w:eastAsia="Arial" w:hAnsi="Arial"/>
          <w:b w:val="false"/>
          <w:bCs w:val="false"/>
          <w:i/>
          <w:iCs/>
          <w:color w:val="475569"/>
          <w:sz w:val="21"/>
          <w:szCs w:val="21"/>
        </w:rPr>
        <w:t xml:space="preserve">Por que importa: Prova que o empreendimento cria um “ecossistema” econômico, não apenas uma empresa isolada. Fundamental para demonstrar “implicações mais amplas” exigidas pelo Pilar 3 do Dhanasar.</w:t>
      </w:r>
    </w:p>
    <w:p>
      <w:pPr>
        <w:spacing w:after="60"/>
      </w:pPr>
    </w:p>
    <w:p>
      <w:pPr>
        <w:pStyle w:val="Heading2"/>
        <w:spacing w:after="120" w:before="240"/>
      </w:pPr>
      <w:r>
        <w:rPr>
          <w:rFonts w:ascii="Arial" w:cs="Arial" w:eastAsia="Arial" w:hAnsi="Arial"/>
          <w:b/>
          <w:bCs/>
          <w:color w:val="1A2744"/>
          <w:sz w:val="24"/>
          <w:szCs w:val="24"/>
        </w:rPr>
        <w:t xml:space="preserve">M6 — Multiplicadores de Emprego EPI</w:t>
      </w:r>
    </w:p>
    <w:p>
      <w:pPr>
        <w:spacing w:after="120" w:before="0"/>
        <w:jc w:val="both"/>
      </w:pPr>
      <w:r>
        <w:rPr>
          <w:rFonts w:ascii="Arial" w:cs="Arial" w:eastAsia="Arial" w:hAnsi="Arial"/>
          <w:b w:val="false"/>
          <w:bCs w:val="false"/>
          <w:i w:val="false"/>
          <w:iCs w:val="false"/>
          <w:color w:val="1E293B"/>
          <w:sz w:val="21"/>
          <w:szCs w:val="21"/>
        </w:rPr>
        <w:t xml:space="preserve">Aplica uma terceira metodologia independente (Economic Policy Institute) que captura ligações econômicas em nível NACIONAL, além do regional. Para cada emprego direto criado, calcula quantos empregos adicionais são gerados em fornecedores (supplier jobs) e em re-gastos dos funcionários (re-spending jobs).</w:t>
      </w:r>
    </w:p>
    <w:p>
      <w:pPr>
        <w:spacing w:after="120" w:before="0"/>
        <w:jc w:val="both"/>
      </w:pPr>
      <w:r>
        <w:rPr>
          <w:rFonts w:ascii="Arial" w:cs="Arial" w:eastAsia="Arial" w:hAnsi="Arial"/>
          <w:b w:val="false"/>
          <w:bCs w:val="false"/>
          <w:i/>
          <w:iCs/>
          <w:color w:val="475569"/>
          <w:sz w:val="21"/>
          <w:szCs w:val="21"/>
        </w:rPr>
        <w:t xml:space="preserve">Por que importa: É crucial para rebater a objeção de que o impacto é “apenas local” e não alcança “importância nacional”. Os multiplicadores EPI demonstram efeitos que transcendem a região.</w:t>
      </w:r>
    </w:p>
    <w:p>
      <w:pPr>
        <w:spacing w:after="60"/>
      </w:pPr>
    </w:p>
    <w:p>
      <w:pPr>
        <w:pStyle w:val="Heading2"/>
        <w:spacing w:after="120" w:before="240"/>
      </w:pPr>
      <w:r>
        <w:rPr>
          <w:rFonts w:ascii="Arial" w:cs="Arial" w:eastAsia="Arial" w:hAnsi="Arial"/>
          <w:b/>
          <w:bCs/>
          <w:color w:val="1A2744"/>
          <w:sz w:val="24"/>
          <w:szCs w:val="24"/>
        </w:rPr>
        <w:t xml:space="preserve">M7 — Alinhamento com Políticas Nacionais</w:t>
      </w:r>
    </w:p>
    <w:p>
      <w:pPr>
        <w:spacing w:after="120" w:before="0"/>
        <w:jc w:val="both"/>
      </w:pPr>
      <w:r>
        <w:rPr>
          <w:rFonts w:ascii="Arial" w:cs="Arial" w:eastAsia="Arial" w:hAnsi="Arial"/>
          <w:b w:val="false"/>
          <w:bCs w:val="false"/>
          <w:i w:val="false"/>
          <w:iCs w:val="false"/>
          <w:color w:val="1E293B"/>
          <w:sz w:val="21"/>
          <w:szCs w:val="21"/>
        </w:rPr>
        <w:t xml:space="preserve">Mapeia o empreendimento a políticas, ordens executivas e frameworks estratégicos do governo americano: Executive Orders, CHIPS and Science Act, Inflation Reduction Act (IRA), Infrastructure Investment and Jobs Act (IIJA), America First Trade Policy, entre outros.</w:t>
      </w:r>
    </w:p>
    <w:p>
      <w:pPr>
        <w:spacing w:after="120" w:before="0"/>
        <w:jc w:val="both"/>
      </w:pPr>
      <w:r>
        <w:rPr>
          <w:rFonts w:ascii="Arial" w:cs="Arial" w:eastAsia="Arial" w:hAnsi="Arial"/>
          <w:b w:val="false"/>
          <w:bCs w:val="false"/>
          <w:i/>
          <w:iCs/>
          <w:color w:val="475569"/>
          <w:sz w:val="21"/>
          <w:szCs w:val="21"/>
        </w:rPr>
        <w:t xml:space="preserve">Por que importa: Se o governo americano já declarou que o campo é “de importância nacional” em documentos oficiais, fica significativamente mais difícil para o adjudicador argumentar o contrário. Este módulo fornece a ponte documental entre o empreendimento e as prioridades nacionais.</w:t>
      </w:r>
    </w:p>
    <w:p>
      <w:pPr>
        <w:spacing w:after="60"/>
      </w:pPr>
    </w:p>
    <w:p>
      <w:pPr>
        <w:pStyle w:val="Heading2"/>
        <w:spacing w:after="120" w:before="240"/>
      </w:pPr>
      <w:r>
        <w:rPr>
          <w:rFonts w:ascii="Arial" w:cs="Arial" w:eastAsia="Arial" w:hAnsi="Arial"/>
          <w:b/>
          <w:bCs/>
          <w:color w:val="1A2744"/>
          <w:sz w:val="24"/>
          <w:szCs w:val="24"/>
        </w:rPr>
        <w:t xml:space="preserve">M8 — Vantagem Comparativa Regional</w:t>
      </w:r>
    </w:p>
    <w:p>
      <w:pPr>
        <w:spacing w:after="120" w:before="0"/>
        <w:jc w:val="both"/>
      </w:pPr>
      <w:r>
        <w:rPr>
          <w:rFonts w:ascii="Arial" w:cs="Arial" w:eastAsia="Arial" w:hAnsi="Arial"/>
          <w:b w:val="false"/>
          <w:bCs w:val="false"/>
          <w:i w:val="false"/>
          <w:iCs w:val="false"/>
          <w:color w:val="1E293B"/>
          <w:sz w:val="21"/>
          <w:szCs w:val="21"/>
        </w:rPr>
        <w:t xml:space="preserve">Analisa o posicionamento competitivo da região do peticionário, identificando lacunas de mercado e vantagens específicas que justificam por que AQUELA região se beneficia do empreendimento. Inclui análise de market gaps, concentração competitiva e demanda não atendida.</w:t>
      </w:r>
    </w:p>
    <w:p>
      <w:pPr>
        <w:spacing w:after="120" w:before="0"/>
        <w:jc w:val="both"/>
      </w:pPr>
      <w:r>
        <w:rPr>
          <w:rFonts w:ascii="Arial" w:cs="Arial" w:eastAsia="Arial" w:hAnsi="Arial"/>
          <w:b w:val="false"/>
          <w:bCs w:val="false"/>
          <w:i/>
          <w:iCs/>
          <w:color w:val="475569"/>
          <w:sz w:val="21"/>
          <w:szCs w:val="21"/>
        </w:rPr>
        <w:t xml:space="preserve">Por que importa: Fortalece o argumento de que o peticionário está estrategicamente posicionado em um mercado subatendido, contribuindo para o desenvolvimento econômico da região.</w:t>
      </w:r>
    </w:p>
    <w:p>
      <w:pPr>
        <w:spacing w:after="60"/>
      </w:pPr>
    </w:p>
    <w:p>
      <w:pPr>
        <w:pStyle w:val="Heading2"/>
        <w:spacing w:after="120" w:before="240"/>
      </w:pPr>
      <w:r>
        <w:rPr>
          <w:rFonts w:ascii="Arial" w:cs="Arial" w:eastAsia="Arial" w:hAnsi="Arial"/>
          <w:b/>
          <w:bCs/>
          <w:color w:val="1A2744"/>
          <w:sz w:val="24"/>
          <w:szCs w:val="24"/>
        </w:rPr>
        <w:t xml:space="preserve">M9 — Análise de Sensibilidade &amp; Cenários</w:t>
      </w:r>
    </w:p>
    <w:p>
      <w:pPr>
        <w:spacing w:after="120" w:before="0"/>
        <w:jc w:val="both"/>
      </w:pPr>
      <w:r>
        <w:rPr>
          <w:rFonts w:ascii="Arial" w:cs="Arial" w:eastAsia="Arial" w:hAnsi="Arial"/>
          <w:b w:val="false"/>
          <w:bCs w:val="false"/>
          <w:i w:val="false"/>
          <w:iCs w:val="false"/>
          <w:color w:val="1E293B"/>
          <w:sz w:val="21"/>
          <w:szCs w:val="21"/>
        </w:rPr>
        <w:t xml:space="preserve">Testa as projeções sob três cenários (conservador, base, otimista), variando premissas-chave para mostrar que MESMO no pior caso, o impacto ainda é substancial. Inclui análise de break-even e identificação de variáveis críticas.</w:t>
      </w:r>
    </w:p>
    <w:p>
      <w:pPr>
        <w:spacing w:after="120" w:before="0"/>
        <w:jc w:val="both"/>
      </w:pPr>
      <w:r>
        <w:rPr>
          <w:rFonts w:ascii="Arial" w:cs="Arial" w:eastAsia="Arial" w:hAnsi="Arial"/>
          <w:b w:val="false"/>
          <w:bCs w:val="false"/>
          <w:i/>
          <w:iCs/>
          <w:color w:val="475569"/>
          <w:sz w:val="21"/>
          <w:szCs w:val="21"/>
        </w:rPr>
        <w:t xml:space="preserve">Por que importa: Antecipa a objeção de que “as projeções são otimistas demais”. Se mesmo o cenário conservador mostra impacto significativo, o argumento se torna substancialmente mais robusto.</w:t>
      </w:r>
    </w:p>
    <w:p>
      <w:pPr>
        <w:spacing w:after="60"/>
      </w:pPr>
    </w:p>
    <w:p>
      <w:pPr>
        <w:pStyle w:val="Heading2"/>
        <w:spacing w:after="120" w:before="240"/>
      </w:pPr>
      <w:r>
        <w:rPr>
          <w:rFonts w:ascii="Arial" w:cs="Arial" w:eastAsia="Arial" w:hAnsi="Arial"/>
          <w:b/>
          <w:bCs/>
          <w:color w:val="1A2744"/>
          <w:sz w:val="24"/>
          <w:szCs w:val="24"/>
        </w:rPr>
        <w:t xml:space="preserve">M10 — Painel Executivo &amp; Resumo USCIS</w:t>
      </w:r>
    </w:p>
    <w:p>
      <w:pPr>
        <w:spacing w:after="120" w:before="0"/>
        <w:jc w:val="both"/>
      </w:pPr>
      <w:r>
        <w:rPr>
          <w:rFonts w:ascii="Arial" w:cs="Arial" w:eastAsia="Arial" w:hAnsi="Arial"/>
          <w:b w:val="false"/>
          <w:bCs w:val="false"/>
          <w:i w:val="false"/>
          <w:iCs w:val="false"/>
          <w:color w:val="1E293B"/>
          <w:sz w:val="21"/>
          <w:szCs w:val="21"/>
        </w:rPr>
        <w:t xml:space="preserve">Consolida todos os achados em um formato de dashboard executivo, mapeando cada deficiência típica de RFE ao módulo e evidência que a resolve. Inclui resumo por pilar Dhanasar, tabela “Deficiência → Evidência” e sumário de KPIs econômicos.</w:t>
      </w:r>
    </w:p>
    <w:p>
      <w:pPr>
        <w:spacing w:after="120" w:before="0"/>
        <w:jc w:val="both"/>
      </w:pPr>
      <w:r>
        <w:rPr>
          <w:rFonts w:ascii="Arial" w:cs="Arial" w:eastAsia="Arial" w:hAnsi="Arial"/>
          <w:b w:val="false"/>
          <w:bCs w:val="false"/>
          <w:i/>
          <w:iCs/>
          <w:color w:val="475569"/>
          <w:sz w:val="21"/>
          <w:szCs w:val="21"/>
        </w:rPr>
        <w:t xml:space="preserve">Por que importa: É o “mapa de navegação” para quem monta a petição e para o adjudicador. Facilita encontrar rapidamente a evidência que responde a cada objeção específica, reduzindo o tempo de análise e aumentando a clareza da petição.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3CC" w:sz="1"/>
              <w:left w:val="single" w:color="00A3CC" w:sz="8"/>
              <w:bottom w:val="single" w:color="00A3CC" w:sz="1"/>
              <w:right w:val="single" w:color="00A3CC" w:sz="1"/>
            </w:tcBorders>
            <w:shd w:fill="E8F4F8" w:val="clear"/>
            <w:tcMar>
              <w:top w:type="dxa" w:w="120"/>
              <w:left w:type="dxa" w:w="200"/>
              <w:bottom w:type="dxa" w:w="120"/>
              <w:right w:type="dxa" w:w="200"/>
            </w:tcMar>
          </w:tcPr>
          <w:p>
            <w:pPr>
              <w:jc w:val="both"/>
            </w:pPr>
            <w:r>
              <w:rPr>
                <w:rFonts w:ascii="Arial" w:cs="Arial" w:eastAsia="Arial" w:hAnsi="Arial"/>
                <w:i/>
                <w:iCs/>
                <w:color w:val="0A1628"/>
                <w:sz w:val="20"/>
                <w:szCs w:val="20"/>
              </w:rPr>
              <w:t xml:space="preserve">Nota: Análises de impacto social, cultural e comunitário estão disponíveis como produto complementar separado (IMPACTO® Social), para casos que necessitem dessa dimensão adicional de evidência.</w:t>
            </w:r>
          </w:p>
        </w:tc>
      </w:tr>
    </w:tbl>
    <w:p>
      <w:r>
        <w:br w:type="page"/>
      </w:r>
    </w:p>
    <w:p>
      <w:pPr>
        <w:pBdr>
          <w:bottom w:val="single" w:color="00A3CC" w:sz="4" w:space="6"/>
        </w:pBdr>
        <w:spacing w:after="40" w:before="60"/>
      </w:pPr>
      <w:r>
        <w:rPr>
          <w:rFonts w:ascii="Arial" w:cs="Arial" w:eastAsia="Arial" w:hAnsi="Arial"/>
          <w:b/>
          <w:bCs/>
          <w:color w:val="00A3CC"/>
          <w:sz w:val="16"/>
          <w:szCs w:val="16"/>
        </w:rPr>
        <w:t xml:space="preserve">05  </w:t>
      </w:r>
      <w:r>
        <w:rPr>
          <w:rFonts w:ascii="Arial" w:cs="Arial" w:eastAsia="Arial" w:hAnsi="Arial"/>
          <w:b/>
          <w:bCs/>
          <w:color w:val="00A3CC"/>
          <w:sz w:val="16"/>
          <w:szCs w:val="16"/>
        </w:rPr>
        <w:t xml:space="preserve">FUNDAMENTO CIENTÍFICO</w:t>
      </w:r>
    </w:p>
    <w:p>
      <w:pPr>
        <w:spacing w:after="40"/>
      </w:pPr>
    </w:p>
    <w:p>
      <w:pPr>
        <w:pStyle w:val="Heading1"/>
        <w:spacing w:after="180" w:before="320"/>
      </w:pPr>
      <w:r>
        <w:rPr>
          <w:rFonts w:ascii="Arial" w:cs="Arial" w:eastAsia="Arial" w:hAnsi="Arial"/>
          <w:b/>
          <w:bCs/>
          <w:color w:val="0A1628"/>
          <w:sz w:val="30"/>
          <w:szCs w:val="30"/>
        </w:rPr>
        <w:t xml:space="preserve">As Metodologias Explicadas</w:t>
      </w:r>
    </w:p>
    <w:p>
      <w:pPr>
        <w:spacing w:after="120" w:before="0"/>
        <w:jc w:val="both"/>
      </w:pPr>
      <w:r>
        <w:rPr>
          <w:rFonts w:ascii="Arial" w:cs="Arial" w:eastAsia="Arial" w:hAnsi="Arial"/>
          <w:b w:val="false"/>
          <w:bCs w:val="false"/>
          <w:i w:val="false"/>
          <w:iCs w:val="false"/>
          <w:color w:val="1E293B"/>
          <w:sz w:val="21"/>
          <w:szCs w:val="21"/>
        </w:rPr>
        <w:t xml:space="preserve">O diferencial científico do IMPACTO® Reactor está no uso combinado de múltiplas metodologias de referência, cada uma reconhecida por agências governamentais e pelo meio acadêmico. A seguir, uma explicação detalhada de cada modelo:</w:t>
      </w:r>
    </w:p>
    <w:p>
      <w:pPr>
        <w:spacing w:after="60"/>
      </w:pPr>
    </w:p>
    <w:p>
      <w:pPr>
        <w:pStyle w:val="Heading2"/>
        <w:spacing w:after="120" w:before="240"/>
      </w:pPr>
      <w:r>
        <w:rPr>
          <w:rFonts w:ascii="Arial" w:cs="Arial" w:eastAsia="Arial" w:hAnsi="Arial"/>
          <w:b/>
          <w:bCs/>
          <w:color w:val="1A2744"/>
          <w:sz w:val="24"/>
          <w:szCs w:val="24"/>
        </w:rPr>
        <w:t xml:space="preserve">IMPLAN® — IMpact Analysis for PLANning</w:t>
      </w:r>
    </w:p>
    <w:p>
      <w:pPr>
        <w:spacing w:after="120" w:before="0"/>
        <w:jc w:val="both"/>
      </w:pPr>
      <w:r>
        <w:rPr>
          <w:rFonts w:ascii="Arial" w:cs="Arial" w:eastAsia="Arial" w:hAnsi="Arial"/>
          <w:b w:val="false"/>
          <w:bCs w:val="false"/>
          <w:i w:val="false"/>
          <w:iCs w:val="false"/>
          <w:color w:val="1E293B"/>
          <w:sz w:val="21"/>
          <w:szCs w:val="21"/>
        </w:rPr>
        <w:t xml:space="preserve">O que é: O modelo de impacto econômico mais utilizado nos EUA. Originalmente desenvolvido pelo U.S. Forest Service, hoje é mantido pela IMPLAN Group LLC. Possui dados de 546 setores industriais em nível municipal (county-level), permitindo análises granulares por região.</w:t>
      </w:r>
    </w:p>
    <w:p>
      <w:pPr>
        <w:spacing w:after="120" w:before="0"/>
        <w:jc w:val="both"/>
      </w:pPr>
      <w:r>
        <w:rPr>
          <w:rFonts w:ascii="Arial" w:cs="Arial" w:eastAsia="Arial" w:hAnsi="Arial"/>
          <w:b w:val="false"/>
          <w:bCs w:val="false"/>
          <w:i w:val="false"/>
          <w:iCs w:val="false"/>
          <w:color w:val="1E293B"/>
          <w:sz w:val="21"/>
          <w:szCs w:val="21"/>
        </w:rPr>
        <w:t xml:space="preserve">Como funciona: Você insere os dados do empreendimento (receita projetada, número de funcionários, gastos operacionais) e o modelo calcula os efeitos em cascata: para cada dólar gasto, quanto se propaga pela economia em compras de fornecedores (efeito indireto) e em gastos dos funcionários (efeito induzido). O resultado é uma visão completa do impacto total.</w:t>
      </w:r>
    </w:p>
    <w:p>
      <w:pPr>
        <w:spacing w:after="120" w:before="0"/>
        <w:jc w:val="both"/>
      </w:pPr>
      <w:r>
        <w:rPr>
          <w:rFonts w:ascii="Arial" w:cs="Arial" w:eastAsia="Arial" w:hAnsi="Arial"/>
          <w:b w:val="false"/>
          <w:bCs w:val="false"/>
          <w:i/>
          <w:iCs/>
          <w:color w:val="00A3CC"/>
          <w:sz w:val="18"/>
          <w:szCs w:val="18"/>
        </w:rPr>
        <w:t xml:space="preserve">Credibilidade Alta — Amplamente utilizado por agências governamentais, universidades e consultorias econômicas de referência.</w:t>
      </w:r>
    </w:p>
    <w:p>
      <w:pPr>
        <w:spacing w:after="60"/>
      </w:pPr>
    </w:p>
    <w:p>
      <w:pPr>
        <w:pStyle w:val="Heading2"/>
        <w:spacing w:after="120" w:before="240"/>
      </w:pPr>
      <w:r>
        <w:rPr>
          <w:rFonts w:ascii="Arial" w:cs="Arial" w:eastAsia="Arial" w:hAnsi="Arial"/>
          <w:b/>
          <w:bCs/>
          <w:color w:val="1A2744"/>
          <w:sz w:val="24"/>
          <w:szCs w:val="24"/>
        </w:rPr>
        <w:t xml:space="preserve">RIMS II — Regional Input-Output Modeling System</w:t>
      </w:r>
    </w:p>
    <w:p>
      <w:pPr>
        <w:spacing w:after="120" w:before="0"/>
        <w:jc w:val="both"/>
      </w:pPr>
      <w:r>
        <w:rPr>
          <w:rFonts w:ascii="Arial" w:cs="Arial" w:eastAsia="Arial" w:hAnsi="Arial"/>
          <w:b w:val="false"/>
          <w:bCs w:val="false"/>
          <w:i w:val="false"/>
          <w:iCs w:val="false"/>
          <w:color w:val="1E293B"/>
          <w:sz w:val="21"/>
          <w:szCs w:val="21"/>
        </w:rPr>
        <w:t xml:space="preserve">O que é: Modelo mantido pelo Bureau of Economic Analysis (BEA), órgão oficial do U.S. Department of Commerce. Fornece multiplicadores regionais derivados diretamente das contas nacionais do governo americano.</w:t>
      </w:r>
    </w:p>
    <w:p>
      <w:pPr>
        <w:spacing w:after="120" w:before="0"/>
        <w:jc w:val="both"/>
      </w:pPr>
      <w:r>
        <w:rPr>
          <w:rFonts w:ascii="Arial" w:cs="Arial" w:eastAsia="Arial" w:hAnsi="Arial"/>
          <w:b w:val="false"/>
          <w:bCs w:val="false"/>
          <w:i w:val="false"/>
          <w:iCs w:val="false"/>
          <w:color w:val="1E293B"/>
          <w:sz w:val="21"/>
          <w:szCs w:val="21"/>
        </w:rPr>
        <w:t xml:space="preserve">Como funciona: Similar ao IMPLAN, mas derivado diretamente das contas nacionais. Fornece multiplicadores Tipo II (que incluem efeitos induzidos) para regiões específicas. A força do RIMS II está na sua origem governamental — os dados vêm do próprio órgão que o USCIS reconhece como autoridade em dados econômicos.</w:t>
      </w:r>
    </w:p>
    <w:p>
      <w:pPr>
        <w:spacing w:after="120" w:before="0"/>
        <w:jc w:val="both"/>
      </w:pPr>
      <w:r>
        <w:rPr>
          <w:rFonts w:ascii="Arial" w:cs="Arial" w:eastAsia="Arial" w:hAnsi="Arial"/>
          <w:b w:val="false"/>
          <w:bCs w:val="false"/>
          <w:i/>
          <w:iCs/>
          <w:color w:val="00A3CC"/>
          <w:sz w:val="18"/>
          <w:szCs w:val="18"/>
        </w:rPr>
        <w:t xml:space="preserve">Credibilidade Máxima — Modelo oficial do governo federal dos EUA, mantido pelo BEA/Department of Commerce.</w:t>
      </w:r>
    </w:p>
    <w:p>
      <w:pPr>
        <w:spacing w:after="60"/>
      </w:pPr>
    </w:p>
    <w:p>
      <w:pPr>
        <w:pStyle w:val="Heading2"/>
        <w:spacing w:after="120" w:before="240"/>
      </w:pPr>
      <w:r>
        <w:rPr>
          <w:rFonts w:ascii="Arial" w:cs="Arial" w:eastAsia="Arial" w:hAnsi="Arial"/>
          <w:b/>
          <w:bCs/>
          <w:color w:val="1A2744"/>
          <w:sz w:val="24"/>
          <w:szCs w:val="24"/>
        </w:rPr>
        <w:t xml:space="preserve">EPI — Economic Policy Institute Employment Multipliers</w:t>
      </w:r>
    </w:p>
    <w:p>
      <w:pPr>
        <w:spacing w:after="120" w:before="0"/>
        <w:jc w:val="both"/>
      </w:pPr>
      <w:r>
        <w:rPr>
          <w:rFonts w:ascii="Arial" w:cs="Arial" w:eastAsia="Arial" w:hAnsi="Arial"/>
          <w:b w:val="false"/>
          <w:bCs w:val="false"/>
          <w:i w:val="false"/>
          <w:iCs w:val="false"/>
          <w:color w:val="1E293B"/>
          <w:sz w:val="21"/>
          <w:szCs w:val="21"/>
        </w:rPr>
        <w:t xml:space="preserve">O que é: Multiplicadores de emprego publicados como pesquisa revisada por pares pelo Economic Policy Institute, cobrindo 179 indústrias do setor privado americano.</w:t>
      </w:r>
    </w:p>
    <w:p>
      <w:pPr>
        <w:spacing w:after="120" w:before="0"/>
        <w:jc w:val="both"/>
      </w:pPr>
      <w:r>
        <w:rPr>
          <w:rFonts w:ascii="Arial" w:cs="Arial" w:eastAsia="Arial" w:hAnsi="Arial"/>
          <w:b w:val="false"/>
          <w:bCs w:val="false"/>
          <w:i w:val="false"/>
          <w:iCs w:val="false"/>
          <w:color w:val="1E293B"/>
          <w:sz w:val="21"/>
          <w:szCs w:val="21"/>
        </w:rPr>
        <w:t xml:space="preserve">Como funciona: Para cada emprego direto criado, calcula quantos empregos adicionais são gerados em fornecedores (supplier jobs) e em re-gastos dos funcionários (re-spending jobs) em nível NACIONAL. Diferente do IMPLAN e RIMS II que são regionais, os multiplicadores EPI capturam efeitos que transcendem fronteiras estaduais.</w:t>
      </w:r>
    </w:p>
    <w:p>
      <w:pPr>
        <w:spacing w:after="120" w:before="0"/>
        <w:jc w:val="both"/>
      </w:pPr>
      <w:r>
        <w:rPr>
          <w:rFonts w:ascii="Arial" w:cs="Arial" w:eastAsia="Arial" w:hAnsi="Arial"/>
          <w:b w:val="false"/>
          <w:bCs w:val="false"/>
          <w:i/>
          <w:iCs/>
          <w:color w:val="00A3CC"/>
          <w:sz w:val="18"/>
          <w:szCs w:val="18"/>
        </w:rPr>
        <w:t xml:space="preserve">Pesquisa Acadêmica Revisada por Pares — Alcance Nacional, complementando as análises regionais.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3CC" w:sz="1"/>
              <w:left w:val="single" w:color="00A3CC" w:sz="8"/>
              <w:bottom w:val="single" w:color="00A3CC" w:sz="1"/>
              <w:right w:val="single" w:color="00A3CC" w:sz="1"/>
            </w:tcBorders>
            <w:shd w:fill="E8F4F8" w:val="clear"/>
            <w:tcMar>
              <w:top w:type="dxa" w:w="120"/>
              <w:left w:type="dxa" w:w="200"/>
              <w:bottom w:type="dxa" w:w="120"/>
              <w:right w:type="dxa" w:w="200"/>
            </w:tcMar>
          </w:tcPr>
          <w:p>
            <w:pPr>
              <w:jc w:val="both"/>
            </w:pPr>
            <w:r>
              <w:rPr>
                <w:rFonts w:ascii="Arial" w:cs="Arial" w:eastAsia="Arial" w:hAnsi="Arial"/>
                <w:i/>
                <w:iCs/>
                <w:color w:val="0A1628"/>
                <w:sz w:val="20"/>
                <w:szCs w:val="20"/>
              </w:rPr>
              <w:t xml:space="preserve">Por que três? Quando IMPLAN, RIMS II e EPI convergem nos resultados, a evidência ganha um grau de robustez técnica muito superior. É o equivalente a ter três peritos independentes chegando à mesma conclusão — o que dificulta significativamente ao adjudicador argumentar que os números são “otimistas” ou “não confiáveis”.</w:t>
            </w:r>
          </w:p>
        </w:tc>
      </w:tr>
    </w:tbl>
    <w:p>
      <w:r>
        <w:br w:type="page"/>
      </w:r>
    </w:p>
    <w:p>
      <w:pPr>
        <w:pBdr>
          <w:bottom w:val="single" w:color="00A3CC" w:sz="4" w:space="6"/>
        </w:pBdr>
        <w:spacing w:after="40" w:before="60"/>
      </w:pPr>
      <w:r>
        <w:rPr>
          <w:rFonts w:ascii="Arial" w:cs="Arial" w:eastAsia="Arial" w:hAnsi="Arial"/>
          <w:b/>
          <w:bCs/>
          <w:color w:val="00A3CC"/>
          <w:sz w:val="16"/>
          <w:szCs w:val="16"/>
        </w:rPr>
        <w:t xml:space="preserve">06  </w:t>
      </w:r>
      <w:r>
        <w:rPr>
          <w:rFonts w:ascii="Arial" w:cs="Arial" w:eastAsia="Arial" w:hAnsi="Arial"/>
          <w:b/>
          <w:bCs/>
          <w:color w:val="00A3CC"/>
          <w:sz w:val="16"/>
          <w:szCs w:val="16"/>
        </w:rPr>
        <w:t xml:space="preserve">O PRODUTO</w:t>
      </w:r>
    </w:p>
    <w:p>
      <w:pPr>
        <w:spacing w:after="40"/>
      </w:pPr>
    </w:p>
    <w:p>
      <w:pPr>
        <w:pStyle w:val="Heading1"/>
        <w:spacing w:after="180" w:before="320"/>
      </w:pPr>
      <w:r>
        <w:rPr>
          <w:rFonts w:ascii="Arial" w:cs="Arial" w:eastAsia="Arial" w:hAnsi="Arial"/>
          <w:b/>
          <w:bCs/>
          <w:color w:val="0A1628"/>
          <w:sz w:val="30"/>
          <w:szCs w:val="30"/>
        </w:rPr>
        <w:t xml:space="preserve">O Que Está Incluído</w:t>
      </w:r>
    </w:p>
    <w:p>
      <w:pPr>
        <w:spacing w:after="120" w:before="0"/>
        <w:jc w:val="both"/>
      </w:pPr>
      <w:r>
        <w:rPr>
          <w:rFonts w:ascii="Arial" w:cs="Arial" w:eastAsia="Arial" w:hAnsi="Arial"/>
          <w:b w:val="false"/>
          <w:bCs w:val="false"/>
          <w:i w:val="false"/>
          <w:iCs w:val="false"/>
          <w:color w:val="1E293B"/>
          <w:sz w:val="21"/>
          <w:szCs w:val="21"/>
        </w:rPr>
        <w:t xml:space="preserve">O IMPACTO® Reactor é um produto único e completo. Sem versões parciais, sem limitações — cada cliente recebe o pacote integral de evidência econômica: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Característica</w:t>
            </w:r>
          </w:p>
        </w:tc>
        <w:tc>
          <w:tcPr>
            <w:tcW w:type="dxa" w:w="468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IMPACTO® Reactor</w:t>
            </w:r>
          </w:p>
        </w:tc>
      </w:tr>
      <w:tr>
        <w:tc>
          <w:tcPr>
            <w:tcW w:type="dxa" w:w="4680"/>
            <w:tcBorders>
              <w:top w:val="single" w:color="CBD5E1" w:sz="1"/>
              <w:left w:val="single" w:color="CBD5E1" w:sz="1"/>
              <w:bottom w:val="single" w:color="CBD5E1" w:sz="1"/>
              <w:right w:val="single" w:color="CBD5E1" w:sz="1"/>
            </w:tcBorders>
            <w:shd w:fill="F0F4F8" w:val="clear"/>
            <w:tcMar>
              <w:top w:type="dxa" w:w="60"/>
              <w:left w:type="dxa" w:w="120"/>
              <w:bottom w:type="dxa" w:w="60"/>
              <w:right w:type="dxa" w:w="120"/>
            </w:tcMar>
          </w:tcPr>
          <w:p>
            <w:pPr>
              <w:jc w:val="left"/>
            </w:pPr>
            <w:r>
              <w:rPr>
                <w:rFonts w:ascii="Arial" w:cs="Arial" w:eastAsia="Arial" w:hAnsi="Arial"/>
                <w:b/>
                <w:bCs/>
                <w:color w:val="1E293B"/>
                <w:sz w:val="18"/>
                <w:szCs w:val="18"/>
              </w:rPr>
              <w:t xml:space="preserve">Módulos Incluídos</w:t>
            </w:r>
          </w:p>
        </w:tc>
        <w:tc>
          <w:tcPr>
            <w:tcW w:type="dxa" w:w="4680"/>
            <w:tcBorders>
              <w:top w:val="single" w:color="CBD5E1" w:sz="1"/>
              <w:left w:val="single" w:color="CBD5E1" w:sz="1"/>
              <w:bottom w:val="single" w:color="CBD5E1" w:sz="1"/>
              <w:right w:val="single" w:color="CBD5E1" w:sz="1"/>
            </w:tcBorders>
            <w:shd w:fill="F0F4F8" w:val="clear"/>
            <w:tcMar>
              <w:top w:type="dxa" w:w="60"/>
              <w:left w:type="dxa" w:w="120"/>
              <w:bottom w:type="dxa" w:w="60"/>
              <w:right w:type="dxa" w:w="120"/>
            </w:tcMar>
          </w:tcPr>
          <w:p>
            <w:pPr>
              <w:jc w:val="left"/>
            </w:pPr>
            <w:r>
              <w:rPr>
                <w:rFonts w:ascii="Arial" w:cs="Arial" w:eastAsia="Arial" w:hAnsi="Arial"/>
                <w:b w:val="false"/>
                <w:bCs w:val="false"/>
                <w:color w:val="1E293B"/>
                <w:sz w:val="18"/>
                <w:szCs w:val="18"/>
              </w:rPr>
              <w:t xml:space="preserve">Todos os 10 módulos (M1–M10)</w:t>
            </w:r>
          </w:p>
        </w:tc>
      </w:tr>
      <w:tr>
        <w:tc>
          <w:tcPr>
            <w:tcW w:type="dxa" w:w="468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bCs/>
                <w:color w:val="1E293B"/>
                <w:sz w:val="18"/>
                <w:szCs w:val="18"/>
              </w:rPr>
              <w:t xml:space="preserve">Metodologias</w:t>
            </w:r>
          </w:p>
        </w:tc>
        <w:tc>
          <w:tcPr>
            <w:tcW w:type="dxa" w:w="468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val="false"/>
                <w:bCs w:val="false"/>
                <w:color w:val="1E293B"/>
                <w:sz w:val="18"/>
                <w:szCs w:val="18"/>
              </w:rPr>
              <w:t xml:space="preserve">IMPLAN + RIMS II + EPI (validação tripla)</w:t>
            </w:r>
          </w:p>
        </w:tc>
      </w:tr>
      <w:tr>
        <w:tc>
          <w:tcPr>
            <w:tcW w:type="dxa" w:w="4680"/>
            <w:tcBorders>
              <w:top w:val="single" w:color="CBD5E1" w:sz="1"/>
              <w:left w:val="single" w:color="CBD5E1" w:sz="1"/>
              <w:bottom w:val="single" w:color="CBD5E1" w:sz="1"/>
              <w:right w:val="single" w:color="CBD5E1" w:sz="1"/>
            </w:tcBorders>
            <w:shd w:fill="F0F4F8" w:val="clear"/>
            <w:tcMar>
              <w:top w:type="dxa" w:w="60"/>
              <w:left w:type="dxa" w:w="120"/>
              <w:bottom w:type="dxa" w:w="60"/>
              <w:right w:type="dxa" w:w="120"/>
            </w:tcMar>
          </w:tcPr>
          <w:p>
            <w:pPr>
              <w:jc w:val="left"/>
            </w:pPr>
            <w:r>
              <w:rPr>
                <w:rFonts w:ascii="Arial" w:cs="Arial" w:eastAsia="Arial" w:hAnsi="Arial"/>
                <w:b/>
                <w:bCs/>
                <w:color w:val="1E293B"/>
                <w:sz w:val="18"/>
                <w:szCs w:val="18"/>
              </w:rPr>
              <w:t xml:space="preserve">Validação Cruzada</w:t>
            </w:r>
          </w:p>
        </w:tc>
        <w:tc>
          <w:tcPr>
            <w:tcW w:type="dxa" w:w="4680"/>
            <w:tcBorders>
              <w:top w:val="single" w:color="CBD5E1" w:sz="1"/>
              <w:left w:val="single" w:color="CBD5E1" w:sz="1"/>
              <w:bottom w:val="single" w:color="CBD5E1" w:sz="1"/>
              <w:right w:val="single" w:color="CBD5E1" w:sz="1"/>
            </w:tcBorders>
            <w:shd w:fill="F0F4F8" w:val="clear"/>
            <w:tcMar>
              <w:top w:type="dxa" w:w="60"/>
              <w:left w:type="dxa" w:w="120"/>
              <w:bottom w:type="dxa" w:w="60"/>
              <w:right w:type="dxa" w:w="120"/>
            </w:tcMar>
          </w:tcPr>
          <w:p>
            <w:pPr>
              <w:jc w:val="left"/>
            </w:pPr>
            <w:r>
              <w:rPr>
                <w:rFonts w:ascii="Arial" w:cs="Arial" w:eastAsia="Arial" w:hAnsi="Arial"/>
                <w:b w:val="false"/>
                <w:bCs w:val="false"/>
                <w:color w:val="1E293B"/>
                <w:sz w:val="18"/>
                <w:szCs w:val="18"/>
              </w:rPr>
              <w:t xml:space="preserve">Sim — 3 modelos independentes</w:t>
            </w:r>
          </w:p>
        </w:tc>
      </w:tr>
      <w:tr>
        <w:tc>
          <w:tcPr>
            <w:tcW w:type="dxa" w:w="468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bCs/>
                <w:color w:val="1E293B"/>
                <w:sz w:val="18"/>
                <w:szCs w:val="18"/>
              </w:rPr>
              <w:t xml:space="preserve">Análise de Sensibilidade</w:t>
            </w:r>
          </w:p>
        </w:tc>
        <w:tc>
          <w:tcPr>
            <w:tcW w:type="dxa" w:w="468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val="false"/>
                <w:bCs w:val="false"/>
                <w:color w:val="1E293B"/>
                <w:sz w:val="18"/>
                <w:szCs w:val="18"/>
              </w:rPr>
              <w:t xml:space="preserve">Completa (3 cenários: conservador, base, otimista)</w:t>
            </w:r>
          </w:p>
        </w:tc>
      </w:tr>
      <w:tr>
        <w:tc>
          <w:tcPr>
            <w:tcW w:type="dxa" w:w="4680"/>
            <w:tcBorders>
              <w:top w:val="single" w:color="CBD5E1" w:sz="1"/>
              <w:left w:val="single" w:color="CBD5E1" w:sz="1"/>
              <w:bottom w:val="single" w:color="CBD5E1" w:sz="1"/>
              <w:right w:val="single" w:color="CBD5E1" w:sz="1"/>
            </w:tcBorders>
            <w:shd w:fill="F0F4F8" w:val="clear"/>
            <w:tcMar>
              <w:top w:type="dxa" w:w="60"/>
              <w:left w:type="dxa" w:w="120"/>
              <w:bottom w:type="dxa" w:w="60"/>
              <w:right w:type="dxa" w:w="120"/>
            </w:tcMar>
          </w:tcPr>
          <w:p>
            <w:pPr>
              <w:jc w:val="left"/>
            </w:pPr>
            <w:r>
              <w:rPr>
                <w:rFonts w:ascii="Arial" w:cs="Arial" w:eastAsia="Arial" w:hAnsi="Arial"/>
                <w:b/>
                <w:bCs/>
                <w:color w:val="1E293B"/>
                <w:sz w:val="18"/>
                <w:szCs w:val="18"/>
              </w:rPr>
              <w:t xml:space="preserve">Alinhamento c/ Políticas</w:t>
            </w:r>
          </w:p>
        </w:tc>
        <w:tc>
          <w:tcPr>
            <w:tcW w:type="dxa" w:w="4680"/>
            <w:tcBorders>
              <w:top w:val="single" w:color="CBD5E1" w:sz="1"/>
              <w:left w:val="single" w:color="CBD5E1" w:sz="1"/>
              <w:bottom w:val="single" w:color="CBD5E1" w:sz="1"/>
              <w:right w:val="single" w:color="CBD5E1" w:sz="1"/>
            </w:tcBorders>
            <w:shd w:fill="F0F4F8" w:val="clear"/>
            <w:tcMar>
              <w:top w:type="dxa" w:w="60"/>
              <w:left w:type="dxa" w:w="120"/>
              <w:bottom w:type="dxa" w:w="60"/>
              <w:right w:type="dxa" w:w="120"/>
            </w:tcMar>
          </w:tcPr>
          <w:p>
            <w:pPr>
              <w:jc w:val="left"/>
            </w:pPr>
            <w:r>
              <w:rPr>
                <w:rFonts w:ascii="Arial" w:cs="Arial" w:eastAsia="Arial" w:hAnsi="Arial"/>
                <w:b w:val="false"/>
                <w:bCs w:val="false"/>
                <w:color w:val="1E293B"/>
                <w:sz w:val="18"/>
                <w:szCs w:val="18"/>
              </w:rPr>
              <w:t xml:space="preserve">Completo (CET, Executive Orders, Acts)</w:t>
            </w:r>
          </w:p>
        </w:tc>
      </w:tr>
      <w:tr>
        <w:tc>
          <w:tcPr>
            <w:tcW w:type="dxa" w:w="468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bCs/>
                <w:color w:val="1E293B"/>
                <w:sz w:val="18"/>
                <w:szCs w:val="18"/>
              </w:rPr>
              <w:t xml:space="preserve">Supply Chain Mapping</w:t>
            </w:r>
          </w:p>
        </w:tc>
        <w:tc>
          <w:tcPr>
            <w:tcW w:type="dxa" w:w="468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val="false"/>
                <w:bCs w:val="false"/>
                <w:color w:val="1E293B"/>
                <w:sz w:val="18"/>
                <w:szCs w:val="18"/>
              </w:rPr>
              <w:t xml:space="preserve">Tier 1 + Tier 2 (fornecedores diretos e indiretos)</w:t>
            </w:r>
          </w:p>
        </w:tc>
      </w:tr>
      <w:tr>
        <w:tc>
          <w:tcPr>
            <w:tcW w:type="dxa" w:w="4680"/>
            <w:tcBorders>
              <w:top w:val="single" w:color="CBD5E1" w:sz="1"/>
              <w:left w:val="single" w:color="CBD5E1" w:sz="1"/>
              <w:bottom w:val="single" w:color="CBD5E1" w:sz="1"/>
              <w:right w:val="single" w:color="CBD5E1" w:sz="1"/>
            </w:tcBorders>
            <w:shd w:fill="F0F4F8" w:val="clear"/>
            <w:tcMar>
              <w:top w:type="dxa" w:w="60"/>
              <w:left w:type="dxa" w:w="120"/>
              <w:bottom w:type="dxa" w:w="60"/>
              <w:right w:type="dxa" w:w="120"/>
            </w:tcMar>
          </w:tcPr>
          <w:p>
            <w:pPr>
              <w:jc w:val="left"/>
            </w:pPr>
            <w:r>
              <w:rPr>
                <w:rFonts w:ascii="Arial" w:cs="Arial" w:eastAsia="Arial" w:hAnsi="Arial"/>
                <w:b/>
                <w:bCs/>
                <w:color w:val="1E293B"/>
                <w:sz w:val="18"/>
                <w:szCs w:val="18"/>
              </w:rPr>
              <w:t xml:space="preserve">Projeção Tributária</w:t>
            </w:r>
          </w:p>
        </w:tc>
        <w:tc>
          <w:tcPr>
            <w:tcW w:type="dxa" w:w="4680"/>
            <w:tcBorders>
              <w:top w:val="single" w:color="CBD5E1" w:sz="1"/>
              <w:left w:val="single" w:color="CBD5E1" w:sz="1"/>
              <w:bottom w:val="single" w:color="CBD5E1" w:sz="1"/>
              <w:right w:val="single" w:color="CBD5E1" w:sz="1"/>
            </w:tcBorders>
            <w:shd w:fill="F0F4F8" w:val="clear"/>
            <w:tcMar>
              <w:top w:type="dxa" w:w="60"/>
              <w:left w:type="dxa" w:w="120"/>
              <w:bottom w:type="dxa" w:w="60"/>
              <w:right w:type="dxa" w:w="120"/>
            </w:tcMar>
          </w:tcPr>
          <w:p>
            <w:pPr>
              <w:jc w:val="left"/>
            </w:pPr>
            <w:r>
              <w:rPr>
                <w:rFonts w:ascii="Arial" w:cs="Arial" w:eastAsia="Arial" w:hAnsi="Arial"/>
                <w:b w:val="false"/>
                <w:bCs w:val="false"/>
                <w:color w:val="1E293B"/>
                <w:sz w:val="18"/>
                <w:szCs w:val="18"/>
              </w:rPr>
              <w:t xml:space="preserve">Desagregada por tipo de imposto e nível de governo</w:t>
            </w:r>
          </w:p>
        </w:tc>
      </w:tr>
      <w:tr>
        <w:tc>
          <w:tcPr>
            <w:tcW w:type="dxa" w:w="468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bCs/>
                <w:color w:val="1E293B"/>
                <w:sz w:val="18"/>
                <w:szCs w:val="18"/>
              </w:rPr>
              <w:t xml:space="preserve">Dashboard USCIS</w:t>
            </w:r>
          </w:p>
        </w:tc>
        <w:tc>
          <w:tcPr>
            <w:tcW w:type="dxa" w:w="468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val="false"/>
                <w:bCs w:val="false"/>
                <w:color w:val="1E293B"/>
                <w:sz w:val="18"/>
                <w:szCs w:val="18"/>
              </w:rPr>
              <w:t xml:space="preserve">Tabela Deficiência → Evidência (anti-RFE)</w:t>
            </w:r>
          </w:p>
        </w:tc>
      </w:tr>
    </w:tbl>
    <w:p>
      <w:pPr>
        <w:spacing w:after="60"/>
      </w:pPr>
    </w:p>
    <w:p>
      <w:pPr>
        <w:pStyle w:val="Heading2"/>
        <w:spacing w:after="120" w:before="240"/>
      </w:pPr>
      <w:r>
        <w:rPr>
          <w:rFonts w:ascii="Arial" w:cs="Arial" w:eastAsia="Arial" w:hAnsi="Arial"/>
          <w:b/>
          <w:bCs/>
          <w:color w:val="1A2744"/>
          <w:sz w:val="24"/>
          <w:szCs w:val="24"/>
        </w:rPr>
        <w:t xml:space="preserve">Aplicações</w:t>
      </w:r>
    </w:p>
    <w:p>
      <w:pPr>
        <w:spacing w:after="120" w:before="0"/>
        <w:jc w:val="both"/>
      </w:pPr>
      <w:r>
        <w:rPr>
          <w:rFonts w:ascii="Arial" w:cs="Arial" w:eastAsia="Arial" w:hAnsi="Arial"/>
          <w:b w:val="false"/>
          <w:bCs w:val="false"/>
          <w:i w:val="false"/>
          <w:iCs w:val="false"/>
          <w:color w:val="1E293B"/>
          <w:sz w:val="21"/>
          <w:szCs w:val="21"/>
        </w:rPr>
        <w:t xml:space="preserve">O Reactor é aplicável a petições iniciais, respostas a RFE, Appeals e casos complexos. Cada cliente recebe exatamente o mesmo pacote completo de evidência, com todos os 10 módulos, validação tripla e mapeamento anti-RFE integrado.</w:t>
      </w:r>
    </w:p>
    <w:p>
      <w:pPr>
        <w:spacing w:after="60"/>
      </w:pPr>
    </w:p>
    <w:p>
      <w:pPr>
        <w:pStyle w:val="Heading2"/>
        <w:spacing w:after="120" w:before="240"/>
      </w:pPr>
      <w:r>
        <w:rPr>
          <w:rFonts w:ascii="Arial" w:cs="Arial" w:eastAsia="Arial" w:hAnsi="Arial"/>
          <w:b/>
          <w:bCs/>
          <w:color w:val="1A2744"/>
          <w:sz w:val="24"/>
          <w:szCs w:val="24"/>
        </w:rPr>
        <w:t xml:space="preserve">Investimento</w:t>
      </w:r>
    </w:p>
    <w:p>
      <w:pPr>
        <w:spacing w:after="60" w:before="160"/>
        <w:jc w:val="center"/>
      </w:pPr>
      <w:r>
        <w:rPr>
          <w:rFonts w:ascii="Arial" w:cs="Arial" w:eastAsia="Arial" w:hAnsi="Arial"/>
          <w:b/>
          <w:bCs/>
          <w:color w:val="00A3CC"/>
          <w:sz w:val="32"/>
          <w:szCs w:val="32"/>
        </w:rPr>
        <w:t xml:space="preserve">$790 USD</w:t>
      </w:r>
    </w:p>
    <w:p>
      <w:pPr>
        <w:spacing w:after="160"/>
        <w:jc w:val="center"/>
      </w:pPr>
      <w:r>
        <w:rPr>
          <w:rFonts w:ascii="Arial" w:cs="Arial" w:eastAsia="Arial" w:hAnsi="Arial"/>
          <w:color w:val="475569"/>
          <w:sz w:val="20"/>
          <w:szCs w:val="20"/>
        </w:rPr>
        <w:t xml:space="preserve">Pagamento único antecipado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3CC" w:sz="1"/>
              <w:left w:val="single" w:color="00A3CC" w:sz="8"/>
              <w:bottom w:val="single" w:color="00A3CC" w:sz="1"/>
              <w:right w:val="single" w:color="00A3CC" w:sz="1"/>
            </w:tcBorders>
            <w:shd w:fill="E8F4F8" w:val="clear"/>
            <w:tcMar>
              <w:top w:type="dxa" w:w="120"/>
              <w:left w:type="dxa" w:w="200"/>
              <w:bottom w:type="dxa" w:w="120"/>
              <w:right w:type="dxa" w:w="200"/>
            </w:tcMar>
          </w:tcPr>
          <w:p>
            <w:pPr>
              <w:jc w:val="both"/>
            </w:pPr>
            <w:r>
              <w:rPr>
                <w:rFonts w:ascii="Arial" w:cs="Arial" w:eastAsia="Arial" w:hAnsi="Arial"/>
                <w:i/>
                <w:iCs/>
                <w:color w:val="0A1628"/>
                <w:sz w:val="20"/>
                <w:szCs w:val="20"/>
              </w:rPr>
              <w:t xml:space="preserve">Complemento disponível: Para casos que também necessitem de evidência de impacto social, cultural ou comunitário, o IMPACTO® Social pode ser contratado como produto complementar.</w:t>
            </w:r>
          </w:p>
        </w:tc>
      </w:tr>
    </w:tbl>
    <w:p>
      <w:r>
        <w:br w:type="page"/>
      </w:r>
    </w:p>
    <w:p>
      <w:pPr>
        <w:pBdr>
          <w:bottom w:val="single" w:color="00A3CC" w:sz="4" w:space="6"/>
        </w:pBdr>
        <w:spacing w:after="40" w:before="60"/>
      </w:pPr>
      <w:r>
        <w:rPr>
          <w:rFonts w:ascii="Arial" w:cs="Arial" w:eastAsia="Arial" w:hAnsi="Arial"/>
          <w:b/>
          <w:bCs/>
          <w:color w:val="00A3CC"/>
          <w:sz w:val="16"/>
          <w:szCs w:val="16"/>
        </w:rPr>
        <w:t xml:space="preserve">07  </w:t>
      </w:r>
      <w:r>
        <w:rPr>
          <w:rFonts w:ascii="Arial" w:cs="Arial" w:eastAsia="Arial" w:hAnsi="Arial"/>
          <w:b/>
          <w:bCs/>
          <w:color w:val="00A3CC"/>
          <w:sz w:val="16"/>
          <w:szCs w:val="16"/>
        </w:rPr>
        <w:t xml:space="preserve">VANTAGEM COMPETITIVA</w:t>
      </w:r>
    </w:p>
    <w:p>
      <w:pPr>
        <w:spacing w:after="40"/>
      </w:pPr>
    </w:p>
    <w:p>
      <w:pPr>
        <w:pStyle w:val="Heading1"/>
        <w:spacing w:after="180" w:before="320"/>
      </w:pPr>
      <w:r>
        <w:rPr>
          <w:rFonts w:ascii="Arial" w:cs="Arial" w:eastAsia="Arial" w:hAnsi="Arial"/>
          <w:b/>
          <w:bCs/>
          <w:color w:val="0A1628"/>
          <w:sz w:val="30"/>
          <w:szCs w:val="30"/>
        </w:rPr>
        <w:t xml:space="preserve">Diferenciais Competitivos</w:t>
      </w:r>
    </w:p>
    <w:p>
      <w:pPr>
        <w:spacing w:after="120" w:before="0"/>
        <w:jc w:val="both"/>
      </w:pPr>
      <w:r>
        <w:rPr>
          <w:rFonts w:ascii="Arial" w:cs="Arial" w:eastAsia="Arial" w:hAnsi="Arial"/>
          <w:b w:val="false"/>
          <w:bCs w:val="false"/>
          <w:i w:val="false"/>
          <w:iCs w:val="false"/>
          <w:color w:val="1E293B"/>
          <w:sz w:val="21"/>
          <w:szCs w:val="21"/>
        </w:rPr>
        <w:t xml:space="preserve">O IMPACTO® Reactor não tem concorrente direto no mercado de EB-2 NIW para o público brasileiro. Os poucos players americanos que oferecem análises de impacto econômico utilizam escopo significativamente inferior: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Diferencial</w:t>
            </w:r>
          </w:p>
        </w:tc>
        <w:tc>
          <w:tcPr>
            <w:tcW w:type="dxa" w:w="32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Concorrentes</w:t>
            </w:r>
          </w:p>
        </w:tc>
        <w:tc>
          <w:tcPr>
            <w:tcW w:type="dxa" w:w="376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IMPACTO® Reactor</w:t>
            </w:r>
          </w:p>
        </w:tc>
      </w:tr>
      <w:tr>
        <w:tc>
          <w:tcPr>
            <w:tcW w:type="dxa" w:w="2400"/>
            <w:tcBorders>
              <w:top w:val="single" w:color="CBD5E1" w:sz="1"/>
              <w:left w:val="single" w:color="CBD5E1" w:sz="1"/>
              <w:bottom w:val="single" w:color="CBD5E1" w:sz="1"/>
              <w:right w:val="single" w:color="CBD5E1" w:sz="1"/>
            </w:tcBorders>
            <w:shd w:fill="F0F4F8" w:val="clear"/>
            <w:tcMar>
              <w:top w:type="dxa" w:w="60"/>
              <w:left w:type="dxa" w:w="120"/>
              <w:bottom w:type="dxa" w:w="60"/>
              <w:right w:type="dxa" w:w="120"/>
            </w:tcMar>
          </w:tcPr>
          <w:p>
            <w:pPr>
              <w:jc w:val="left"/>
            </w:pPr>
            <w:r>
              <w:rPr>
                <w:rFonts w:ascii="Arial" w:cs="Arial" w:eastAsia="Arial" w:hAnsi="Arial"/>
                <w:b/>
                <w:bCs/>
                <w:color w:val="1E293B"/>
                <w:sz w:val="18"/>
                <w:szCs w:val="18"/>
              </w:rPr>
              <w:t xml:space="preserve">Metodologias</w:t>
            </w:r>
          </w:p>
        </w:tc>
        <w:tc>
          <w:tcPr>
            <w:tcW w:type="dxa" w:w="3200"/>
            <w:tcBorders>
              <w:top w:val="single" w:color="CBD5E1" w:sz="1"/>
              <w:left w:val="single" w:color="CBD5E1" w:sz="1"/>
              <w:bottom w:val="single" w:color="CBD5E1" w:sz="1"/>
              <w:right w:val="single" w:color="CBD5E1" w:sz="1"/>
            </w:tcBorders>
            <w:shd w:fill="F0F4F8" w:val="clear"/>
            <w:tcMar>
              <w:top w:type="dxa" w:w="60"/>
              <w:left w:type="dxa" w:w="120"/>
              <w:bottom w:type="dxa" w:w="60"/>
              <w:right w:type="dxa" w:w="120"/>
            </w:tcMar>
          </w:tcPr>
          <w:p>
            <w:pPr>
              <w:jc w:val="left"/>
            </w:pPr>
            <w:r>
              <w:rPr>
                <w:rFonts w:ascii="Arial" w:cs="Arial" w:eastAsia="Arial" w:hAnsi="Arial"/>
                <w:b w:val="false"/>
                <w:bCs w:val="false"/>
                <w:color w:val="1E293B"/>
                <w:sz w:val="18"/>
                <w:szCs w:val="18"/>
              </w:rPr>
              <w:t xml:space="preserve">1 modelo (geralmente IMPLAN)</w:t>
            </w:r>
          </w:p>
        </w:tc>
        <w:tc>
          <w:tcPr>
            <w:tcW w:type="dxa" w:w="3760"/>
            <w:tcBorders>
              <w:top w:val="single" w:color="CBD5E1" w:sz="1"/>
              <w:left w:val="single" w:color="CBD5E1" w:sz="1"/>
              <w:bottom w:val="single" w:color="CBD5E1" w:sz="1"/>
              <w:right w:val="single" w:color="CBD5E1" w:sz="1"/>
            </w:tcBorders>
            <w:shd w:fill="F0F4F8" w:val="clear"/>
            <w:tcMar>
              <w:top w:type="dxa" w:w="60"/>
              <w:left w:type="dxa" w:w="120"/>
              <w:bottom w:type="dxa" w:w="60"/>
              <w:right w:type="dxa" w:w="120"/>
            </w:tcMar>
          </w:tcPr>
          <w:p>
            <w:pPr>
              <w:jc w:val="left"/>
            </w:pPr>
            <w:r>
              <w:rPr>
                <w:rFonts w:ascii="Arial" w:cs="Arial" w:eastAsia="Arial" w:hAnsi="Arial"/>
                <w:b/>
                <w:bCs/>
                <w:color w:val="00A3CC"/>
                <w:sz w:val="18"/>
                <w:szCs w:val="18"/>
              </w:rPr>
              <w:t xml:space="preserve">3 modelos (IMPLAN + RIMS II + EPI)</w:t>
            </w:r>
          </w:p>
        </w:tc>
      </w:tr>
      <w:tr>
        <w:tc>
          <w:tcPr>
            <w:tcW w:type="dxa" w:w="2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bCs/>
                <w:color w:val="1E293B"/>
                <w:sz w:val="18"/>
                <w:szCs w:val="18"/>
              </w:rPr>
              <w:t xml:space="preserve">Validação Cruzada</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val="false"/>
                <w:bCs w:val="false"/>
                <w:color w:val="1E293B"/>
                <w:sz w:val="18"/>
                <w:szCs w:val="18"/>
              </w:rPr>
              <w:t xml:space="preserve">Não oferecem</w:t>
            </w:r>
          </w:p>
        </w:tc>
        <w:tc>
          <w:tcPr>
            <w:tcW w:type="dxa" w:w="37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bCs/>
                <w:color w:val="00A3CC"/>
                <w:sz w:val="18"/>
                <w:szCs w:val="18"/>
              </w:rPr>
              <w:t xml:space="preserve">Incluído como padrão</w:t>
            </w:r>
          </w:p>
        </w:tc>
      </w:tr>
      <w:tr>
        <w:tc>
          <w:tcPr>
            <w:tcW w:type="dxa" w:w="2400"/>
            <w:tcBorders>
              <w:top w:val="single" w:color="CBD5E1" w:sz="1"/>
              <w:left w:val="single" w:color="CBD5E1" w:sz="1"/>
              <w:bottom w:val="single" w:color="CBD5E1" w:sz="1"/>
              <w:right w:val="single" w:color="CBD5E1" w:sz="1"/>
            </w:tcBorders>
            <w:shd w:fill="F0F4F8" w:val="clear"/>
            <w:tcMar>
              <w:top w:type="dxa" w:w="60"/>
              <w:left w:type="dxa" w:w="120"/>
              <w:bottom w:type="dxa" w:w="60"/>
              <w:right w:type="dxa" w:w="120"/>
            </w:tcMar>
          </w:tcPr>
          <w:p>
            <w:pPr>
              <w:jc w:val="left"/>
            </w:pPr>
            <w:r>
              <w:rPr>
                <w:rFonts w:ascii="Arial" w:cs="Arial" w:eastAsia="Arial" w:hAnsi="Arial"/>
                <w:b/>
                <w:bCs/>
                <w:color w:val="1E293B"/>
                <w:sz w:val="18"/>
                <w:szCs w:val="18"/>
              </w:rPr>
              <w:t xml:space="preserve">Módulos</w:t>
            </w:r>
          </w:p>
        </w:tc>
        <w:tc>
          <w:tcPr>
            <w:tcW w:type="dxa" w:w="3200"/>
            <w:tcBorders>
              <w:top w:val="single" w:color="CBD5E1" w:sz="1"/>
              <w:left w:val="single" w:color="CBD5E1" w:sz="1"/>
              <w:bottom w:val="single" w:color="CBD5E1" w:sz="1"/>
              <w:right w:val="single" w:color="CBD5E1" w:sz="1"/>
            </w:tcBorders>
            <w:shd w:fill="F0F4F8" w:val="clear"/>
            <w:tcMar>
              <w:top w:type="dxa" w:w="60"/>
              <w:left w:type="dxa" w:w="120"/>
              <w:bottom w:type="dxa" w:w="60"/>
              <w:right w:type="dxa" w:w="120"/>
            </w:tcMar>
          </w:tcPr>
          <w:p>
            <w:pPr>
              <w:jc w:val="left"/>
            </w:pPr>
            <w:r>
              <w:rPr>
                <w:rFonts w:ascii="Arial" w:cs="Arial" w:eastAsia="Arial" w:hAnsi="Arial"/>
                <w:b w:val="false"/>
                <w:bCs w:val="false"/>
                <w:color w:val="1E293B"/>
                <w:sz w:val="18"/>
                <w:szCs w:val="18"/>
              </w:rPr>
              <w:t xml:space="preserve">1–3 análises genéricas</w:t>
            </w:r>
          </w:p>
        </w:tc>
        <w:tc>
          <w:tcPr>
            <w:tcW w:type="dxa" w:w="3760"/>
            <w:tcBorders>
              <w:top w:val="single" w:color="CBD5E1" w:sz="1"/>
              <w:left w:val="single" w:color="CBD5E1" w:sz="1"/>
              <w:bottom w:val="single" w:color="CBD5E1" w:sz="1"/>
              <w:right w:val="single" w:color="CBD5E1" w:sz="1"/>
            </w:tcBorders>
            <w:shd w:fill="F0F4F8" w:val="clear"/>
            <w:tcMar>
              <w:top w:type="dxa" w:w="60"/>
              <w:left w:type="dxa" w:w="120"/>
              <w:bottom w:type="dxa" w:w="60"/>
              <w:right w:type="dxa" w:w="120"/>
            </w:tcMar>
          </w:tcPr>
          <w:p>
            <w:pPr>
              <w:jc w:val="left"/>
            </w:pPr>
            <w:r>
              <w:rPr>
                <w:rFonts w:ascii="Arial" w:cs="Arial" w:eastAsia="Arial" w:hAnsi="Arial"/>
                <w:b/>
                <w:bCs/>
                <w:color w:val="00A3CC"/>
                <w:sz w:val="18"/>
                <w:szCs w:val="18"/>
              </w:rPr>
              <w:t xml:space="preserve">10 módulos especializados</w:t>
            </w:r>
          </w:p>
        </w:tc>
      </w:tr>
      <w:tr>
        <w:tc>
          <w:tcPr>
            <w:tcW w:type="dxa" w:w="2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bCs/>
                <w:color w:val="1E293B"/>
                <w:sz w:val="18"/>
                <w:szCs w:val="18"/>
              </w:rPr>
              <w:t xml:space="preserve">Mapeamento de Políticas</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val="false"/>
                <w:bCs w:val="false"/>
                <w:color w:val="1E293B"/>
                <w:sz w:val="18"/>
                <w:szCs w:val="18"/>
              </w:rPr>
              <w:t xml:space="preserve">Raro</w:t>
            </w:r>
          </w:p>
        </w:tc>
        <w:tc>
          <w:tcPr>
            <w:tcW w:type="dxa" w:w="37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bCs/>
                <w:color w:val="00A3CC"/>
                <w:sz w:val="18"/>
                <w:szCs w:val="18"/>
              </w:rPr>
              <w:t xml:space="preserve">Padrão (CET, EOs, Acts)</w:t>
            </w:r>
          </w:p>
        </w:tc>
      </w:tr>
      <w:tr>
        <w:tc>
          <w:tcPr>
            <w:tcW w:type="dxa" w:w="2400"/>
            <w:tcBorders>
              <w:top w:val="single" w:color="CBD5E1" w:sz="1"/>
              <w:left w:val="single" w:color="CBD5E1" w:sz="1"/>
              <w:bottom w:val="single" w:color="CBD5E1" w:sz="1"/>
              <w:right w:val="single" w:color="CBD5E1" w:sz="1"/>
            </w:tcBorders>
            <w:shd w:fill="F0F4F8" w:val="clear"/>
            <w:tcMar>
              <w:top w:type="dxa" w:w="60"/>
              <w:left w:type="dxa" w:w="120"/>
              <w:bottom w:type="dxa" w:w="60"/>
              <w:right w:type="dxa" w:w="120"/>
            </w:tcMar>
          </w:tcPr>
          <w:p>
            <w:pPr>
              <w:jc w:val="left"/>
            </w:pPr>
            <w:r>
              <w:rPr>
                <w:rFonts w:ascii="Arial" w:cs="Arial" w:eastAsia="Arial" w:hAnsi="Arial"/>
                <w:b/>
                <w:bCs/>
                <w:color w:val="1E293B"/>
                <w:sz w:val="18"/>
                <w:szCs w:val="18"/>
              </w:rPr>
              <w:t xml:space="preserve">Análise de Sensibilidade</w:t>
            </w:r>
          </w:p>
        </w:tc>
        <w:tc>
          <w:tcPr>
            <w:tcW w:type="dxa" w:w="3200"/>
            <w:tcBorders>
              <w:top w:val="single" w:color="CBD5E1" w:sz="1"/>
              <w:left w:val="single" w:color="CBD5E1" w:sz="1"/>
              <w:bottom w:val="single" w:color="CBD5E1" w:sz="1"/>
              <w:right w:val="single" w:color="CBD5E1" w:sz="1"/>
            </w:tcBorders>
            <w:shd w:fill="F0F4F8" w:val="clear"/>
            <w:tcMar>
              <w:top w:type="dxa" w:w="60"/>
              <w:left w:type="dxa" w:w="120"/>
              <w:bottom w:type="dxa" w:w="60"/>
              <w:right w:type="dxa" w:w="120"/>
            </w:tcMar>
          </w:tcPr>
          <w:p>
            <w:pPr>
              <w:jc w:val="left"/>
            </w:pPr>
            <w:r>
              <w:rPr>
                <w:rFonts w:ascii="Arial" w:cs="Arial" w:eastAsia="Arial" w:hAnsi="Arial"/>
                <w:b w:val="false"/>
                <w:bCs w:val="false"/>
                <w:color w:val="1E293B"/>
                <w:sz w:val="18"/>
                <w:szCs w:val="18"/>
              </w:rPr>
              <w:t xml:space="preserve">Raro</w:t>
            </w:r>
          </w:p>
        </w:tc>
        <w:tc>
          <w:tcPr>
            <w:tcW w:type="dxa" w:w="3760"/>
            <w:tcBorders>
              <w:top w:val="single" w:color="CBD5E1" w:sz="1"/>
              <w:left w:val="single" w:color="CBD5E1" w:sz="1"/>
              <w:bottom w:val="single" w:color="CBD5E1" w:sz="1"/>
              <w:right w:val="single" w:color="CBD5E1" w:sz="1"/>
            </w:tcBorders>
            <w:shd w:fill="F0F4F8" w:val="clear"/>
            <w:tcMar>
              <w:top w:type="dxa" w:w="60"/>
              <w:left w:type="dxa" w:w="120"/>
              <w:bottom w:type="dxa" w:w="60"/>
              <w:right w:type="dxa" w:w="120"/>
            </w:tcMar>
          </w:tcPr>
          <w:p>
            <w:pPr>
              <w:jc w:val="left"/>
            </w:pPr>
            <w:r>
              <w:rPr>
                <w:rFonts w:ascii="Arial" w:cs="Arial" w:eastAsia="Arial" w:hAnsi="Arial"/>
                <w:b/>
                <w:bCs/>
                <w:color w:val="00A3CC"/>
                <w:sz w:val="18"/>
                <w:szCs w:val="18"/>
              </w:rPr>
              <w:t xml:space="preserve">3 cenários completos</w:t>
            </w:r>
          </w:p>
        </w:tc>
      </w:tr>
      <w:tr>
        <w:tc>
          <w:tcPr>
            <w:tcW w:type="dxa" w:w="2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bCs/>
                <w:color w:val="1E293B"/>
                <w:sz w:val="18"/>
                <w:szCs w:val="18"/>
              </w:rPr>
              <w:t xml:space="preserve">Mapeamento de RFE</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val="false"/>
                <w:bCs w:val="false"/>
                <w:color w:val="1E293B"/>
                <w:sz w:val="18"/>
                <w:szCs w:val="18"/>
              </w:rPr>
              <w:t xml:space="preserve">Não oferecem</w:t>
            </w:r>
          </w:p>
        </w:tc>
        <w:tc>
          <w:tcPr>
            <w:tcW w:type="dxa" w:w="37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bCs/>
                <w:color w:val="00A3CC"/>
                <w:sz w:val="18"/>
                <w:szCs w:val="18"/>
              </w:rPr>
              <w:t xml:space="preserve">Tabela Deficiência → Evidência</w:t>
            </w:r>
          </w:p>
        </w:tc>
      </w:tr>
      <w:tr>
        <w:tc>
          <w:tcPr>
            <w:tcW w:type="dxa" w:w="2400"/>
            <w:tcBorders>
              <w:top w:val="single" w:color="CBD5E1" w:sz="1"/>
              <w:left w:val="single" w:color="CBD5E1" w:sz="1"/>
              <w:bottom w:val="single" w:color="CBD5E1" w:sz="1"/>
              <w:right w:val="single" w:color="CBD5E1" w:sz="1"/>
            </w:tcBorders>
            <w:shd w:fill="F0F4F8" w:val="clear"/>
            <w:tcMar>
              <w:top w:type="dxa" w:w="60"/>
              <w:left w:type="dxa" w:w="120"/>
              <w:bottom w:type="dxa" w:w="60"/>
              <w:right w:type="dxa" w:w="120"/>
            </w:tcMar>
          </w:tcPr>
          <w:p>
            <w:pPr>
              <w:jc w:val="left"/>
            </w:pPr>
            <w:r>
              <w:rPr>
                <w:rFonts w:ascii="Arial" w:cs="Arial" w:eastAsia="Arial" w:hAnsi="Arial"/>
                <w:b/>
                <w:bCs/>
                <w:color w:val="1E293B"/>
                <w:sz w:val="18"/>
                <w:szCs w:val="18"/>
              </w:rPr>
              <w:t xml:space="preserve">Supply Chain</w:t>
            </w:r>
          </w:p>
        </w:tc>
        <w:tc>
          <w:tcPr>
            <w:tcW w:type="dxa" w:w="3200"/>
            <w:tcBorders>
              <w:top w:val="single" w:color="CBD5E1" w:sz="1"/>
              <w:left w:val="single" w:color="CBD5E1" w:sz="1"/>
              <w:bottom w:val="single" w:color="CBD5E1" w:sz="1"/>
              <w:right w:val="single" w:color="CBD5E1" w:sz="1"/>
            </w:tcBorders>
            <w:shd w:fill="F0F4F8" w:val="clear"/>
            <w:tcMar>
              <w:top w:type="dxa" w:w="60"/>
              <w:left w:type="dxa" w:w="120"/>
              <w:bottom w:type="dxa" w:w="60"/>
              <w:right w:type="dxa" w:w="120"/>
            </w:tcMar>
          </w:tcPr>
          <w:p>
            <w:pPr>
              <w:jc w:val="left"/>
            </w:pPr>
            <w:r>
              <w:rPr>
                <w:rFonts w:ascii="Arial" w:cs="Arial" w:eastAsia="Arial" w:hAnsi="Arial"/>
                <w:b w:val="false"/>
                <w:bCs w:val="false"/>
                <w:color w:val="1E293B"/>
                <w:sz w:val="18"/>
                <w:szCs w:val="18"/>
              </w:rPr>
              <w:t xml:space="preserve">Mencionado brevemente</w:t>
            </w:r>
          </w:p>
        </w:tc>
        <w:tc>
          <w:tcPr>
            <w:tcW w:type="dxa" w:w="3760"/>
            <w:tcBorders>
              <w:top w:val="single" w:color="CBD5E1" w:sz="1"/>
              <w:left w:val="single" w:color="CBD5E1" w:sz="1"/>
              <w:bottom w:val="single" w:color="CBD5E1" w:sz="1"/>
              <w:right w:val="single" w:color="CBD5E1" w:sz="1"/>
            </w:tcBorders>
            <w:shd w:fill="F0F4F8" w:val="clear"/>
            <w:tcMar>
              <w:top w:type="dxa" w:w="60"/>
              <w:left w:type="dxa" w:w="120"/>
              <w:bottom w:type="dxa" w:w="60"/>
              <w:right w:type="dxa" w:w="120"/>
            </w:tcMar>
          </w:tcPr>
          <w:p>
            <w:pPr>
              <w:jc w:val="left"/>
            </w:pPr>
            <w:r>
              <w:rPr>
                <w:rFonts w:ascii="Arial" w:cs="Arial" w:eastAsia="Arial" w:hAnsi="Arial"/>
                <w:b/>
                <w:bCs/>
                <w:color w:val="00A3CC"/>
                <w:sz w:val="18"/>
                <w:szCs w:val="18"/>
              </w:rPr>
              <w:t xml:space="preserve">Mapeamento Tier 1 + Tier 2</w:t>
            </w:r>
          </w:p>
        </w:tc>
      </w:tr>
      <w:tr>
        <w:tc>
          <w:tcPr>
            <w:tcW w:type="dxa" w:w="2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bCs/>
                <w:color w:val="1E293B"/>
                <w:sz w:val="18"/>
                <w:szCs w:val="18"/>
              </w:rPr>
              <w:t xml:space="preserve">Idioma</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val="false"/>
                <w:bCs w:val="false"/>
                <w:color w:val="1E293B"/>
                <w:sz w:val="18"/>
                <w:szCs w:val="18"/>
              </w:rPr>
              <w:t xml:space="preserve">Apenas inglês</w:t>
            </w:r>
          </w:p>
        </w:tc>
        <w:tc>
          <w:tcPr>
            <w:tcW w:type="dxa" w:w="37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bCs/>
                <w:color w:val="00A3CC"/>
                <w:sz w:val="18"/>
                <w:szCs w:val="18"/>
              </w:rPr>
              <w:t xml:space="preserve">Inglês + Português</w:t>
            </w:r>
          </w:p>
        </w:tc>
      </w:tr>
      <w:tr>
        <w:tc>
          <w:tcPr>
            <w:tcW w:type="dxa" w:w="2400"/>
            <w:tcBorders>
              <w:top w:val="single" w:color="CBD5E1" w:sz="1"/>
              <w:left w:val="single" w:color="CBD5E1" w:sz="1"/>
              <w:bottom w:val="single" w:color="CBD5E1" w:sz="1"/>
              <w:right w:val="single" w:color="CBD5E1" w:sz="1"/>
            </w:tcBorders>
            <w:shd w:fill="F0F4F8" w:val="clear"/>
            <w:tcMar>
              <w:top w:type="dxa" w:w="60"/>
              <w:left w:type="dxa" w:w="120"/>
              <w:bottom w:type="dxa" w:w="60"/>
              <w:right w:type="dxa" w:w="120"/>
            </w:tcMar>
          </w:tcPr>
          <w:p>
            <w:pPr>
              <w:jc w:val="left"/>
            </w:pPr>
            <w:r>
              <w:rPr>
                <w:rFonts w:ascii="Arial" w:cs="Arial" w:eastAsia="Arial" w:hAnsi="Arial"/>
                <w:b/>
                <w:bCs/>
                <w:color w:val="1E293B"/>
                <w:sz w:val="18"/>
                <w:szCs w:val="18"/>
              </w:rPr>
              <w:t xml:space="preserve">Integração c/ BP</w:t>
            </w:r>
          </w:p>
        </w:tc>
        <w:tc>
          <w:tcPr>
            <w:tcW w:type="dxa" w:w="3200"/>
            <w:tcBorders>
              <w:top w:val="single" w:color="CBD5E1" w:sz="1"/>
              <w:left w:val="single" w:color="CBD5E1" w:sz="1"/>
              <w:bottom w:val="single" w:color="CBD5E1" w:sz="1"/>
              <w:right w:val="single" w:color="CBD5E1" w:sz="1"/>
            </w:tcBorders>
            <w:shd w:fill="F0F4F8" w:val="clear"/>
            <w:tcMar>
              <w:top w:type="dxa" w:w="60"/>
              <w:left w:type="dxa" w:w="120"/>
              <w:bottom w:type="dxa" w:w="60"/>
              <w:right w:type="dxa" w:w="120"/>
            </w:tcMar>
          </w:tcPr>
          <w:p>
            <w:pPr>
              <w:jc w:val="left"/>
            </w:pPr>
            <w:r>
              <w:rPr>
                <w:rFonts w:ascii="Arial" w:cs="Arial" w:eastAsia="Arial" w:hAnsi="Arial"/>
                <w:b w:val="false"/>
                <w:bCs w:val="false"/>
                <w:color w:val="1E293B"/>
                <w:sz w:val="18"/>
                <w:szCs w:val="18"/>
              </w:rPr>
              <w:t xml:space="preserve">Isolado</w:t>
            </w:r>
          </w:p>
        </w:tc>
        <w:tc>
          <w:tcPr>
            <w:tcW w:type="dxa" w:w="3760"/>
            <w:tcBorders>
              <w:top w:val="single" w:color="CBD5E1" w:sz="1"/>
              <w:left w:val="single" w:color="CBD5E1" w:sz="1"/>
              <w:bottom w:val="single" w:color="CBD5E1" w:sz="1"/>
              <w:right w:val="single" w:color="CBD5E1" w:sz="1"/>
            </w:tcBorders>
            <w:shd w:fill="F0F4F8" w:val="clear"/>
            <w:tcMar>
              <w:top w:type="dxa" w:w="60"/>
              <w:left w:type="dxa" w:w="120"/>
              <w:bottom w:type="dxa" w:w="60"/>
              <w:right w:type="dxa" w:w="120"/>
            </w:tcMar>
          </w:tcPr>
          <w:p>
            <w:pPr>
              <w:jc w:val="left"/>
            </w:pPr>
            <w:r>
              <w:rPr>
                <w:rFonts w:ascii="Arial" w:cs="Arial" w:eastAsia="Arial" w:hAnsi="Arial"/>
                <w:b/>
                <w:bCs/>
                <w:color w:val="00A3CC"/>
                <w:sz w:val="18"/>
                <w:szCs w:val="18"/>
              </w:rPr>
              <w:t xml:space="preserve">Complementar ao Business Plan</w:t>
            </w:r>
          </w:p>
        </w:tc>
      </w:tr>
      <w:tr>
        <w:tc>
          <w:tcPr>
            <w:tcW w:type="dxa" w:w="2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bCs/>
                <w:color w:val="1E293B"/>
                <w:sz w:val="18"/>
                <w:szCs w:val="18"/>
              </w:rPr>
              <w:t xml:space="preserve">Anti-IA (ATLAS/ATA)</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val="false"/>
                <w:bCs w:val="false"/>
                <w:color w:val="1E293B"/>
                <w:sz w:val="18"/>
                <w:szCs w:val="18"/>
              </w:rPr>
              <w:t xml:space="preserve">Sem proteção</w:t>
            </w:r>
          </w:p>
        </w:tc>
        <w:tc>
          <w:tcPr>
            <w:tcW w:type="dxa" w:w="37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bCs/>
                <w:color w:val="00A3CC"/>
                <w:sz w:val="18"/>
                <w:szCs w:val="18"/>
              </w:rPr>
              <w:t xml:space="preserve">Dados individualizados e verificáveis</w:t>
            </w:r>
          </w:p>
        </w:tc>
      </w:tr>
    </w:tbl>
    <w:p>
      <w:pPr>
        <w:spacing w:after="60"/>
      </w:pPr>
    </w:p>
    <w:p>
      <w:pPr>
        <w:pStyle w:val="Heading2"/>
        <w:spacing w:after="120" w:before="240"/>
      </w:pPr>
      <w:r>
        <w:rPr>
          <w:rFonts w:ascii="Arial" w:cs="Arial" w:eastAsia="Arial" w:hAnsi="Arial"/>
          <w:b/>
          <w:bCs/>
          <w:color w:val="1A2744"/>
          <w:sz w:val="24"/>
          <w:szCs w:val="24"/>
        </w:rPr>
        <w:t xml:space="preserve">Proteção contra Sistemas de IA do USCIS</w:t>
      </w:r>
    </w:p>
    <w:p>
      <w:pPr>
        <w:spacing w:after="120" w:before="0"/>
        <w:jc w:val="both"/>
      </w:pPr>
      <w:r>
        <w:rPr>
          <w:rFonts w:ascii="Arial" w:cs="Arial" w:eastAsia="Arial" w:hAnsi="Arial"/>
          <w:b w:val="false"/>
          <w:bCs w:val="false"/>
          <w:i w:val="false"/>
          <w:iCs w:val="false"/>
          <w:color w:val="1E293B"/>
          <w:sz w:val="21"/>
          <w:szCs w:val="21"/>
        </w:rPr>
        <w:t xml:space="preserve">Um diferencial crítico do Reactor é a proteção contra os novos sistemas de inteligência artificial do USCIS. Enquanto business plans genéricos e cartas de recomendação baseadas em templates são cada vez mais detectáveis pelo ATLAS e ATA, os dados do Reactor são:</w:t>
      </w:r>
    </w:p>
    <w:p>
      <w:pPr>
        <w:pStyle w:val="ListParagraph"/>
        <w:numPr>
          <w:ilvl w:val="0"/>
          <w:numId w:val="2"/>
        </w:numPr>
        <w:spacing w:after="80"/>
      </w:pPr>
      <w:r>
        <w:rPr>
          <w:rFonts w:ascii="Arial" w:cs="Arial" w:eastAsia="Arial" w:hAnsi="Arial"/>
          <w:color w:val="1E293B"/>
          <w:sz w:val="20"/>
          <w:szCs w:val="20"/>
        </w:rPr>
        <w:t xml:space="preserve">Individualizados por região (MSA/condado específico do peticionário)</w:t>
      </w:r>
    </w:p>
    <w:p>
      <w:pPr>
        <w:pStyle w:val="ListParagraph"/>
        <w:numPr>
          <w:ilvl w:val="0"/>
          <w:numId w:val="2"/>
        </w:numPr>
        <w:spacing w:after="80"/>
      </w:pPr>
      <w:r>
        <w:rPr>
          <w:rFonts w:ascii="Arial" w:cs="Arial" w:eastAsia="Arial" w:hAnsi="Arial"/>
          <w:color w:val="1E293B"/>
          <w:sz w:val="20"/>
          <w:szCs w:val="20"/>
        </w:rPr>
        <w:t xml:space="preserve">Individualizados por setor (código NAICS específico da indústria)</w:t>
      </w:r>
    </w:p>
    <w:p>
      <w:pPr>
        <w:pStyle w:val="ListParagraph"/>
        <w:numPr>
          <w:ilvl w:val="0"/>
          <w:numId w:val="2"/>
        </w:numPr>
        <w:spacing w:after="80"/>
      </w:pPr>
      <w:r>
        <w:rPr>
          <w:rFonts w:ascii="Arial" w:cs="Arial" w:eastAsia="Arial" w:hAnsi="Arial"/>
          <w:color w:val="1E293B"/>
          <w:sz w:val="20"/>
          <w:szCs w:val="20"/>
        </w:rPr>
        <w:t xml:space="preserve">Gerados com cenários múltiplos (conservador/base/otimista)</w:t>
      </w:r>
    </w:p>
    <w:p>
      <w:pPr>
        <w:pStyle w:val="ListParagraph"/>
        <w:numPr>
          <w:ilvl w:val="0"/>
          <w:numId w:val="2"/>
        </w:numPr>
        <w:spacing w:after="80"/>
      </w:pPr>
      <w:r>
        <w:rPr>
          <w:rFonts w:ascii="Arial" w:cs="Arial" w:eastAsia="Arial" w:hAnsi="Arial"/>
          <w:color w:val="1E293B"/>
          <w:sz w:val="20"/>
          <w:szCs w:val="20"/>
        </w:rPr>
        <w:t xml:space="preserve">Auditáveis e rastreáveis às fontes primárias (BEA, BLS, Census Bureau)</w:t>
      </w:r>
    </w:p>
    <w:p>
      <w:pPr>
        <w:spacing w:after="120" w:before="0"/>
        <w:jc w:val="both"/>
      </w:pPr>
      <w:r>
        <w:rPr>
          <w:rFonts w:ascii="Arial" w:cs="Arial" w:eastAsia="Arial" w:hAnsi="Arial"/>
          <w:b w:val="false"/>
          <w:bCs w:val="false"/>
          <w:i w:val="false"/>
          <w:iCs w:val="false"/>
          <w:color w:val="1E293B"/>
          <w:sz w:val="21"/>
          <w:szCs w:val="21"/>
        </w:rPr>
        <w:t xml:space="preserve">Essa individualização torna muito mais difícil que os sistemas de IA classifiquem o conteúdo como “genérico” ou “sintético”.</w:t>
      </w:r>
    </w:p>
    <w:p>
      <w:r>
        <w:br w:type="page"/>
      </w:r>
    </w:p>
    <w:p>
      <w:pPr>
        <w:pBdr>
          <w:bottom w:val="single" w:color="00A3CC" w:sz="4" w:space="6"/>
        </w:pBdr>
        <w:spacing w:after="40" w:before="60"/>
      </w:pPr>
      <w:r>
        <w:rPr>
          <w:rFonts w:ascii="Arial" w:cs="Arial" w:eastAsia="Arial" w:hAnsi="Arial"/>
          <w:b/>
          <w:bCs/>
          <w:color w:val="00A3CC"/>
          <w:sz w:val="16"/>
          <w:szCs w:val="16"/>
        </w:rPr>
        <w:t xml:space="preserve">08  </w:t>
      </w:r>
      <w:r>
        <w:rPr>
          <w:rFonts w:ascii="Arial" w:cs="Arial" w:eastAsia="Arial" w:hAnsi="Arial"/>
          <w:b/>
          <w:bCs/>
          <w:color w:val="00A3CC"/>
          <w:sz w:val="16"/>
          <w:szCs w:val="16"/>
        </w:rPr>
        <w:t xml:space="preserve">PROCESSO DE ENTREGA</w:t>
      </w:r>
    </w:p>
    <w:p>
      <w:pPr>
        <w:spacing w:after="40"/>
      </w:pPr>
    </w:p>
    <w:p>
      <w:pPr>
        <w:pStyle w:val="Heading1"/>
        <w:spacing w:after="180" w:before="320"/>
      </w:pPr>
      <w:r>
        <w:rPr>
          <w:rFonts w:ascii="Arial" w:cs="Arial" w:eastAsia="Arial" w:hAnsi="Arial"/>
          <w:b/>
          <w:bCs/>
          <w:color w:val="0A1628"/>
          <w:sz w:val="30"/>
          <w:szCs w:val="30"/>
        </w:rPr>
        <w:t xml:space="preserve">Fluxo de Trabalho</w:t>
      </w:r>
    </w:p>
    <w:p>
      <w:pPr>
        <w:spacing w:after="120" w:before="0"/>
        <w:jc w:val="both"/>
      </w:pPr>
      <w:r>
        <w:rPr>
          <w:rFonts w:ascii="Arial" w:cs="Arial" w:eastAsia="Arial" w:hAnsi="Arial"/>
          <w:b w:val="false"/>
          <w:bCs w:val="false"/>
          <w:i w:val="false"/>
          <w:iCs w:val="false"/>
          <w:color w:val="1E293B"/>
          <w:sz w:val="21"/>
          <w:szCs w:val="21"/>
        </w:rPr>
        <w:t xml:space="preserve">O processo de produção do IMPACTO® Reactor segue um fluxo estruturado em 4 etapas, garantindo qualidade e consistência:</w:t>
      </w:r>
    </w:p>
    <w:p>
      <w:pPr>
        <w:spacing w:after="60"/>
      </w:pPr>
    </w:p>
    <w:p>
      <w:pPr>
        <w:pStyle w:val="Heading2"/>
        <w:spacing w:after="120" w:before="240"/>
      </w:pPr>
      <w:r>
        <w:rPr>
          <w:rFonts w:ascii="Arial" w:cs="Arial" w:eastAsia="Arial" w:hAnsi="Arial"/>
          <w:b/>
          <w:bCs/>
          <w:color w:val="1A2744"/>
          <w:sz w:val="24"/>
          <w:szCs w:val="24"/>
        </w:rPr>
        <w:t xml:space="preserve">Etapa 1 — Coleta de Dados (Dia 1–3)</w:t>
      </w:r>
    </w:p>
    <w:p>
      <w:pPr>
        <w:spacing w:after="120" w:before="0"/>
        <w:jc w:val="both"/>
      </w:pPr>
      <w:r>
        <w:rPr>
          <w:rFonts w:ascii="Arial" w:cs="Arial" w:eastAsia="Arial" w:hAnsi="Arial"/>
          <w:b w:val="false"/>
          <w:bCs w:val="false"/>
          <w:i w:val="false"/>
          <w:iCs w:val="false"/>
          <w:color w:val="1E293B"/>
          <w:sz w:val="21"/>
          <w:szCs w:val="21"/>
        </w:rPr>
        <w:t xml:space="preserve">O cliente preenche um questionário detalhado cobrindo: setor de atuação (código NAICS), localização exata do empreendimento (MSA/condado), projeção de receita para 5 anos, número de funcionários planejados por ano, fornecedores conhecidos, investimentos já realizados e planejados, e estrutura operacional prevista.</w:t>
      </w:r>
    </w:p>
    <w:p>
      <w:pPr>
        <w:spacing w:after="120" w:before="0"/>
        <w:jc w:val="both"/>
      </w:pPr>
      <w:r>
        <w:rPr>
          <w:rFonts w:ascii="Arial" w:cs="Arial" w:eastAsia="Arial" w:hAnsi="Arial"/>
          <w:b w:val="false"/>
          <w:bCs w:val="false"/>
          <w:i w:val="false"/>
          <w:iCs w:val="false"/>
          <w:color w:val="1E293B"/>
          <w:sz w:val="21"/>
          <w:szCs w:val="21"/>
        </w:rPr>
        <w:t xml:space="preserve">A equipe revisa os dados para completude e solicita esclarecimentos quando necessário. Dados faltantes são complementados com benchmarks setoriais públicos do BEA, BLS e Census Bureau, devidamente documentados.</w:t>
      </w:r>
    </w:p>
    <w:p>
      <w:pPr>
        <w:spacing w:after="60"/>
      </w:pPr>
    </w:p>
    <w:p>
      <w:pPr>
        <w:pStyle w:val="Heading2"/>
        <w:spacing w:after="120" w:before="240"/>
      </w:pPr>
      <w:r>
        <w:rPr>
          <w:rFonts w:ascii="Arial" w:cs="Arial" w:eastAsia="Arial" w:hAnsi="Arial"/>
          <w:b/>
          <w:bCs/>
          <w:color w:val="1A2744"/>
          <w:sz w:val="24"/>
          <w:szCs w:val="24"/>
        </w:rPr>
        <w:t xml:space="preserve">Etapa 2 — Modelagem Econômica (Dia 3–7)</w:t>
      </w:r>
    </w:p>
    <w:p>
      <w:pPr>
        <w:spacing w:after="120" w:before="0"/>
        <w:jc w:val="both"/>
      </w:pPr>
      <w:r>
        <w:rPr>
          <w:rFonts w:ascii="Arial" w:cs="Arial" w:eastAsia="Arial" w:hAnsi="Arial"/>
          <w:b w:val="false"/>
          <w:bCs w:val="false"/>
          <w:i w:val="false"/>
          <w:iCs w:val="false"/>
          <w:color w:val="1E293B"/>
          <w:sz w:val="21"/>
          <w:szCs w:val="21"/>
        </w:rPr>
        <w:t xml:space="preserve">A equipe executa os três modelos (IMPLAN, RIMS II e EPI) com os dados coletados e benchmarks setoriais calibrados. As premissas são documentadas e baseadas em fontes públicas verificáveis. Os três modelos são executados em paralelo e os resultados comparados para validação cruzada.</w:t>
      </w:r>
    </w:p>
    <w:p>
      <w:pPr>
        <w:spacing w:after="60"/>
      </w:pPr>
    </w:p>
    <w:p>
      <w:pPr>
        <w:pStyle w:val="Heading2"/>
        <w:spacing w:after="120" w:before="240"/>
      </w:pPr>
      <w:r>
        <w:rPr>
          <w:rFonts w:ascii="Arial" w:cs="Arial" w:eastAsia="Arial" w:hAnsi="Arial"/>
          <w:b/>
          <w:bCs/>
          <w:color w:val="1A2744"/>
          <w:sz w:val="24"/>
          <w:szCs w:val="24"/>
        </w:rPr>
        <w:t xml:space="preserve">Etapa 3 — Compilação do Relatório (Dia 7–10)</w:t>
      </w:r>
    </w:p>
    <w:p>
      <w:pPr>
        <w:spacing w:after="120" w:before="0"/>
        <w:jc w:val="both"/>
      </w:pPr>
      <w:r>
        <w:rPr>
          <w:rFonts w:ascii="Arial" w:cs="Arial" w:eastAsia="Arial" w:hAnsi="Arial"/>
          <w:b w:val="false"/>
          <w:bCs w:val="false"/>
          <w:i w:val="false"/>
          <w:iCs w:val="false"/>
          <w:color w:val="1E293B"/>
          <w:sz w:val="21"/>
          <w:szCs w:val="21"/>
        </w:rPr>
        <w:t xml:space="preserve">Resultados compilados em relatório profissional com tabelas, gráficos e narrativa conectando cada dado diretamente ao framework Dhanasar e aos pilares relevantes. O relatório inclui seção de metodologia, premissas, fontes e limitações — seguindo as melhores práticas de documentação técnica. Revisão interna para consistência de dados.</w:t>
      </w:r>
    </w:p>
    <w:p>
      <w:pPr>
        <w:spacing w:after="60"/>
      </w:pPr>
    </w:p>
    <w:p>
      <w:pPr>
        <w:pStyle w:val="Heading2"/>
        <w:spacing w:after="120" w:before="240"/>
      </w:pPr>
      <w:r>
        <w:rPr>
          <w:rFonts w:ascii="Arial" w:cs="Arial" w:eastAsia="Arial" w:hAnsi="Arial"/>
          <w:b/>
          <w:bCs/>
          <w:color w:val="1A2744"/>
          <w:sz w:val="24"/>
          <w:szCs w:val="24"/>
        </w:rPr>
        <w:t xml:space="preserve">Etapa 4 — Revisão &amp; Entrega (Dia 10–12)</w:t>
      </w:r>
    </w:p>
    <w:p>
      <w:pPr>
        <w:spacing w:after="120" w:before="0"/>
        <w:jc w:val="both"/>
      </w:pPr>
      <w:r>
        <w:rPr>
          <w:rFonts w:ascii="Arial" w:cs="Arial" w:eastAsia="Arial" w:hAnsi="Arial"/>
          <w:b w:val="false"/>
          <w:bCs w:val="false"/>
          <w:i w:val="false"/>
          <w:iCs w:val="false"/>
          <w:color w:val="1E293B"/>
          <w:sz w:val="21"/>
          <w:szCs w:val="21"/>
        </w:rPr>
        <w:t xml:space="preserve">Revisão final de consistência e alinhamento com a estratégia da petição. Ajustes finais incorporados. Documento final entregue em formato DOCX e PDF, pronto para inclusão no pacote de submissão ao USCIS.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3CC" w:sz="1"/>
              <w:left w:val="single" w:color="00A3CC" w:sz="8"/>
              <w:bottom w:val="single" w:color="00A3CC" w:sz="1"/>
              <w:right w:val="single" w:color="00A3CC" w:sz="1"/>
            </w:tcBorders>
            <w:shd w:fill="E8F4F8" w:val="clear"/>
            <w:tcMar>
              <w:top w:type="dxa" w:w="120"/>
              <w:left w:type="dxa" w:w="200"/>
              <w:bottom w:type="dxa" w:w="120"/>
              <w:right w:type="dxa" w:w="200"/>
            </w:tcMar>
          </w:tcPr>
          <w:p>
            <w:pPr>
              <w:jc w:val="both"/>
            </w:pPr>
            <w:r>
              <w:rPr>
                <w:rFonts w:ascii="Arial" w:cs="Arial" w:eastAsia="Arial" w:hAnsi="Arial"/>
                <w:i/>
                <w:iCs/>
                <w:color w:val="0A1628"/>
                <w:sz w:val="20"/>
                <w:szCs w:val="20"/>
              </w:rPr>
              <w:t xml:space="preserve">Prazo de entrega: 10–15 dias úteis. Prazos de urgência disponíveis para respostas a RFE.</w:t>
            </w:r>
          </w:p>
        </w:tc>
      </w:tr>
    </w:tbl>
    <w:p>
      <w:r>
        <w:br w:type="page"/>
      </w:r>
    </w:p>
    <w:p>
      <w:pPr>
        <w:pBdr>
          <w:bottom w:val="single" w:color="00A3CC" w:sz="4" w:space="6"/>
        </w:pBdr>
        <w:spacing w:after="40" w:before="60"/>
      </w:pPr>
      <w:r>
        <w:rPr>
          <w:rFonts w:ascii="Arial" w:cs="Arial" w:eastAsia="Arial" w:hAnsi="Arial"/>
          <w:b/>
          <w:bCs/>
          <w:color w:val="00A3CC"/>
          <w:sz w:val="16"/>
          <w:szCs w:val="16"/>
        </w:rPr>
        <w:t xml:space="preserve">09  </w:t>
      </w:r>
      <w:r>
        <w:rPr>
          <w:rFonts w:ascii="Arial" w:cs="Arial" w:eastAsia="Arial" w:hAnsi="Arial"/>
          <w:b/>
          <w:bCs/>
          <w:color w:val="00A3CC"/>
          <w:sz w:val="16"/>
          <w:szCs w:val="16"/>
        </w:rPr>
        <w:t xml:space="preserve">CONTEXTO DE MERCADO</w:t>
      </w:r>
    </w:p>
    <w:p>
      <w:pPr>
        <w:spacing w:after="40"/>
      </w:pPr>
    </w:p>
    <w:p>
      <w:pPr>
        <w:pStyle w:val="Heading1"/>
        <w:spacing w:after="180" w:before="320"/>
      </w:pPr>
      <w:r>
        <w:rPr>
          <w:rFonts w:ascii="Arial" w:cs="Arial" w:eastAsia="Arial" w:hAnsi="Arial"/>
          <w:b/>
          <w:bCs/>
          <w:color w:val="0A1628"/>
          <w:sz w:val="30"/>
          <w:szCs w:val="30"/>
        </w:rPr>
        <w:t xml:space="preserve">Por Que Agora?</w:t>
      </w:r>
    </w:p>
    <w:p>
      <w:pPr>
        <w:spacing w:after="120" w:before="0"/>
        <w:jc w:val="both"/>
      </w:pPr>
      <w:r>
        <w:rPr>
          <w:rFonts w:ascii="Arial" w:cs="Arial" w:eastAsia="Arial" w:hAnsi="Arial"/>
          <w:b w:val="false"/>
          <w:bCs w:val="false"/>
          <w:i w:val="false"/>
          <w:iCs w:val="false"/>
          <w:color w:val="1E293B"/>
          <w:sz w:val="21"/>
          <w:szCs w:val="21"/>
        </w:rPr>
        <w:t xml:space="preserve">O cenário regulatório, tecnológico e de custos criou uma janela de oportunidade única para um produto como o IMPACTO® Reactor:</w:t>
      </w:r>
    </w:p>
    <w:p>
      <w:pPr>
        <w:spacing w:after="60"/>
      </w:pPr>
    </w:p>
    <w:p>
      <w:pPr>
        <w:pStyle w:val="Heading2"/>
        <w:spacing w:after="120" w:before="240"/>
      </w:pPr>
      <w:r>
        <w:rPr>
          <w:rFonts w:ascii="Arial" w:cs="Arial" w:eastAsia="Arial" w:hAnsi="Arial"/>
          <w:b/>
          <w:bCs/>
          <w:color w:val="1A2744"/>
          <w:sz w:val="24"/>
          <w:szCs w:val="24"/>
        </w:rPr>
        <w:t xml:space="preserve">Colapso nas Aprovações</w:t>
      </w:r>
    </w:p>
    <w:p>
      <w:pPr>
        <w:spacing w:after="120" w:before="0"/>
        <w:jc w:val="both"/>
      </w:pPr>
      <w:r>
        <w:rPr>
          <w:rFonts w:ascii="Arial" w:cs="Arial" w:eastAsia="Arial" w:hAnsi="Arial"/>
          <w:b w:val="false"/>
          <w:bCs w:val="false"/>
          <w:i w:val="false"/>
          <w:iCs w:val="false"/>
          <w:color w:val="1E293B"/>
          <w:sz w:val="21"/>
          <w:szCs w:val="21"/>
        </w:rPr>
        <w:t xml:space="preserve">A taxa de aprovação de petições EB-2 NIW despencou de mais de 90% historicamente para apenas 43,31% no FY2024. Dados preliminares do FY2025 indicam recuperação parcial para a faixa de 62–67%, mas o patamar permanece significativamente abaixo do histórico. O USCIS está aplicando o framework Dhanasar com rigor sem precedentes.</w:t>
      </w:r>
    </w:p>
    <w:p>
      <w:pPr>
        <w:spacing w:after="60"/>
      </w:pPr>
    </w:p>
    <w:p>
      <w:pPr>
        <w:pStyle w:val="Heading2"/>
        <w:spacing w:after="120" w:before="240"/>
      </w:pPr>
      <w:r>
        <w:rPr>
          <w:rFonts w:ascii="Arial" w:cs="Arial" w:eastAsia="Arial" w:hAnsi="Arial"/>
          <w:b/>
          <w:bCs/>
          <w:color w:val="1A2744"/>
          <w:sz w:val="24"/>
          <w:szCs w:val="24"/>
        </w:rPr>
        <w:t xml:space="preserve">Novas Sobretaxas (OBBBA / H.R. 1)</w:t>
      </w:r>
    </w:p>
    <w:p>
      <w:pPr>
        <w:spacing w:after="120" w:before="0"/>
        <w:jc w:val="both"/>
      </w:pPr>
      <w:r>
        <w:rPr>
          <w:rFonts w:ascii="Arial" w:cs="Arial" w:eastAsia="Arial" w:hAnsi="Arial"/>
          <w:b w:val="false"/>
          <w:bCs w:val="false"/>
          <w:i w:val="false"/>
          <w:iCs w:val="false"/>
          <w:color w:val="1E293B"/>
          <w:sz w:val="21"/>
          <w:szCs w:val="21"/>
        </w:rPr>
        <w:t xml:space="preserve">O One Big Beautiful Bill Act introduziu novas sobretaxas de filing que aumentam significativamente os custos totais do processo imigratório. Com investimento mais alto, clientes querem maximizar as chances de aprovação no primeiro filing — cada RFE ou indeferimento agora custa mais, tanto financeiramente quanto em tempo.</w:t>
      </w:r>
    </w:p>
    <w:p>
      <w:pPr>
        <w:spacing w:after="60"/>
      </w:pPr>
    </w:p>
    <w:p>
      <w:pPr>
        <w:pStyle w:val="Heading2"/>
        <w:spacing w:after="120" w:before="240"/>
      </w:pPr>
      <w:r>
        <w:rPr>
          <w:rFonts w:ascii="Arial" w:cs="Arial" w:eastAsia="Arial" w:hAnsi="Arial"/>
          <w:b/>
          <w:bCs/>
          <w:color w:val="1A2744"/>
          <w:sz w:val="24"/>
          <w:szCs w:val="24"/>
        </w:rPr>
        <w:t xml:space="preserve">Inteligência Artificial do USCIS</w:t>
      </w:r>
    </w:p>
    <w:p>
      <w:pPr>
        <w:spacing w:after="120" w:before="0"/>
        <w:jc w:val="both"/>
      </w:pPr>
      <w:r>
        <w:rPr>
          <w:rFonts w:ascii="Arial" w:cs="Arial" w:eastAsia="Arial" w:hAnsi="Arial"/>
          <w:b w:val="false"/>
          <w:bCs w:val="false"/>
          <w:i w:val="false"/>
          <w:iCs w:val="false"/>
          <w:color w:val="1E293B"/>
          <w:sz w:val="21"/>
          <w:szCs w:val="21"/>
        </w:rPr>
        <w:t xml:space="preserve">O USCIS implementou sistemas de IA (ATLAS e ATA) que tornam business plans genéricos e cartas template cada vez mais detectáveis e ineficazes. Petições que não apresentam dados individualizados e quantitativos enfrentam risco crescente de serem classificadas como “genéricas”.</w:t>
      </w:r>
    </w:p>
    <w:p>
      <w:pPr>
        <w:spacing w:after="60"/>
      </w:pPr>
    </w:p>
    <w:p>
      <w:pPr>
        <w:pStyle w:val="Heading2"/>
        <w:spacing w:after="120" w:before="240"/>
      </w:pPr>
      <w:r>
        <w:rPr>
          <w:rFonts w:ascii="Arial" w:cs="Arial" w:eastAsia="Arial" w:hAnsi="Arial"/>
          <w:b/>
          <w:bCs/>
          <w:color w:val="1A2744"/>
          <w:sz w:val="24"/>
          <w:szCs w:val="24"/>
        </w:rPr>
        <w:t xml:space="preserve">Oportunidade de Mercado</w:t>
      </w:r>
    </w:p>
    <w:p>
      <w:pPr>
        <w:pStyle w:val="ListParagraph"/>
        <w:numPr>
          <w:ilvl w:val="0"/>
          <w:numId w:val="2"/>
        </w:numPr>
        <w:spacing w:after="80"/>
      </w:pPr>
      <w:r>
        <w:rPr>
          <w:rFonts w:ascii="Arial" w:cs="Arial" w:eastAsia="Arial" w:hAnsi="Arial"/>
          <w:b/>
          <w:bCs/>
          <w:color w:val="1E293B"/>
          <w:sz w:val="20"/>
          <w:szCs w:val="20"/>
        </w:rPr>
        <w:t xml:space="preserve">First-mover advantage: </w:t>
      </w:r>
      <w:r>
        <w:rPr>
          <w:rFonts w:ascii="Arial" w:cs="Arial" w:eastAsia="Arial" w:hAnsi="Arial"/>
          <w:color w:val="475569"/>
          <w:sz w:val="20"/>
          <w:szCs w:val="20"/>
        </w:rPr>
        <w:t xml:space="preserve">Nenhum player oferece produto equivalente com metodologia tripla para o mercado brasileiro de EB-2 NIW.</w:t>
      </w:r>
    </w:p>
    <w:p>
      <w:pPr>
        <w:pStyle w:val="ListParagraph"/>
        <w:numPr>
          <w:ilvl w:val="0"/>
          <w:numId w:val="2"/>
        </w:numPr>
        <w:spacing w:after="80"/>
      </w:pPr>
      <w:r>
        <w:rPr>
          <w:rFonts w:ascii="Arial" w:cs="Arial" w:eastAsia="Arial" w:hAnsi="Arial"/>
          <w:b/>
          <w:bCs/>
          <w:color w:val="1E293B"/>
          <w:sz w:val="20"/>
          <w:szCs w:val="20"/>
        </w:rPr>
        <w:t xml:space="preserve">Produto complementar: </w:t>
      </w:r>
      <w:r>
        <w:rPr>
          <w:rFonts w:ascii="Arial" w:cs="Arial" w:eastAsia="Arial" w:hAnsi="Arial"/>
          <w:color w:val="475569"/>
          <w:sz w:val="20"/>
          <w:szCs w:val="20"/>
        </w:rPr>
        <w:t xml:space="preserve">O Reactor funciona como complemento natural a qualquer business plan, agregando a camada de evidência quantitativa que falta na maioria das petições.</w:t>
      </w:r>
    </w:p>
    <w:p>
      <w:pPr>
        <w:pStyle w:val="ListParagraph"/>
        <w:numPr>
          <w:ilvl w:val="0"/>
          <w:numId w:val="2"/>
        </w:numPr>
        <w:spacing w:after="80"/>
      </w:pPr>
      <w:r>
        <w:rPr>
          <w:rFonts w:ascii="Arial" w:cs="Arial" w:eastAsia="Arial" w:hAnsi="Arial"/>
          <w:b/>
          <w:bCs/>
          <w:color w:val="1E293B"/>
          <w:sz w:val="20"/>
          <w:szCs w:val="20"/>
        </w:rPr>
        <w:t xml:space="preserve">Escalável: </w:t>
      </w:r>
      <w:r>
        <w:rPr>
          <w:rFonts w:ascii="Arial" w:cs="Arial" w:eastAsia="Arial" w:hAnsi="Arial"/>
          <w:color w:val="475569"/>
          <w:sz w:val="20"/>
          <w:szCs w:val="20"/>
        </w:rPr>
        <w:t xml:space="preserve">A estrutura modular permite atender desde casos simples até petições complexas com RFE ativa.</w:t>
      </w:r>
    </w:p>
    <w:p>
      <w:pPr>
        <w:pStyle w:val="ListParagraph"/>
        <w:numPr>
          <w:ilvl w:val="0"/>
          <w:numId w:val="2"/>
        </w:numPr>
        <w:spacing w:after="80"/>
      </w:pPr>
      <w:r>
        <w:rPr>
          <w:rFonts w:ascii="Arial" w:cs="Arial" w:eastAsia="Arial" w:hAnsi="Arial"/>
          <w:b/>
          <w:bCs/>
          <w:color w:val="1E293B"/>
          <w:sz w:val="20"/>
          <w:szCs w:val="20"/>
        </w:rPr>
        <w:t xml:space="preserve">Demanda crescente: </w:t>
      </w:r>
      <w:r>
        <w:rPr>
          <w:rFonts w:ascii="Arial" w:cs="Arial" w:eastAsia="Arial" w:hAnsi="Arial"/>
          <w:color w:val="475569"/>
          <w:sz w:val="20"/>
          <w:szCs w:val="20"/>
        </w:rPr>
        <w:t xml:space="preserve">Com taxas de aprovação mais baixas e custos mais altos, a demanda por evidência econômica robusta só tende a crescer.</w:t>
      </w:r>
    </w:p>
    <w:p>
      <w:r>
        <w:br w:type="page"/>
      </w:r>
    </w:p>
    <w:p>
      <w:pPr>
        <w:pBdr>
          <w:bottom w:val="single" w:color="00A3CC" w:sz="4" w:space="6"/>
        </w:pBdr>
        <w:spacing w:after="40" w:before="60"/>
      </w:pPr>
      <w:r>
        <w:rPr>
          <w:rFonts w:ascii="Arial" w:cs="Arial" w:eastAsia="Arial" w:hAnsi="Arial"/>
          <w:b/>
          <w:bCs/>
          <w:color w:val="00A3CC"/>
          <w:sz w:val="16"/>
          <w:szCs w:val="16"/>
        </w:rPr>
        <w:t xml:space="preserve">10  </w:t>
      </w:r>
      <w:r>
        <w:rPr>
          <w:rFonts w:ascii="Arial" w:cs="Arial" w:eastAsia="Arial" w:hAnsi="Arial"/>
          <w:b/>
          <w:bCs/>
          <w:color w:val="00A3CC"/>
          <w:sz w:val="16"/>
          <w:szCs w:val="16"/>
        </w:rPr>
        <w:t xml:space="preserve">PERGUNTAS FREQUENTES</w:t>
      </w:r>
    </w:p>
    <w:p>
      <w:pPr>
        <w:spacing w:after="40"/>
      </w:pPr>
    </w:p>
    <w:p>
      <w:pPr>
        <w:pStyle w:val="Heading1"/>
        <w:spacing w:after="180" w:before="320"/>
      </w:pPr>
      <w:r>
        <w:rPr>
          <w:rFonts w:ascii="Arial" w:cs="Arial" w:eastAsia="Arial" w:hAnsi="Arial"/>
          <w:b/>
          <w:bCs/>
          <w:color w:val="0A1628"/>
          <w:sz w:val="30"/>
          <w:szCs w:val="30"/>
        </w:rPr>
        <w:t xml:space="preserve">FAQ — Dúvidas Comuns</w:t>
      </w:r>
    </w:p>
    <w:p>
      <w:pPr>
        <w:spacing w:after="60"/>
      </w:pPr>
    </w:p>
    <w:p>
      <w:pPr>
        <w:spacing w:after="120" w:before="160"/>
        <w:jc w:val="both"/>
      </w:pPr>
      <w:r>
        <w:rPr>
          <w:rFonts w:ascii="Arial" w:cs="Arial" w:eastAsia="Arial" w:hAnsi="Arial"/>
          <w:b/>
          <w:bCs/>
          <w:i w:val="false"/>
          <w:iCs w:val="false"/>
          <w:color w:val="00A3CC"/>
          <w:sz w:val="21"/>
          <w:szCs w:val="21"/>
        </w:rPr>
        <w:t xml:space="preserve">P: </w:t>
      </w:r>
      <w:r>
        <w:rPr>
          <w:rFonts w:ascii="Arial" w:cs="Arial" w:eastAsia="Arial" w:hAnsi="Arial"/>
          <w:b/>
          <w:bCs/>
          <w:i w:val="false"/>
          <w:iCs w:val="false"/>
          <w:color w:val="0A1628"/>
          <w:sz w:val="21"/>
          <w:szCs w:val="21"/>
        </w:rPr>
        <w:t xml:space="preserve">O que exatamente o Reactor entrega?</w:t>
      </w:r>
    </w:p>
    <w:p>
      <w:pPr>
        <w:spacing w:after="120" w:before="0"/>
        <w:jc w:val="both"/>
      </w:pPr>
      <w:r>
        <w:rPr>
          <w:rFonts w:ascii="Arial" w:cs="Arial" w:eastAsia="Arial" w:hAnsi="Arial"/>
          <w:b w:val="false"/>
          <w:bCs w:val="false"/>
          <w:i w:val="false"/>
          <w:iCs w:val="false"/>
          <w:color w:val="1E293B"/>
          <w:sz w:val="21"/>
          <w:szCs w:val="21"/>
        </w:rPr>
        <w:t xml:space="preserve">Um relatório técnico de impacto econômico contendo projeções de empregos, produção econômica, valor agregado, receita tributária, análise setorial e regional — tudo conectado ao framework Dhanasar e formatado para inclusão direta na petição EB-2 NIW.</w:t>
      </w:r>
    </w:p>
    <w:p>
      <w:pPr>
        <w:spacing w:after="120" w:before="160"/>
        <w:jc w:val="both"/>
      </w:pPr>
      <w:r>
        <w:rPr>
          <w:rFonts w:ascii="Arial" w:cs="Arial" w:eastAsia="Arial" w:hAnsi="Arial"/>
          <w:b/>
          <w:bCs/>
          <w:i w:val="false"/>
          <w:iCs w:val="false"/>
          <w:color w:val="00A3CC"/>
          <w:sz w:val="21"/>
          <w:szCs w:val="21"/>
        </w:rPr>
        <w:t xml:space="preserve">P: </w:t>
      </w:r>
      <w:r>
        <w:rPr>
          <w:rFonts w:ascii="Arial" w:cs="Arial" w:eastAsia="Arial" w:hAnsi="Arial"/>
          <w:b/>
          <w:bCs/>
          <w:i w:val="false"/>
          <w:iCs w:val="false"/>
          <w:color w:val="0A1628"/>
          <w:sz w:val="21"/>
          <w:szCs w:val="21"/>
        </w:rPr>
        <w:t xml:space="preserve">O Reactor substitui o business plan?</w:t>
      </w:r>
    </w:p>
    <w:p>
      <w:pPr>
        <w:spacing w:after="120" w:before="0"/>
        <w:jc w:val="both"/>
      </w:pPr>
      <w:r>
        <w:rPr>
          <w:rFonts w:ascii="Arial" w:cs="Arial" w:eastAsia="Arial" w:hAnsi="Arial"/>
          <w:b w:val="false"/>
          <w:bCs w:val="false"/>
          <w:i w:val="false"/>
          <w:iCs w:val="false"/>
          <w:color w:val="1E293B"/>
          <w:sz w:val="21"/>
          <w:szCs w:val="21"/>
        </w:rPr>
        <w:t xml:space="preserve">Não. O Reactor é um complemento ao business plan. O business plan descreve O QUE o peticionário pretende fazer; o Reactor prova, com dados quantitativos, QUAL o impacto econômico que isso terá. São documentos complementares que se fortalecem mutuamente.</w:t>
      </w:r>
    </w:p>
    <w:p>
      <w:pPr>
        <w:spacing w:after="120" w:before="160"/>
        <w:jc w:val="both"/>
      </w:pPr>
      <w:r>
        <w:rPr>
          <w:rFonts w:ascii="Arial" w:cs="Arial" w:eastAsia="Arial" w:hAnsi="Arial"/>
          <w:b/>
          <w:bCs/>
          <w:i w:val="false"/>
          <w:iCs w:val="false"/>
          <w:color w:val="00A3CC"/>
          <w:sz w:val="21"/>
          <w:szCs w:val="21"/>
        </w:rPr>
        <w:t xml:space="preserve">P: </w:t>
      </w:r>
      <w:r>
        <w:rPr>
          <w:rFonts w:ascii="Arial" w:cs="Arial" w:eastAsia="Arial" w:hAnsi="Arial"/>
          <w:b/>
          <w:bCs/>
          <w:i w:val="false"/>
          <w:iCs w:val="false"/>
          <w:color w:val="0A1628"/>
          <w:sz w:val="21"/>
          <w:szCs w:val="21"/>
        </w:rPr>
        <w:t xml:space="preserve">Como o Reactor se diferencia de análises genéricas?</w:t>
      </w:r>
    </w:p>
    <w:p>
      <w:pPr>
        <w:spacing w:after="120" w:before="0"/>
        <w:jc w:val="both"/>
      </w:pPr>
      <w:r>
        <w:rPr>
          <w:rFonts w:ascii="Arial" w:cs="Arial" w:eastAsia="Arial" w:hAnsi="Arial"/>
          <w:b w:val="false"/>
          <w:bCs w:val="false"/>
          <w:i w:val="false"/>
          <w:iCs w:val="false"/>
          <w:color w:val="1E293B"/>
          <w:sz w:val="21"/>
          <w:szCs w:val="21"/>
        </w:rPr>
        <w:t xml:space="preserve">Três diferenças fundamentais: (1) usa até 3 metodologias com validação cruzada, contra 1 dos concorrentes; (2) cada módulo foi mapeado a objeções específicas de RFE, criando uma “blindagem” preventiva; (3) os dados são individualizados por região (MSA/condado), setor (NAICS) e cenários (conservador/base/otimista), tornando muito mais difícil classificá-los como “genéricos” pelos sistemas ATLAS/ATA do USCIS.</w:t>
      </w:r>
    </w:p>
    <w:p>
      <w:pPr>
        <w:spacing w:after="120" w:before="160"/>
        <w:jc w:val="both"/>
      </w:pPr>
      <w:r>
        <w:rPr>
          <w:rFonts w:ascii="Arial" w:cs="Arial" w:eastAsia="Arial" w:hAnsi="Arial"/>
          <w:b/>
          <w:bCs/>
          <w:i w:val="false"/>
          <w:iCs w:val="false"/>
          <w:color w:val="00A3CC"/>
          <w:sz w:val="21"/>
          <w:szCs w:val="21"/>
        </w:rPr>
        <w:t xml:space="preserve">P: </w:t>
      </w:r>
      <w:r>
        <w:rPr>
          <w:rFonts w:ascii="Arial" w:cs="Arial" w:eastAsia="Arial" w:hAnsi="Arial"/>
          <w:b/>
          <w:bCs/>
          <w:i w:val="false"/>
          <w:iCs w:val="false"/>
          <w:color w:val="0A1628"/>
          <w:sz w:val="21"/>
          <w:szCs w:val="21"/>
        </w:rPr>
        <w:t xml:space="preserve">O USCIS aceita esse tipo de evidência?</w:t>
      </w:r>
    </w:p>
    <w:p>
      <w:pPr>
        <w:spacing w:after="120" w:before="0"/>
        <w:jc w:val="both"/>
      </w:pPr>
      <w:r>
        <w:rPr>
          <w:rFonts w:ascii="Arial" w:cs="Arial" w:eastAsia="Arial" w:hAnsi="Arial"/>
          <w:b w:val="false"/>
          <w:bCs w:val="false"/>
          <w:i w:val="false"/>
          <w:iCs w:val="false"/>
          <w:color w:val="1E293B"/>
          <w:sz w:val="21"/>
          <w:szCs w:val="21"/>
        </w:rPr>
        <w:t xml:space="preserve">Sim. Os modelos IMPLAN e RIMS II são referência no governo federal. O RIMS II é mantido pelo Bureau of Economic Analysis, órgão do U.S. Department of Commerce. O próprio USCIS já aceitou análises baseadas nesses modelos como evidência probatória em decisões publicadas. A validação cruzada entre múltiplos modelos fortalece ainda mais a credibilidade.</w:t>
      </w:r>
    </w:p>
    <w:p>
      <w:pPr>
        <w:spacing w:after="120" w:before="160"/>
        <w:jc w:val="both"/>
      </w:pPr>
      <w:r>
        <w:rPr>
          <w:rFonts w:ascii="Arial" w:cs="Arial" w:eastAsia="Arial" w:hAnsi="Arial"/>
          <w:b/>
          <w:bCs/>
          <w:i w:val="false"/>
          <w:iCs w:val="false"/>
          <w:color w:val="00A3CC"/>
          <w:sz w:val="21"/>
          <w:szCs w:val="21"/>
        </w:rPr>
        <w:t xml:space="preserve">P: </w:t>
      </w:r>
      <w:r>
        <w:rPr>
          <w:rFonts w:ascii="Arial" w:cs="Arial" w:eastAsia="Arial" w:hAnsi="Arial"/>
          <w:b/>
          <w:bCs/>
          <w:i w:val="false"/>
          <w:iCs w:val="false"/>
          <w:color w:val="0A1628"/>
          <w:sz w:val="21"/>
          <w:szCs w:val="21"/>
        </w:rPr>
        <w:t xml:space="preserve">Posso usar o Reactor para responder uma RFE já recebida?</w:t>
      </w:r>
    </w:p>
    <w:p>
      <w:pPr>
        <w:spacing w:after="120" w:before="0"/>
        <w:jc w:val="both"/>
      </w:pPr>
      <w:r>
        <w:rPr>
          <w:rFonts w:ascii="Arial" w:cs="Arial" w:eastAsia="Arial" w:hAnsi="Arial"/>
          <w:b w:val="false"/>
          <w:bCs w:val="false"/>
          <w:i w:val="false"/>
          <w:iCs w:val="false"/>
          <w:color w:val="1E293B"/>
          <w:sz w:val="21"/>
          <w:szCs w:val="21"/>
        </w:rPr>
        <w:t xml:space="preserve">Sim — essa é, inclusive, uma das aplicações mais poderosas do produto. O Reactor inclui todos os 10 módulos com validação tripla, ideal para respostas a RFE. O Módulo 10 (Dashboard USCIS) mapeia exatamente cada deficiência apontada na RFE à evidência correspondente no relatório.</w:t>
      </w:r>
    </w:p>
    <w:p>
      <w:pPr>
        <w:spacing w:after="120" w:before="160"/>
        <w:jc w:val="both"/>
      </w:pPr>
      <w:r>
        <w:rPr>
          <w:rFonts w:ascii="Arial" w:cs="Arial" w:eastAsia="Arial" w:hAnsi="Arial"/>
          <w:b/>
          <w:bCs/>
          <w:i w:val="false"/>
          <w:iCs w:val="false"/>
          <w:color w:val="00A3CC"/>
          <w:sz w:val="21"/>
          <w:szCs w:val="21"/>
        </w:rPr>
        <w:t xml:space="preserve">P: </w:t>
      </w:r>
      <w:r>
        <w:rPr>
          <w:rFonts w:ascii="Arial" w:cs="Arial" w:eastAsia="Arial" w:hAnsi="Arial"/>
          <w:b/>
          <w:bCs/>
          <w:i w:val="false"/>
          <w:iCs w:val="false"/>
          <w:color w:val="0A1628"/>
          <w:sz w:val="21"/>
          <w:szCs w:val="21"/>
        </w:rPr>
        <w:t xml:space="preserve">Qual o prazo de entrega?</w:t>
      </w:r>
    </w:p>
    <w:p>
      <w:pPr>
        <w:spacing w:after="120" w:before="0"/>
        <w:jc w:val="both"/>
      </w:pPr>
      <w:r>
        <w:rPr>
          <w:rFonts w:ascii="Arial" w:cs="Arial" w:eastAsia="Arial" w:hAnsi="Arial"/>
          <w:b w:val="false"/>
          <w:bCs w:val="false"/>
          <w:i w:val="false"/>
          <w:iCs w:val="false"/>
          <w:color w:val="1E293B"/>
          <w:sz w:val="21"/>
          <w:szCs w:val="21"/>
        </w:rPr>
        <w:t xml:space="preserve">10–15 dias úteis. Prazos de urgência estão disponíveis para respostas a RFE mediante consulta.</w:t>
      </w:r>
    </w:p>
    <w:p>
      <w:pPr>
        <w:spacing w:after="120" w:before="160"/>
        <w:jc w:val="both"/>
      </w:pPr>
      <w:r>
        <w:rPr>
          <w:rFonts w:ascii="Arial" w:cs="Arial" w:eastAsia="Arial" w:hAnsi="Arial"/>
          <w:b/>
          <w:bCs/>
          <w:i w:val="false"/>
          <w:iCs w:val="false"/>
          <w:color w:val="00A3CC"/>
          <w:sz w:val="21"/>
          <w:szCs w:val="21"/>
        </w:rPr>
        <w:t xml:space="preserve">P: </w:t>
      </w:r>
      <w:r>
        <w:rPr>
          <w:rFonts w:ascii="Arial" w:cs="Arial" w:eastAsia="Arial" w:hAnsi="Arial"/>
          <w:b/>
          <w:bCs/>
          <w:i w:val="false"/>
          <w:iCs w:val="false"/>
          <w:color w:val="0A1628"/>
          <w:sz w:val="21"/>
          <w:szCs w:val="21"/>
        </w:rPr>
        <w:t xml:space="preserve">O relatório é entregue em que formato?</w:t>
      </w:r>
    </w:p>
    <w:p>
      <w:pPr>
        <w:spacing w:after="120" w:before="0"/>
        <w:jc w:val="both"/>
      </w:pPr>
      <w:r>
        <w:rPr>
          <w:rFonts w:ascii="Arial" w:cs="Arial" w:eastAsia="Arial" w:hAnsi="Arial"/>
          <w:b w:val="false"/>
          <w:bCs w:val="false"/>
          <w:i w:val="false"/>
          <w:iCs w:val="false"/>
          <w:color w:val="1E293B"/>
          <w:sz w:val="21"/>
          <w:szCs w:val="21"/>
        </w:rPr>
        <w:t xml:space="preserve">DOCX e PDF, prontos para inclusão no pacote de submissão ao USCIS. O formato é projetado para ser referenciável diretamente na petição ou resposta a RFE.</w:t>
      </w:r>
    </w:p>
    <w:p>
      <w:pPr>
        <w:spacing w:after="120" w:before="160"/>
        <w:jc w:val="both"/>
      </w:pPr>
      <w:r>
        <w:rPr>
          <w:rFonts w:ascii="Arial" w:cs="Arial" w:eastAsia="Arial" w:hAnsi="Arial"/>
          <w:b/>
          <w:bCs/>
          <w:i w:val="false"/>
          <w:iCs w:val="false"/>
          <w:color w:val="00A3CC"/>
          <w:sz w:val="21"/>
          <w:szCs w:val="21"/>
        </w:rPr>
        <w:t xml:space="preserve">P: </w:t>
      </w:r>
      <w:r>
        <w:rPr>
          <w:rFonts w:ascii="Arial" w:cs="Arial" w:eastAsia="Arial" w:hAnsi="Arial"/>
          <w:b/>
          <w:bCs/>
          <w:i w:val="false"/>
          <w:iCs w:val="false"/>
          <w:color w:val="0A1628"/>
          <w:sz w:val="21"/>
          <w:szCs w:val="21"/>
        </w:rPr>
        <w:t xml:space="preserve">Os dados são auditáveis?</w:t>
      </w:r>
    </w:p>
    <w:p>
      <w:pPr>
        <w:spacing w:after="120" w:before="0"/>
        <w:jc w:val="both"/>
      </w:pPr>
      <w:r>
        <w:rPr>
          <w:rFonts w:ascii="Arial" w:cs="Arial" w:eastAsia="Arial" w:hAnsi="Arial"/>
          <w:b w:val="false"/>
          <w:bCs w:val="false"/>
          <w:i w:val="false"/>
          <w:iCs w:val="false"/>
          <w:color w:val="1E293B"/>
          <w:sz w:val="21"/>
          <w:szCs w:val="21"/>
        </w:rPr>
        <w:t xml:space="preserve">Sim. Todas as premissas, fontes e metodologias são documentadas no relatório. Os dados primários vêm de fontes públicas e governamentais (BEA, BLS, Census Bureau), permitindo que qualquer economista ou auditor verifique os cálculos.</w:t>
      </w:r>
    </w:p>
    <w:p>
      <w:r>
        <w:br w:type="page"/>
      </w:r>
    </w:p>
    <w:p>
      <w:pPr>
        <w:pBdr>
          <w:bottom w:val="single" w:color="00A3CC" w:sz="4" w:space="6"/>
        </w:pBdr>
        <w:spacing w:after="40" w:before="60"/>
      </w:pPr>
      <w:r>
        <w:rPr>
          <w:rFonts w:ascii="Arial" w:cs="Arial" w:eastAsia="Arial" w:hAnsi="Arial"/>
          <w:b/>
          <w:bCs/>
          <w:color w:val="00A3CC"/>
          <w:sz w:val="16"/>
          <w:szCs w:val="16"/>
        </w:rPr>
        <w:t xml:space="preserve">11  </w:t>
      </w:r>
      <w:r>
        <w:rPr>
          <w:rFonts w:ascii="Arial" w:cs="Arial" w:eastAsia="Arial" w:hAnsi="Arial"/>
          <w:b/>
          <w:bCs/>
          <w:color w:val="00A3CC"/>
          <w:sz w:val="16"/>
          <w:szCs w:val="16"/>
        </w:rPr>
        <w:t xml:space="preserve">CONCLUSÃO</w:t>
      </w:r>
    </w:p>
    <w:p>
      <w:pPr>
        <w:spacing w:after="40"/>
      </w:pPr>
    </w:p>
    <w:p>
      <w:pPr>
        <w:pStyle w:val="Heading1"/>
        <w:spacing w:after="180" w:before="320"/>
      </w:pPr>
      <w:r>
        <w:rPr>
          <w:rFonts w:ascii="Arial" w:cs="Arial" w:eastAsia="Arial" w:hAnsi="Arial"/>
          <w:b/>
          <w:bCs/>
          <w:color w:val="0A1628"/>
          <w:sz w:val="30"/>
          <w:szCs w:val="30"/>
        </w:rPr>
        <w:t xml:space="preserve">O Caso Fortalecido</w:t>
      </w:r>
    </w:p>
    <w:p>
      <w:pPr>
        <w:spacing w:after="120" w:before="0"/>
        <w:jc w:val="both"/>
      </w:pPr>
      <w:r>
        <w:rPr>
          <w:rFonts w:ascii="Arial" w:cs="Arial" w:eastAsia="Arial" w:hAnsi="Arial"/>
          <w:b w:val="false"/>
          <w:bCs w:val="false"/>
          <w:i w:val="false"/>
          <w:iCs w:val="false"/>
          <w:color w:val="1E293B"/>
          <w:sz w:val="21"/>
          <w:szCs w:val="21"/>
        </w:rPr>
        <w:t xml:space="preserve">O IMPACTO® Reactor representa uma evolução fundamental na forma como petições EB-2 NIW são construídas. Em um cenário onde a taxa de aprovação caiu drasticamente, os custos de filing aumentaram com novas sobretaxas, e sistemas de IA do USCIS estão cada vez mais sofisticados na detecção de conteúdo genérico, não basta mais ter um bom business plan e boas cartas de recomendação.</w:t>
      </w:r>
    </w:p>
    <w:p>
      <w:pPr>
        <w:spacing w:after="120" w:before="0"/>
        <w:jc w:val="both"/>
      </w:pPr>
      <w:r>
        <w:rPr>
          <w:rFonts w:ascii="Arial" w:cs="Arial" w:eastAsia="Arial" w:hAnsi="Arial"/>
          <w:b w:val="false"/>
          <w:bCs w:val="false"/>
          <w:i w:val="false"/>
          <w:iCs w:val="false"/>
          <w:color w:val="1E293B"/>
          <w:sz w:val="21"/>
          <w:szCs w:val="21"/>
        </w:rPr>
        <w:t xml:space="preserve">O adjudicador quer ver números. Números concretos, auditáveis, baseados em modelos que o próprio governo utiliza. Números que respondam com precisão: quantos empregos? Quanto em impostos? Qual o impacto real, mensurável e verificavel na economia americana?</w:t>
      </w:r>
    </w:p>
    <w:p>
      <w:pPr>
        <w:spacing w:after="120" w:before="0"/>
        <w:jc w:val="both"/>
      </w:pPr>
      <w:r>
        <w:rPr>
          <w:rFonts w:ascii="Arial" w:cs="Arial" w:eastAsia="Arial" w:hAnsi="Arial"/>
          <w:b w:val="false"/>
          <w:bCs w:val="false"/>
          <w:i w:val="false"/>
          <w:iCs w:val="false"/>
          <w:color w:val="1E293B"/>
          <w:sz w:val="21"/>
          <w:szCs w:val="21"/>
        </w:rPr>
        <w:t xml:space="preserve">O Reactor fornece esses números de forma científica, multi-metodológica e preparada para resistir ao escritínio do USCIS. Com 10 módulos especializados cobrindo todas as dimensões de impacto econômico exigidas pelo framework Dhanasar, ele transforma a petição de “um pedido” em “um caso técnico robusto e bem fundamentado”.</w:t>
      </w:r>
    </w:p>
    <w:p>
      <w:pPr>
        <w:spacing w:after="120" w:before="0"/>
        <w:jc w:val="both"/>
      </w:pPr>
      <w:r>
        <w:rPr>
          <w:rFonts w:ascii="Arial" w:cs="Arial" w:eastAsia="Arial" w:hAnsi="Arial"/>
          <w:b w:val="false"/>
          <w:bCs w:val="false"/>
          <w:i w:val="false"/>
          <w:iCs w:val="false"/>
          <w:color w:val="1E293B"/>
          <w:sz w:val="21"/>
          <w:szCs w:val="21"/>
        </w:rPr>
        <w:t xml:space="preserve">Em um mercado onde nenhum concorrente oferece metodologia tripla, validação cruzada multi-modelo e mapeamento de RFE integrado — especialmente para o público brasileiro — o IMPACTO® Reactor ocupa uma posição única.</w:t>
      </w:r>
    </w:p>
    <w:p>
      <w:pPr>
        <w:spacing w:after="60"/>
      </w:pPr>
    </w:p>
    <w:p>
      <w:pPr>
        <w:spacing w:after="80" w:before="300"/>
        <w:jc w:val="center"/>
      </w:pPr>
      <w:r>
        <w:rPr>
          <w:rFonts w:ascii="Arial" w:cs="Arial" w:eastAsia="Arial" w:hAnsi="Arial"/>
          <w:b/>
          <w:bCs/>
          <w:color w:val="0A1628"/>
          <w:sz w:val="28"/>
          <w:szCs w:val="28"/>
        </w:rPr>
        <w:t xml:space="preserve">IMPACTO® </w:t>
      </w:r>
      <w:r>
        <w:rPr>
          <w:rFonts w:ascii="Arial" w:cs="Arial" w:eastAsia="Arial" w:hAnsi="Arial"/>
          <w:b/>
          <w:bCs/>
          <w:color w:val="00A3CC"/>
          <w:sz w:val="28"/>
          <w:szCs w:val="28"/>
        </w:rPr>
        <w:t xml:space="preserve">Reactor</w:t>
      </w:r>
    </w:p>
    <w:p>
      <w:pPr>
        <w:spacing w:after="40"/>
        <w:jc w:val="center"/>
      </w:pPr>
      <w:r>
        <w:rPr>
          <w:rFonts w:ascii="Arial" w:cs="Arial" w:eastAsia="Arial" w:hAnsi="Arial"/>
          <w:color w:val="475569"/>
          <w:sz w:val="20"/>
          <w:szCs w:val="20"/>
        </w:rPr>
        <w:t xml:space="preserve">Economic Impact Intelligence Suite</w:t>
      </w:r>
    </w:p>
    <w:p>
      <w:pPr>
        <w:spacing w:after="80"/>
        <w:jc w:val="center"/>
      </w:pPr>
      <w:r>
        <w:rPr>
          <w:rFonts w:ascii="Arial" w:cs="Arial" w:eastAsia="Arial" w:hAnsi="Arial"/>
          <w:i/>
          <w:iCs/>
          <w:color w:val="475569"/>
          <w:sz w:val="18"/>
          <w:szCs w:val="18"/>
        </w:rPr>
        <w:t xml:space="preserve">Evidência econômica científica que fortalece petições EB-2 NIW</w:t>
      </w:r>
    </w:p>
    <w:p>
      <w:pPr>
        <w:spacing w:after="40" w:before="60"/>
        <w:jc w:val="center"/>
      </w:pPr>
      <w:r>
        <w:rPr>
          <w:rFonts w:ascii="Arial" w:cs="Arial" w:eastAsia="Arial" w:hAnsi="Arial"/>
          <w:b/>
          <w:bCs/>
          <w:color w:val="00A3CC"/>
          <w:sz w:val="28"/>
          <w:szCs w:val="28"/>
        </w:rPr>
        <w:t xml:space="preserve">$790 USD</w:t>
      </w:r>
      <w:r>
        <w:rPr>
          <w:rFonts w:ascii="Arial" w:cs="Arial" w:eastAsia="Arial" w:hAnsi="Arial"/>
          <w:color w:val="475569"/>
          <w:sz w:val="18"/>
          <w:szCs w:val="18"/>
        </w:rPr>
        <w:t xml:space="preserve">  —  Pagamento único antecipado</w:t>
      </w:r>
    </w:p>
    <w:p>
      <w:pPr>
        <w:spacing w:after="60"/>
      </w:pPr>
    </w:p>
    <w:p>
      <w:pPr>
        <w:pBdr>
          <w:top w:val="single" w:color="CBD5E1" w:sz="2" w:space="12"/>
        </w:pBdr>
        <w:spacing w:after="40" w:before="200"/>
        <w:jc w:val="center"/>
      </w:pPr>
      <w:r>
        <w:rPr>
          <w:rFonts w:ascii="Arial" w:cs="Arial" w:eastAsia="Arial" w:hAnsi="Arial"/>
          <w:b/>
          <w:bCs/>
          <w:color w:val="475569"/>
          <w:sz w:val="14"/>
          <w:szCs w:val="14"/>
        </w:rPr>
        <w:t xml:space="preserve">COMERCIALIZADO POR</w:t>
      </w:r>
    </w:p>
    <w:p>
      <w:pPr>
        <w:spacing w:after="40"/>
        <w:jc w:val="center"/>
      </w:pPr>
      <w:r>
        <w:rPr>
          <w:rFonts w:ascii="Arial" w:cs="Arial" w:eastAsia="Arial" w:hAnsi="Arial"/>
          <w:b/>
          <w:bCs/>
          <w:color w:val="0A1628"/>
          <w:sz w:val="22"/>
          <w:szCs w:val="22"/>
        </w:rPr>
        <w:t xml:space="preserve">Global Communications</w:t>
      </w:r>
    </w:p>
    <w:p>
      <w:pPr>
        <w:spacing w:after="200"/>
        <w:jc w:val="center"/>
      </w:pPr>
      <w:r>
        <w:rPr>
          <w:rFonts w:ascii="Arial" w:cs="Arial" w:eastAsia="Arial" w:hAnsi="Arial"/>
          <w:color w:val="00A3CC"/>
          <w:sz w:val="18"/>
          <w:szCs w:val="18"/>
        </w:rPr>
        <w:t xml:space="preserve">globalsupportingdocs.com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tabs>
        <w:tab w:val="right" w:pos="9026"/>
      </w:tabs>
    </w:pPr>
    <w:r>
      <w:rPr>
        <w:rFonts w:ascii="Arial" w:cs="Arial" w:eastAsia="Arial" w:hAnsi="Arial"/>
        <w:b/>
        <w:bCs/>
        <w:color w:val="94A3B8"/>
        <w:sz w:val="13"/>
        <w:szCs w:val="13"/>
      </w:rPr>
      <w:t xml:space="preserve">CONFIDENCIAL</w:t>
    </w:r>
    <w:r>
      <w:rPr>
        <w:rFonts w:ascii="Arial" w:cs="Arial" w:eastAsia="Arial" w:hAnsi="Arial"/>
        <w:color w:val="94A3B8"/>
        <w:sz w:val="13"/>
        <w:szCs w:val="13"/>
      </w:rPr>
      <w:t xml:space="preserve">	Página </w:t>
    </w:r>
    <w:r>
      <w:rPr>
        <w:rFonts w:ascii="Arial" w:cs="Arial" w:eastAsia="Arial" w:hAnsi="Arial"/>
        <w:color w:val="94A3B8"/>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3CC" w:sz="4" w:space="4"/>
      </w:pBdr>
      <w:jc w:val="right"/>
    </w:pPr>
    <w:r>
      <w:rPr>
        <w:rFonts w:ascii="Arial" w:cs="Arial" w:eastAsia="Arial" w:hAnsi="Arial"/>
        <w:i/>
        <w:iCs/>
        <w:color w:val="94A3B8"/>
        <w:sz w:val="15"/>
        <w:szCs w:val="15"/>
      </w:rPr>
      <w:t xml:space="preserve">IMPACTO® Reactor — Guia Explicativo do Produto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0A1628"/>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27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2026-03-16T13:27:09.826Z</dcterms:created>
  <dcterms:modified xsi:type="dcterms:W3CDTF">2026-03-16T13:27:09.826Z</dcterms:modified>
</cp:coreProperties>
</file>

<file path=docProps/custom.xml><?xml version="1.0" encoding="utf-8"?>
<Properties xmlns="http://schemas.openxmlformats.org/officeDocument/2006/custom-properties" xmlns:vt="http://schemas.openxmlformats.org/officeDocument/2006/docPropsVTypes"/>
</file>