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pBdr>
          <w:bottom w:val="single" w:color="0D9488" w:sz="12" w:space="1"/>
        </w:pBdr>
        <w:spacing w:after="400"/>
      </w:pPr>
    </w:p>
    <w:p>
      <w:pPr>
        <w:spacing w:after="200"/>
      </w:pPr>
    </w:p>
    <w:p>
      <w:pPr>
        <w:spacing w:after="80"/>
        <w:jc w:val="left"/>
      </w:pPr>
      <w:r>
        <w:rPr>
          <w:rFonts w:ascii="Arial" w:cs="Arial" w:eastAsia="Arial" w:hAnsi="Arial"/>
          <w:b/>
          <w:bCs/>
          <w:color w:val="0A1628"/>
          <w:sz w:val="56"/>
          <w:szCs w:val="56"/>
        </w:rPr>
        <w:t xml:space="preserve">IMPACTO®</w:t>
      </w:r>
    </w:p>
    <w:p>
      <w:pPr>
        <w:spacing w:after="40"/>
        <w:jc w:val="left"/>
      </w:pPr>
      <w:r>
        <w:rPr>
          <w:rFonts w:ascii="Arial" w:cs="Arial" w:eastAsia="Arial" w:hAnsi="Arial"/>
          <w:color w:val="0D9488"/>
          <w:sz w:val="28"/>
          <w:szCs w:val="28"/>
        </w:rPr>
        <w:t xml:space="preserve">Suite de Inteligência de Impacto Econômico</w:t>
      </w:r>
    </w:p>
    <w:p>
      <w:pPr>
        <w:spacing w:after="200"/>
        <w:jc w:val="left"/>
      </w:pPr>
      <w:r>
        <w:rPr>
          <w:rFonts w:ascii="Arial" w:cs="Arial" w:eastAsia="Arial" w:hAnsi="Arial"/>
          <w:b/>
          <w:bCs/>
          <w:color w:val="D4A843"/>
          <w:sz w:val="22"/>
          <w:szCs w:val="22"/>
        </w:rPr>
        <w:t xml:space="preserve">Nível Empresarial — Análise Completa de 13 Módulos</w:t>
      </w:r>
    </w:p>
    <w:p>
      <w:pPr>
        <w:pBdr>
          <w:bottom w:val="single" w:color="E2E8F0" w:sz="4" w:space="1"/>
        </w:pBdr>
        <w:spacing w:after="300"/>
      </w:pPr>
    </w:p>
    <w:p>
      <w:pPr>
        <w:spacing w:after="100"/>
      </w:pPr>
    </w:p>
    <w:p>
      <w:pPr>
        <w:spacing w:after="80"/>
      </w:pPr>
      <w:r>
        <w:rPr>
          <w:rFonts w:ascii="Arial" w:cs="Arial" w:eastAsia="Arial" w:hAnsi="Arial"/>
          <w:b/>
          <w:bCs/>
          <w:color w:val="0A1628"/>
          <w:sz w:val="24"/>
          <w:szCs w:val="24"/>
        </w:rPr>
        <w:t xml:space="preserve">ANÁLISE ABRANGENTE DE IMPACTO ECONÔMICO</w:t>
      </w:r>
    </w:p>
    <w:p>
      <w:pPr>
        <w:spacing w:after="60"/>
      </w:pPr>
      <w:r>
        <w:rPr>
          <w:rFonts w:ascii="Arial" w:cs="Arial" w:eastAsia="Arial" w:hAnsi="Arial"/>
          <w:color w:val="4A5568"/>
          <w:sz w:val="20"/>
          <w:szCs w:val="20"/>
        </w:rPr>
        <w:t xml:space="preserve">Em Suporte ao Formulário I-140, Petição de Imigração para Trabalhador Estrangeiro</w:t>
      </w:r>
    </w:p>
    <w:p>
      <w:pPr>
        <w:spacing w:after="60"/>
      </w:pPr>
      <w:r>
        <w:rPr>
          <w:rFonts w:ascii="Arial" w:cs="Arial" w:eastAsia="Arial" w:hAnsi="Arial"/>
          <w:color w:val="4A5568"/>
          <w:sz w:val="20"/>
          <w:szCs w:val="20"/>
        </w:rPr>
        <w:t xml:space="preserve">National Interest Waiver (EB-2 NIW) — 8 CFR § 204.5(k)(4)(ii)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Peticionário: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Rodrigo Pires Corrêa de Mattos</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Empresa:</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Mattos Tactical Solutions LLC</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Entidade Responsável:</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N/A</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Setor: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611699</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Empreendimento: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Treinamento Tático Avançado e Serviços Especializados de Segurança</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Região de Impacto: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Orlando-Kissimmee-Sanford</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Número de Recebimento: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TSCI140TSCI14000037754463</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Data de Prioridade: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2025-09-03</w:t>
            </w:r>
          </w:p>
        </w:tc>
      </w:tr>
    </w:tbl>
    <w:p>
      <w:pPr>
        <w:spacing w:after="300"/>
      </w:pPr>
    </w:p>
    <w:p>
      <w:pPr>
        <w:pBdr>
          <w:bottom w:val="single" w:color="0D9488" w:sz="12" w:space="1"/>
        </w:pBdr>
        <w:spacing w:after="200"/>
      </w:pPr>
    </w:p>
    <w:p>
      <w:pPr>
        <w:spacing w:after="40"/>
        <w:jc w:val="left"/>
      </w:pPr>
      <w:r>
        <w:rPr>
          <w:rFonts w:ascii="Arial" w:cs="Arial" w:eastAsia="Arial" w:hAnsi="Arial"/>
          <w:color w:val="4A5568"/>
          <w:sz w:val="18"/>
          <w:szCs w:val="18"/>
        </w:rPr>
        <w:t xml:space="preserve">Preparado por: Global Communication LLC</w:t>
      </w:r>
    </w:p>
    <w:p>
      <w:pPr>
        <w:spacing w:after="40"/>
        <w:jc w:val="left"/>
      </w:pPr>
      <w:r>
        <w:rPr>
          <w:rFonts w:ascii="Arial" w:cs="Arial" w:eastAsia="Arial" w:hAnsi="Arial"/>
          <w:color w:val="4A5568"/>
          <w:sz w:val="18"/>
          <w:szCs w:val="18"/>
        </w:rPr>
        <w:t xml:space="preserve">Metodologia: IMPLAN® + RIMS II + EPI Employment Multipliers</w:t>
      </w:r>
    </w:p>
    <w:p>
      <w:pPr>
        <w:spacing w:after="40"/>
        <w:jc w:val="left"/>
      </w:pPr>
      <w:r>
        <w:rPr>
          <w:rFonts w:ascii="Arial" w:cs="Arial" w:eastAsia="Arial" w:hAnsi="Arial"/>
          <w:color w:val="4A5568"/>
          <w:sz w:val="18"/>
          <w:szCs w:val="18"/>
        </w:rPr>
        <w:t xml:space="preserve">Data de Análise: Abril 2026 | ID do Relatório: IMP-2026-RODRIGO-PIRES-CORREA-DE-MATTOS</w:t>
      </w:r>
    </w:p>
    <w:p>
      <w:pPr>
        <w:jc w:val="left"/>
      </w:pPr>
      <w:r>
        <w:rPr>
          <w:rFonts w:ascii="Arial" w:cs="Arial" w:eastAsia="Arial" w:hAnsi="Arial"/>
          <w:b/>
          <w:bCs/>
          <w:color w:val="E53E3E"/>
          <w:sz w:val="16"/>
          <w:szCs w:val="16"/>
        </w:rPr>
        <w:t xml:space="preserve">CONFIDENCIAL — Preparado Apenas para Procedimentos de Imigração</w:t>
      </w:r>
    </w:p>
    <w:p>
      <w:pPr>
        <w:pStyle w:val="Heading1"/>
        <w:spacing w:after="200" w:before="360"/>
      </w:pPr>
      <w:r>
        <w:rPr>
          <w:rFonts w:ascii="Arial" w:cs="Arial" w:eastAsia="Arial" w:hAnsi="Arial"/>
          <w:b/>
          <w:bCs/>
          <w:color w:val="0A1628"/>
          <w:sz w:val="32"/>
          <w:szCs w:val="32"/>
        </w:rPr>
        <w:t xml:space="preserve">Sumário</w:t>
      </w:r>
    </w:p>
    <w:p>
      <w:pPr>
        <w:spacing w:after="100"/>
      </w:pPr>
    </w:p>
    <w:p>
      <w:pPr>
        <w:spacing w:after="80" w:line="300"/>
        <w:ind w:left="200"/>
      </w:pPr>
      <w:r>
        <w:rPr>
          <w:rFonts w:ascii="Arial" w:cs="Arial" w:eastAsia="Arial" w:hAnsi="Arial"/>
          <w:b/>
          <w:bCs/>
          <w:color w:val="0D9488"/>
          <w:sz w:val="20"/>
          <w:szCs w:val="20"/>
        </w:rPr>
        <w:t xml:space="preserve">1. </w:t>
      </w:r>
      <w:r>
        <w:rPr>
          <w:rFonts w:ascii="Arial" w:cs="Arial" w:eastAsia="Arial" w:hAnsi="Arial"/>
          <w:color w:val="1A202C"/>
          <w:sz w:val="20"/>
          <w:szCs w:val="20"/>
        </w:rPr>
        <w:t xml:space="preserve">Sumário Executivo &amp; Painel de Impacto</w:t>
      </w:r>
    </w:p>
    <w:p>
      <w:pPr>
        <w:spacing w:after="80" w:line="300"/>
        <w:ind w:left="200"/>
      </w:pPr>
      <w:r>
        <w:rPr>
          <w:rFonts w:ascii="Arial" w:cs="Arial" w:eastAsia="Arial" w:hAnsi="Arial"/>
          <w:b/>
          <w:bCs/>
          <w:color w:val="0D9488"/>
          <w:sz w:val="20"/>
          <w:szCs w:val="20"/>
        </w:rPr>
        <w:t xml:space="preserve">2. </w:t>
      </w:r>
      <w:r>
        <w:rPr>
          <w:rFonts w:ascii="Arial" w:cs="Arial" w:eastAsia="Arial" w:hAnsi="Arial"/>
          <w:color w:val="1A202C"/>
          <w:sz w:val="20"/>
          <w:szCs w:val="20"/>
        </w:rPr>
        <w:t xml:space="preserve">Módulo M1 — Análise de Impacto Econômico Principal (IMPLAN + RIMS II)</w:t>
      </w:r>
    </w:p>
    <w:p>
      <w:pPr>
        <w:spacing w:after="80" w:line="300"/>
        <w:ind w:left="200"/>
      </w:pPr>
      <w:r>
        <w:rPr>
          <w:rFonts w:ascii="Arial" w:cs="Arial" w:eastAsia="Arial" w:hAnsi="Arial"/>
          <w:b/>
          <w:bCs/>
          <w:color w:val="0D9488"/>
          <w:sz w:val="20"/>
          <w:szCs w:val="20"/>
        </w:rPr>
        <w:t xml:space="preserve">3. </w:t>
      </w:r>
      <w:r>
        <w:rPr>
          <w:rFonts w:ascii="Arial" w:cs="Arial" w:eastAsia="Arial" w:hAnsi="Arial"/>
          <w:color w:val="1A202C"/>
          <w:sz w:val="20"/>
          <w:szCs w:val="20"/>
        </w:rPr>
        <w:t xml:space="preserve">Módulo M2 — Pegada Econômica Regional (MSA)</w:t>
      </w:r>
    </w:p>
    <w:p>
      <w:pPr>
        <w:spacing w:after="80" w:line="300"/>
        <w:ind w:left="200"/>
      </w:pPr>
      <w:r>
        <w:rPr>
          <w:rFonts w:ascii="Arial" w:cs="Arial" w:eastAsia="Arial" w:hAnsi="Arial"/>
          <w:b/>
          <w:bCs/>
          <w:color w:val="0D9488"/>
          <w:sz w:val="20"/>
          <w:szCs w:val="20"/>
        </w:rPr>
        <w:t xml:space="preserve">4. </w:t>
      </w:r>
      <w:r>
        <w:rPr>
          <w:rFonts w:ascii="Arial" w:cs="Arial" w:eastAsia="Arial" w:hAnsi="Arial"/>
          <w:color w:val="1A202C"/>
          <w:sz w:val="20"/>
          <w:szCs w:val="20"/>
        </w:rPr>
        <w:t xml:space="preserve">Módulo M3 — Análise de Multiplicadores Setoriais (NAICS)</w:t>
      </w:r>
    </w:p>
    <w:p>
      <w:pPr>
        <w:spacing w:after="80" w:line="300"/>
        <w:ind w:left="200"/>
      </w:pPr>
      <w:r>
        <w:rPr>
          <w:rFonts w:ascii="Arial" w:cs="Arial" w:eastAsia="Arial" w:hAnsi="Arial"/>
          <w:b/>
          <w:bCs/>
          <w:color w:val="0D9488"/>
          <w:sz w:val="20"/>
          <w:szCs w:val="20"/>
        </w:rPr>
        <w:t xml:space="preserve">5. </w:t>
      </w:r>
      <w:r>
        <w:rPr>
          <w:rFonts w:ascii="Arial" w:cs="Arial" w:eastAsia="Arial" w:hAnsi="Arial"/>
          <w:color w:val="1A202C"/>
          <w:sz w:val="20"/>
          <w:szCs w:val="20"/>
        </w:rPr>
        <w:t xml:space="preserve">Módulo M4 — Projeção de Receita Tributária (Federal, Estadual e Local)</w:t>
      </w:r>
    </w:p>
    <w:p>
      <w:pPr>
        <w:spacing w:after="80" w:line="300"/>
        <w:ind w:left="200"/>
      </w:pPr>
      <w:r>
        <w:rPr>
          <w:rFonts w:ascii="Arial" w:cs="Arial" w:eastAsia="Arial" w:hAnsi="Arial"/>
          <w:b/>
          <w:bCs/>
          <w:color w:val="0D9488"/>
          <w:sz w:val="20"/>
          <w:szCs w:val="20"/>
        </w:rPr>
        <w:t xml:space="preserve">6. </w:t>
      </w:r>
      <w:r>
        <w:rPr>
          <w:rFonts w:ascii="Arial" w:cs="Arial" w:eastAsia="Arial" w:hAnsi="Arial"/>
          <w:color w:val="1A202C"/>
          <w:sz w:val="20"/>
          <w:szCs w:val="20"/>
        </w:rPr>
        <w:t xml:space="preserve">Módulo M5 — Mapeamento do Ecossistema da Cadeia de Suprimentos</w:t>
      </w:r>
    </w:p>
    <w:p>
      <w:pPr>
        <w:spacing w:after="80" w:line="300"/>
        <w:ind w:left="200"/>
      </w:pPr>
      <w:r>
        <w:rPr>
          <w:rFonts w:ascii="Arial" w:cs="Arial" w:eastAsia="Arial" w:hAnsi="Arial"/>
          <w:b/>
          <w:bCs/>
          <w:color w:val="0D9488"/>
          <w:sz w:val="20"/>
          <w:szCs w:val="20"/>
        </w:rPr>
        <w:t xml:space="preserve">7. </w:t>
      </w:r>
      <w:r>
        <w:rPr>
          <w:rFonts w:ascii="Arial" w:cs="Arial" w:eastAsia="Arial" w:hAnsi="Arial"/>
          <w:color w:val="1A202C"/>
          <w:sz w:val="20"/>
          <w:szCs w:val="20"/>
        </w:rPr>
        <w:t xml:space="preserve">Módulo M6 — Análise de Multiplicador de Emprego (EPI)</w:t>
      </w:r>
    </w:p>
    <w:p>
      <w:pPr>
        <w:spacing w:after="80" w:line="300"/>
        <w:ind w:left="200"/>
      </w:pPr>
      <w:r>
        <w:rPr>
          <w:rFonts w:ascii="Arial" w:cs="Arial" w:eastAsia="Arial" w:hAnsi="Arial"/>
          <w:b/>
          <w:bCs/>
          <w:color w:val="0D9488"/>
          <w:sz w:val="20"/>
          <w:szCs w:val="20"/>
        </w:rPr>
        <w:t xml:space="preserve">8. </w:t>
      </w:r>
      <w:r>
        <w:rPr>
          <w:rFonts w:ascii="Arial" w:cs="Arial" w:eastAsia="Arial" w:hAnsi="Arial"/>
          <w:color w:val="1A202C"/>
          <w:sz w:val="20"/>
          <w:szCs w:val="20"/>
        </w:rPr>
        <w:t xml:space="preserve">Módulo M7 — Alinhamento de Política e Prioridade Nacional</w:t>
      </w:r>
    </w:p>
    <w:p>
      <w:pPr>
        <w:spacing w:after="80" w:line="300"/>
        <w:ind w:left="200"/>
      </w:pPr>
      <w:r>
        <w:rPr>
          <w:rFonts w:ascii="Arial" w:cs="Arial" w:eastAsia="Arial" w:hAnsi="Arial"/>
          <w:b/>
          <w:bCs/>
          <w:color w:val="0D9488"/>
          <w:sz w:val="20"/>
          <w:szCs w:val="20"/>
        </w:rPr>
        <w:t xml:space="preserve">9. </w:t>
      </w:r>
      <w:r>
        <w:rPr>
          <w:rFonts w:ascii="Arial" w:cs="Arial" w:eastAsia="Arial" w:hAnsi="Arial"/>
          <w:color w:val="1A202C"/>
          <w:sz w:val="20"/>
          <w:szCs w:val="20"/>
        </w:rPr>
        <w:t xml:space="preserve">Módulo M8 — Vantagem Comparativa Regional</w:t>
      </w:r>
    </w:p>
    <w:p>
      <w:pPr>
        <w:spacing w:after="80" w:line="300"/>
        <w:ind w:left="200"/>
      </w:pPr>
      <w:r>
        <w:rPr>
          <w:rFonts w:ascii="Arial" w:cs="Arial" w:eastAsia="Arial" w:hAnsi="Arial"/>
          <w:b/>
          <w:bCs/>
          <w:color w:val="0D9488"/>
          <w:sz w:val="20"/>
          <w:szCs w:val="20"/>
        </w:rPr>
        <w:t xml:space="preserve">10. </w:t>
      </w:r>
      <w:r>
        <w:rPr>
          <w:rFonts w:ascii="Arial" w:cs="Arial" w:eastAsia="Arial" w:hAnsi="Arial"/>
          <w:color w:val="1A202C"/>
          <w:sz w:val="20"/>
          <w:szCs w:val="20"/>
        </w:rPr>
        <w:t xml:space="preserve">Módulo M9 — Análise de Sensibilidade e Cenário</w:t>
      </w:r>
    </w:p>
    <w:p>
      <w:pPr>
        <w:spacing w:after="80" w:line="300"/>
        <w:ind w:left="200"/>
      </w:pPr>
      <w:r>
        <w:rPr>
          <w:rFonts w:ascii="Arial" w:cs="Arial" w:eastAsia="Arial" w:hAnsi="Arial"/>
          <w:b/>
          <w:bCs/>
          <w:color w:val="0D9488"/>
          <w:sz w:val="20"/>
          <w:szCs w:val="20"/>
        </w:rPr>
        <w:t xml:space="preserve">11. </w:t>
      </w:r>
      <w:r>
        <w:rPr>
          <w:rFonts w:ascii="Arial" w:cs="Arial" w:eastAsia="Arial" w:hAnsi="Arial"/>
          <w:color w:val="1A202C"/>
          <w:sz w:val="20"/>
          <w:szCs w:val="20"/>
        </w:rPr>
        <w:t xml:space="preserve">Módulo M10 — Mapeamento RFE</w:t>
      </w:r>
    </w:p>
    <w:p>
      <w:pPr>
        <w:spacing w:after="80" w:line="300"/>
        <w:ind w:left="200"/>
      </w:pPr>
      <w:r>
        <w:rPr>
          <w:rFonts w:ascii="Arial" w:cs="Arial" w:eastAsia="Arial" w:hAnsi="Arial"/>
          <w:b/>
          <w:bCs/>
          <w:color w:val="0D9488"/>
          <w:sz w:val="20"/>
          <w:szCs w:val="20"/>
        </w:rPr>
        <w:t xml:space="preserve">12. </w:t>
      </w:r>
      <w:r>
        <w:rPr>
          <w:rFonts w:ascii="Arial" w:cs="Arial" w:eastAsia="Arial" w:hAnsi="Arial"/>
          <w:color w:val="1A202C"/>
          <w:sz w:val="20"/>
          <w:szCs w:val="20"/>
        </w:rPr>
        <w:t xml:space="preserve">Módulo M11 — Análise de Retorno Social sobre o Investimento (SROI)</w:t>
      </w:r>
    </w:p>
    <w:p>
      <w:pPr>
        <w:spacing w:after="80" w:line="300"/>
        <w:ind w:left="200"/>
      </w:pPr>
      <w:r>
        <w:rPr>
          <w:rFonts w:ascii="Arial" w:cs="Arial" w:eastAsia="Arial" w:hAnsi="Arial"/>
          <w:b/>
          <w:bCs/>
          <w:color w:val="0D9488"/>
          <w:sz w:val="20"/>
          <w:szCs w:val="20"/>
        </w:rPr>
        <w:t xml:space="preserve">13. </w:t>
      </w:r>
      <w:r>
        <w:rPr>
          <w:rFonts w:ascii="Arial" w:cs="Arial" w:eastAsia="Arial" w:hAnsi="Arial"/>
          <w:color w:val="1A202C"/>
          <w:sz w:val="20"/>
          <w:szCs w:val="20"/>
        </w:rPr>
        <w:t xml:space="preserve">Módulo M12 — Impacto Cultural e Transnacional</w:t>
      </w:r>
    </w:p>
    <w:p>
      <w:pPr>
        <w:spacing w:after="80" w:line="300"/>
        <w:ind w:left="200"/>
      </w:pPr>
      <w:r>
        <w:rPr>
          <w:rFonts w:ascii="Arial" w:cs="Arial" w:eastAsia="Arial" w:hAnsi="Arial"/>
          <w:b/>
          <w:bCs/>
          <w:color w:val="0D9488"/>
          <w:sz w:val="20"/>
          <w:szCs w:val="20"/>
        </w:rPr>
        <w:t xml:space="preserve">14. </w:t>
      </w:r>
      <w:r>
        <w:rPr>
          <w:rFonts w:ascii="Arial" w:cs="Arial" w:eastAsia="Arial" w:hAnsi="Arial"/>
          <w:color w:val="1A202C"/>
          <w:sz w:val="20"/>
          <w:szCs w:val="20"/>
        </w:rPr>
        <w:t xml:space="preserve">Módulo M13 — Campo Mais Amplo e Implicações Societárias</w:t>
      </w:r>
    </w:p>
    <w:p>
      <w:pPr>
        <w:spacing w:after="80" w:line="300"/>
        <w:ind w:left="200"/>
      </w:pPr>
      <w:r>
        <w:rPr>
          <w:rFonts w:ascii="Arial" w:cs="Arial" w:eastAsia="Arial" w:hAnsi="Arial"/>
          <w:b/>
          <w:bCs/>
          <w:color w:val="0D9488"/>
          <w:sz w:val="20"/>
          <w:szCs w:val="20"/>
        </w:rPr>
        <w:t xml:space="preserve">15. </w:t>
      </w:r>
      <w:r>
        <w:rPr>
          <w:rFonts w:ascii="Arial" w:cs="Arial" w:eastAsia="Arial" w:hAnsi="Arial"/>
          <w:color w:val="1A202C"/>
          <w:sz w:val="20"/>
          <w:szCs w:val="20"/>
        </w:rPr>
        <w:t xml:space="preserve">Notas Metodológicas &amp; Fontes de Dados</w:t>
      </w:r>
    </w:p>
    <w:p>
      <w:pPr>
        <w:spacing w:after="80" w:line="300"/>
        <w:ind w:left="200"/>
      </w:pPr>
      <w:r>
        <w:rPr>
          <w:rFonts w:ascii="Arial" w:cs="Arial" w:eastAsia="Arial" w:hAnsi="Arial"/>
          <w:b/>
          <w:bCs/>
          <w:color w:val="0D9488"/>
          <w:sz w:val="20"/>
          <w:szCs w:val="20"/>
        </w:rPr>
        <w:t xml:space="preserve">16. </w:t>
      </w:r>
      <w:r>
        <w:rPr>
          <w:rFonts w:ascii="Arial" w:cs="Arial" w:eastAsia="Arial" w:hAnsi="Arial"/>
          <w:color w:val="1A202C"/>
          <w:sz w:val="20"/>
          <w:szCs w:val="20"/>
        </w:rPr>
        <w:t xml:space="preserve">Apêndices</w:t>
      </w:r>
    </w:p>
    <w:p>
      <w:r>
        <w:br w:type="page"/>
      </w:r>
    </w:p>
    <w:p>
      <w:r>
        <w:br w:type="page"/>
      </w:r>
    </w:p>
    <w:p>
      <w:pPr>
        <w:pStyle w:val="Heading1"/>
        <w:spacing w:after="200" w:before="360"/>
      </w:pPr>
      <w:r>
        <w:rPr>
          <w:rFonts w:ascii="Arial" w:cs="Arial" w:eastAsia="Arial" w:hAnsi="Arial"/>
          <w:b/>
          <w:bCs/>
          <w:color w:val="0A1628"/>
          <w:sz w:val="32"/>
          <w:szCs w:val="32"/>
        </w:rPr>
        <w:t xml:space="preserve">2. Módulo M1 — Análise de Impacto Econômico Principal (IMPLAN + RIMS II)</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Mattos Tactical Solutions LLC's Treinamento Tático Avançado e Serviços Especializados de Segurança operation in the Orlando-Kissimmee-Sanford MSA generates a total 5-year economic output of US$ 15,3M, validated through RIMS II Type II multipliers (1.85x) sourced from the Bureau of Economic Analysis.</w:t>
      </w:r>
    </w:p>
    <w:p>
      <w:pPr>
        <w:pStyle w:val="Heading2"/>
        <w:spacing w:after="160" w:before="280"/>
      </w:pPr>
      <w:r>
        <w:rPr>
          <w:rFonts w:ascii="Arial" w:cs="Arial" w:eastAsia="Arial" w:hAnsi="Arial"/>
          <w:b/>
          <w:bCs/>
          <w:color w:val="0D9488"/>
          <w:sz w:val="26"/>
          <w:szCs w:val="26"/>
        </w:rPr>
        <w:t xml:space="preserve">2.1 Total Economic Output (5-Year Projection)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0D9488"/>
                <w:sz w:val="40"/>
                <w:szCs w:val="40"/>
              </w:rPr>
              <w:t xml:space="preserve">US$ 15.337.313</w:t>
            </w:r>
          </w:p>
          <w:p>
            <w:pPr>
              <w:spacing w:after="20"/>
              <w:jc w:val="center"/>
            </w:pPr>
            <w:r>
              <w:rPr>
                <w:rFonts w:ascii="Arial" w:cs="Arial" w:eastAsia="Arial" w:hAnsi="Arial"/>
                <w:color w:val="4A5568"/>
                <w:sz w:val="18"/>
                <w:szCs w:val="18"/>
              </w:rPr>
              <w:t xml:space="preserve">5-Year Period</w:t>
            </w:r>
          </w:p>
          <w:p>
            <w:pPr>
              <w:jc w:val="center"/>
            </w:pPr>
            <w:r>
              <w:rPr>
                <w:rFonts w:ascii="Arial" w:cs="Arial" w:eastAsia="Arial" w:hAnsi="Arial"/>
                <w:color w:val="718096"/>
                <w:sz w:val="16"/>
                <w:szCs w:val="16"/>
              </w:rPr>
              <w:t xml:space="preserve">Total Economic Output</w:t>
            </w:r>
          </w:p>
        </w:tc>
      </w:tr>
    </w:tbl>
    <w:p>
      <w:pPr>
        <w:spacing w:after="200"/>
      </w:pPr>
    </w:p>
    <w:p>
      <w:pPr>
        <w:pStyle w:val="Heading2"/>
        <w:spacing w:after="160" w:before="280"/>
      </w:pPr>
      <w:r>
        <w:rPr>
          <w:rFonts w:ascii="Arial" w:cs="Arial" w:eastAsia="Arial" w:hAnsi="Arial"/>
          <w:b/>
          <w:bCs/>
          <w:color w:val="0D9488"/>
          <w:sz w:val="26"/>
          <w:szCs w:val="26"/>
        </w:rPr>
        <w:t xml:space="preserve">2.2 Output Decomposition: Direct vs. Induced Effects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Decomposing the headline output figure into its three constituent layers — direct, indirect, and induced — clarifies where the petitioner's economic value is realized along the regional value chain. Each layer is computed under RIMS II Type II multipliers anchored to NAICS 611699 for the Orlando-Kissimmee-Sanford MSA.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Saída Direta: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US$ 8.290.426</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Saída Indireta: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US$ 2.959.682</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Saída Induzida: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B7A6E"/>
                <w:sz w:val="20"/>
                <w:szCs w:val="20"/>
              </w:rPr>
              <w:t xml:space="preserve">US$ 4.087.205</w:t>
            </w:r>
          </w:p>
        </w:tc>
      </w:tr>
    </w:tbl>
    <w:p>
      <w:pPr>
        <w:spacing w:after="200"/>
      </w:pPr>
    </w:p>
    <w:p>
      <w:pPr>
        <w:pStyle w:val="Heading2"/>
        <w:spacing w:after="160" w:before="280"/>
      </w:pPr>
      <w:r>
        <w:rPr>
          <w:rFonts w:ascii="Arial" w:cs="Arial" w:eastAsia="Arial" w:hAnsi="Arial"/>
          <w:b/>
          <w:bCs/>
          <w:color w:val="0D9488"/>
          <w:sz w:val="26"/>
          <w:szCs w:val="26"/>
        </w:rPr>
        <w:t xml:space="preserve">2.3 Perfil de Expertise da Petição</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distinctive technical and managerial competencies anchor the projected economic effects. The capabilities enumerated below act as causal drivers of the multipliers reported in subsections 2.1 and 2.2 and are referenced throughout subsequent modules (M6 Innovation, M11 SROI, M12 Cultural).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Área de Expertise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Operações táticas urbanas em alto risco</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Instrução avançada de armamento e defesa pessoal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Doutrina tática de unidade de elite (3º BAEP - Polícia Militar de São Paulo)</w:t>
            </w:r>
          </w:p>
        </w:tc>
      </w:tr>
    </w:tbl>
    <w:p>
      <w:pPr>
        <w:spacing w:after="200"/>
      </w:pPr>
    </w:p>
    <w:p>
      <w:pPr>
        <w:pStyle w:val="Heading2"/>
        <w:spacing w:after="160" w:before="280"/>
      </w:pPr>
      <w:r>
        <w:rPr>
          <w:rFonts w:ascii="Arial" w:cs="Arial" w:eastAsia="Arial" w:hAnsi="Arial"/>
          <w:b/>
          <w:bCs/>
          <w:color w:val="0D9488"/>
          <w:sz w:val="26"/>
          <w:szCs w:val="26"/>
        </w:rPr>
        <w:t xml:space="preserve">2.4 Credenciais e Qualificações Verificáveis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Independent third-party credentials reinforce the reliability of projected impacts. Each credential below is verifiable through its issuing institution and is included in the supporting documentation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Credencial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Oficial do 3º Batalhão de Ações Especiais de Polícia (BAEP) - Polícia Militar do Estado de São Paulo desde 2012</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Especialização em combate urbano e operações antiterrorismo</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Instrutor certificado em armamento tático e defesa pessoal</w:t>
            </w:r>
          </w:p>
        </w:tc>
      </w:tr>
    </w:tbl>
    <w:p>
      <w:pPr>
        <w:spacing w:after="200"/>
      </w:pPr>
    </w:p>
    <w:p>
      <w:pPr>
        <w:pStyle w:val="Heading2"/>
        <w:spacing w:after="160" w:before="280"/>
      </w:pPr>
      <w:r>
        <w:rPr>
          <w:rFonts w:ascii="Arial" w:cs="Arial" w:eastAsia="Arial" w:hAnsi="Arial"/>
          <w:b/>
          <w:bCs/>
          <w:color w:val="0D9488"/>
          <w:sz w:val="26"/>
          <w:szCs w:val="26"/>
        </w:rPr>
        <w:t xml:space="preserve">2.5 Capacidade Linguística Operacional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working languages enable cross-border execution of the operations modeled in this analysis, particularly the trade-corridor effects detailed in Module M12.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Idioma</w:t>
            </w:r>
          </w:p>
        </w:tc>
        <w:tc>
          <w:tcPr>
            <w:tcW w:type="dxa" w:w="4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Uso Operacional</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Português</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Comunicação profissional</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Inglês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Comunicação profissional</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Espanhol</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Comunicação profissional</w:t>
            </w:r>
          </w:p>
        </w:tc>
      </w:tr>
    </w:tbl>
    <w:p>
      <w:r>
        <w:br w:type="page"/>
      </w:r>
    </w:p>
    <w:p>
      <w:pPr>
        <w:pStyle w:val="Heading1"/>
        <w:spacing w:after="200" w:before="360"/>
      </w:pPr>
      <w:r>
        <w:rPr>
          <w:rFonts w:ascii="Arial" w:cs="Arial" w:eastAsia="Arial" w:hAnsi="Arial"/>
          <w:b/>
          <w:bCs/>
          <w:color w:val="0A1628"/>
          <w:sz w:val="32"/>
          <w:szCs w:val="32"/>
        </w:rPr>
        <w:t xml:space="preserve">3. Módulo M2 — Pegada Econômica Regional (MSA)</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Orlando-Kissimmee-Sanford MSA (FIPS 36740) represents a critical economic hub in the region. Mattos Tactical Solutions LLC's footprint directly contributes to regional GDP through supply chain integration and employment generation.</w:t>
      </w:r>
    </w:p>
    <w:p>
      <w:pPr>
        <w:spacing w:after="200"/>
      </w:pPr>
    </w:p>
    <w:p>
      <w:pPr>
        <w:pStyle w:val="Heading2"/>
        <w:spacing w:after="160" w:before="280"/>
      </w:pPr>
      <w:r>
        <w:rPr>
          <w:rFonts w:ascii="Arial" w:cs="Arial" w:eastAsia="Arial" w:hAnsi="Arial"/>
          <w:b/>
          <w:bCs/>
          <w:color w:val="0D9488"/>
          <w:sz w:val="26"/>
          <w:szCs w:val="26"/>
        </w:rPr>
        <w:t xml:space="preserve">3.1 Regional Employment Impact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A169"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38A169"/>
                <w:sz w:val="40"/>
                <w:szCs w:val="40"/>
              </w:rPr>
              <w:t xml:space="preserve">57-75</w:t>
            </w:r>
          </w:p>
          <w:p>
            <w:pPr>
              <w:spacing w:after="20"/>
              <w:jc w:val="center"/>
            </w:pPr>
            <w:r>
              <w:rPr>
                <w:rFonts w:ascii="Arial" w:cs="Arial" w:eastAsia="Arial" w:hAnsi="Arial"/>
                <w:color w:val="4A5568"/>
                <w:sz w:val="18"/>
                <w:szCs w:val="18"/>
              </w:rPr>
              <w:t xml:space="preserve">Direct + Indirect</w:t>
            </w:r>
          </w:p>
          <w:p>
            <w:pPr>
              <w:jc w:val="center"/>
            </w:pPr>
            <w:r>
              <w:rPr>
                <w:rFonts w:ascii="Arial" w:cs="Arial" w:eastAsia="Arial" w:hAnsi="Arial"/>
                <w:color w:val="718096"/>
                <w:sz w:val="16"/>
                <w:szCs w:val="16"/>
              </w:rPr>
              <w:t xml:space="preserve">Total Jobs Generated</w:t>
            </w:r>
          </w:p>
        </w:tc>
      </w:tr>
    </w:tbl>
    <w:p>
      <w:pPr>
        <w:spacing w:after="200"/>
      </w:pPr>
    </w:p>
    <w:p>
      <w:pPr>
        <w:pStyle w:val="Heading2"/>
        <w:spacing w:after="160" w:before="280"/>
      </w:pPr>
      <w:r>
        <w:rPr>
          <w:rFonts w:ascii="Arial" w:cs="Arial" w:eastAsia="Arial" w:hAnsi="Arial"/>
          <w:b/>
          <w:bCs/>
          <w:color w:val="0D9488"/>
          <w:sz w:val="26"/>
          <w:szCs w:val="26"/>
        </w:rPr>
        <w:t xml:space="preserve">3.2 Distribuição Setorial dos Empregos Gerados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Aggregate employment metrics conceal critical structural information. The sector-level breakdown below identifies where the petitioner's operations create occupational density and how each segment contributes to the overall multiplier reported in subsection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Setor</w:t>
            </w:r>
          </w:p>
        </w:tc>
        <w:tc>
          <w:tcPr>
            <w:tcW w:type="dxa" w:w="2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Empregos</w:t>
            </w:r>
          </w:p>
        </w:tc>
        <w:tc>
          <w:tcPr>
            <w:tcW w:type="dxa" w:w="2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 do Total</w:t>
            </w:r>
          </w:p>
        </w:tc>
      </w:tr>
      <w:tr>
        <w:tc>
          <w:tcPr>
            <w:tcW w:type="dxa" w:w="5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Treinamento e Instrução Especializada</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21</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32%</w:t>
            </w:r>
          </w:p>
        </w:tc>
      </w:tr>
      <w:tr>
        <w:tc>
          <w:tcPr>
            <w:tcW w:type="dxa" w:w="5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Serviços Profissionais e Administrativos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14</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21%</w:t>
            </w:r>
          </w:p>
        </w:tc>
      </w:tr>
      <w:tr>
        <w:tc>
          <w:tcPr>
            <w:tcW w:type="dxa" w:w="5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Comércio Varejista (Equipamentos Táticos)</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r>
      <w:tr>
        <w:tc>
          <w:tcPr>
            <w:tcW w:type="dxa" w:w="5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Outros Setores de Apoio</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19</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29%</w:t>
            </w:r>
          </w:p>
        </w:tc>
      </w:tr>
    </w:tbl>
    <w:p>
      <w:pPr>
        <w:spacing w:after="80"/>
      </w:pPr>
    </w:p>
    <w:p>
      <w:pPr>
        <w:spacing w:after="100" w:line="260"/>
        <w:jc w:val="left"/>
      </w:pPr>
      <w:r>
        <w:rPr>
          <w:rFonts w:ascii="Arial" w:cs="Arial" w:eastAsia="Arial" w:hAnsi="Arial"/>
          <w:i/>
          <w:iCs/>
          <w:color w:val="718096"/>
          <w:sz w:val="18"/>
          <w:szCs w:val="18"/>
        </w:rPr>
        <w:t xml:space="preserve">Fonte: Modelagem RIMS II Type II aplicada às operações declaradas pela petição.</w:t>
      </w:r>
    </w:p>
    <w:p>
      <w:r>
        <w:br w:type="page"/>
      </w:r>
    </w:p>
    <w:p>
      <w:pPr>
        <w:pStyle w:val="Heading1"/>
        <w:spacing w:after="200" w:before="360"/>
      </w:pPr>
      <w:r>
        <w:rPr>
          <w:rFonts w:ascii="Arial" w:cs="Arial" w:eastAsia="Arial" w:hAnsi="Arial"/>
          <w:b/>
          <w:bCs/>
          <w:color w:val="0A1628"/>
          <w:sz w:val="32"/>
          <w:szCs w:val="32"/>
        </w:rPr>
        <w:t xml:space="preserve">4. Módulo M3 — Análise de Multiplicadores Setoriais (NAICS)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Sectoral multipliers for NAICS 611699 reveal the leverage of the petitioner's operations across upstream and downstream supply chain participants.</w:t>
      </w:r>
    </w:p>
    <w:p>
      <w:pPr>
        <w:spacing w:after="200"/>
      </w:pPr>
    </w:p>
    <w:p>
      <w:pPr>
        <w:pStyle w:val="Heading2"/>
        <w:spacing w:after="160" w:before="280"/>
      </w:pPr>
      <w:r>
        <w:rPr>
          <w:rFonts w:ascii="Arial" w:cs="Arial" w:eastAsia="Arial" w:hAnsi="Arial"/>
          <w:b/>
          <w:bCs/>
          <w:color w:val="0D9488"/>
          <w:sz w:val="26"/>
          <w:szCs w:val="26"/>
        </w:rPr>
        <w:t xml:space="preserve">4.1 Sectoral Income Effects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3182CE"/>
                <w:sz w:val="40"/>
                <w:szCs w:val="40"/>
              </w:rPr>
              <w:t xml:space="preserve">US$ 9.969.237</w:t>
            </w:r>
          </w:p>
          <w:p>
            <w:pPr>
              <w:spacing w:after="20"/>
              <w:jc w:val="center"/>
            </w:pPr>
            <w:r>
              <w:rPr>
                <w:rFonts w:ascii="Arial" w:cs="Arial" w:eastAsia="Arial" w:hAnsi="Arial"/>
                <w:color w:val="4A5568"/>
                <w:sz w:val="18"/>
                <w:szCs w:val="18"/>
              </w:rPr>
              <w:t xml:space="preserve">Direct Employment</w:t>
            </w:r>
          </w:p>
          <w:p>
            <w:pPr>
              <w:jc w:val="center"/>
            </w:pPr>
            <w:r>
              <w:rPr>
                <w:rFonts w:ascii="Arial" w:cs="Arial" w:eastAsia="Arial" w:hAnsi="Arial"/>
                <w:color w:val="718096"/>
                <w:sz w:val="16"/>
                <w:szCs w:val="16"/>
              </w:rPr>
              <w:t xml:space="preserve">5-Year Wage Income</w:t>
            </w:r>
          </w:p>
        </w:tc>
      </w:tr>
    </w:tbl>
    <w:p>
      <w:pPr>
        <w:spacing w:after="200"/>
      </w:pPr>
    </w:p>
    <w:p>
      <w:pPr>
        <w:pStyle w:val="Heading2"/>
        <w:spacing w:after="160" w:before="280"/>
      </w:pPr>
      <w:r>
        <w:rPr>
          <w:rFonts w:ascii="Arial" w:cs="Arial" w:eastAsia="Arial" w:hAnsi="Arial"/>
          <w:b/>
          <w:bCs/>
          <w:color w:val="0D9488"/>
          <w:sz w:val="26"/>
          <w:szCs w:val="26"/>
        </w:rPr>
        <w:t xml:space="preserve">4.2 Pirâmide de Remuneração por Categoria Funcional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compensation profile influences both the household-level induced effects modeled here and the tax revenue projections developed in Module M4. Each band below reflects the petitioner's actual compensation policy benchmarked against MSA wage surveys.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c>
          <w:tcPr>
            <w:tcW w:type="dxa" w:w="24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Categoria</w:t>
            </w:r>
          </w:p>
        </w:tc>
        <w:tc>
          <w:tcPr>
            <w:tcW w:type="dxa" w:w="2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Salário Médio (USD)</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Empregos</w:t>
            </w:r>
          </w:p>
        </w:tc>
        <w:tc>
          <w:tcPr>
            <w:tcW w:type="dxa" w:w="37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Descrição</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Executivo/Gestão</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$95,000</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w:t>
            </w:r>
          </w:p>
        </w:tc>
        <w:tc>
          <w:tcPr>
            <w:tcW w:type="dxa" w:w="37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CEO, supervisor de treinamento, coordenador</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Instrutores Especializados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$72,000</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Instrutores de armamento, tático, defesa pessoal, TEMT</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Operações e Suporte</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$48,000</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w:t>
            </w:r>
          </w:p>
        </w:tc>
        <w:tc>
          <w:tcPr>
            <w:tcW w:type="dxa" w:w="37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Vendas, secretária, assistentes administrativos</w:t>
            </w:r>
          </w:p>
        </w:tc>
      </w:tr>
    </w:tbl>
    <w:p>
      <w:pPr>
        <w:spacing w:after="80"/>
      </w:pPr>
    </w:p>
    <w:p>
      <w:pPr>
        <w:spacing w:after="100" w:line="260"/>
        <w:jc w:val="left"/>
      </w:pPr>
      <w:r>
        <w:rPr>
          <w:rFonts w:ascii="Arial" w:cs="Arial" w:eastAsia="Arial" w:hAnsi="Arial"/>
          <w:i/>
          <w:iCs/>
          <w:color w:val="718096"/>
          <w:sz w:val="18"/>
          <w:szCs w:val="18"/>
        </w:rPr>
        <w:t xml:space="preserve">Salários médios são ponderados pelo número de posições; valores em USD nominais correntes.</w:t>
      </w:r>
    </w:p>
    <w:p>
      <w:r>
        <w:br w:type="page"/>
      </w:r>
    </w:p>
    <w:p>
      <w:pPr>
        <w:pStyle w:val="Heading1"/>
        <w:spacing w:after="200" w:before="360"/>
      </w:pPr>
      <w:r>
        <w:rPr>
          <w:rFonts w:ascii="Arial" w:cs="Arial" w:eastAsia="Arial" w:hAnsi="Arial"/>
          <w:b/>
          <w:bCs/>
          <w:color w:val="0A1628"/>
          <w:sz w:val="32"/>
          <w:szCs w:val="32"/>
        </w:rPr>
        <w:t xml:space="preserve">5. Módulo M4 — Projeção de Receita Tributária (Federal, Estadual e Local)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Federal, state, and local tax revenues are projected from the petitioner's economic impact over a 5-year period, including personal income tax, corporate profit tax, payroll taxes, sales tax, and property tax contributions.</w:t>
      </w:r>
    </w:p>
    <w:p>
      <w:pPr>
        <w:spacing w:after="200"/>
      </w:pPr>
    </w:p>
    <w:p>
      <w:pPr>
        <w:pStyle w:val="Heading2"/>
        <w:spacing w:after="160" w:before="280"/>
      </w:pPr>
      <w:r>
        <w:rPr>
          <w:rFonts w:ascii="Arial" w:cs="Arial" w:eastAsia="Arial" w:hAnsi="Arial"/>
          <w:b/>
          <w:bCs/>
          <w:color w:val="0D9488"/>
          <w:sz w:val="26"/>
          <w:szCs w:val="26"/>
        </w:rPr>
        <w:t xml:space="preserve">5.1 Tax Revenue Breakdown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Federal: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US$ 670.968</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Estadual: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US$ 171.662</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Impostos Locais: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B7A6E"/>
                <w:sz w:val="20"/>
                <w:szCs w:val="20"/>
              </w:rPr>
              <w:t xml:space="preserve">US$ 94.305</w:t>
            </w:r>
          </w:p>
        </w:tc>
      </w:tr>
    </w:tbl>
    <w:p>
      <w:pPr>
        <w:spacing w:after="200"/>
      </w:pPr>
    </w:p>
    <w:p>
      <w:pPr>
        <w:pStyle w:val="Heading2"/>
        <w:spacing w:after="160" w:before="280"/>
      </w:pPr>
      <w:r>
        <w:rPr>
          <w:rFonts w:ascii="Arial" w:cs="Arial" w:eastAsia="Arial" w:hAnsi="Arial"/>
          <w:b/>
          <w:bCs/>
          <w:color w:val="0D9488"/>
          <w:sz w:val="26"/>
          <w:szCs w:val="26"/>
        </w:rPr>
        <w:t xml:space="preserve">5.2 Categorias Tributárias Atingidas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Beyond the consolidated federal/state/local figures, the petitioner's operations trigger collections across multiple statutory tax instruments. The list below catalogs each category captured in the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5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Tipo de Tributo</w:t>
            </w:r>
          </w:p>
        </w:tc>
        <w:tc>
          <w:tcPr>
            <w:tcW w:type="dxa" w:w="3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Esfera Aplicável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5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Imposto de Renda Federal (IRPF)</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Federal / Estadual / Local</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5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Impostos sobre Folha de Pagamento (FICA)</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Federal / Estadual / Local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5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Imposto sobre Vendas Estadual (Flórida 6%)</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Federal / Estadual / Local</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5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Imposto sobre Propriedade Local</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Federal / Estadual / Local</w:t>
            </w:r>
          </w:p>
        </w:tc>
      </w:tr>
    </w:tbl>
    <w:p>
      <w:r>
        <w:br w:type="page"/>
      </w:r>
    </w:p>
    <w:p>
      <w:pPr>
        <w:pStyle w:val="Heading1"/>
        <w:spacing w:after="200" w:before="360"/>
      </w:pPr>
      <w:r>
        <w:rPr>
          <w:rFonts w:ascii="Arial" w:cs="Arial" w:eastAsia="Arial" w:hAnsi="Arial"/>
          <w:b/>
          <w:bCs/>
          <w:color w:val="0A1628"/>
          <w:sz w:val="32"/>
          <w:szCs w:val="32"/>
        </w:rPr>
        <w:t xml:space="preserve">6. Módulo M5 — Mapeamento do Ecossistema da Cadeia de Suprimentos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supply chain ecosystem encompasses upstream input providers, logistics partners, distribution channels, and downstream customers. This network multiplies initial investment across the regional economy.</w:t>
      </w:r>
    </w:p>
    <w:p>
      <w:pPr>
        <w:spacing w:after="200"/>
      </w:pPr>
    </w:p>
    <w:p>
      <w:pPr>
        <w:pStyle w:val="Heading2"/>
        <w:spacing w:after="160" w:before="280"/>
      </w:pPr>
      <w:r>
        <w:rPr>
          <w:rFonts w:ascii="Arial" w:cs="Arial" w:eastAsia="Arial" w:hAnsi="Arial"/>
          <w:b/>
          <w:bCs/>
          <w:color w:val="0D9488"/>
          <w:sz w:val="26"/>
          <w:szCs w:val="26"/>
        </w:rPr>
        <w:t xml:space="preserve">6.1 Supply Chain Network Size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Fornecedores Diretos: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32+</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Cadeias Indiretas: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Tier 1-2</w:t>
            </w:r>
          </w:p>
        </w:tc>
      </w:tr>
    </w:tbl>
    <w:p>
      <w:pPr>
        <w:spacing w:after="200"/>
      </w:pPr>
    </w:p>
    <w:p>
      <w:pPr>
        <w:pStyle w:val="Heading2"/>
        <w:spacing w:after="160" w:before="280"/>
      </w:pPr>
      <w:r>
        <w:rPr>
          <w:rFonts w:ascii="Arial" w:cs="Arial" w:eastAsia="Arial" w:hAnsi="Arial"/>
          <w:b/>
          <w:bCs/>
          <w:color w:val="0D9488"/>
          <w:sz w:val="26"/>
          <w:szCs w:val="26"/>
        </w:rPr>
        <w:t xml:space="preserve">6.2 Composição da Rede de Fornecedores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vendor matrix below disaggregates the headline supplier count by category, count, and annualized spend. Each row represents a transmission channel through which the petitioner's spending propagates into the regional economy via Type II indirect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c>
          <w:tcPr>
            <w:tcW w:type="dxa" w:w="24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Categoria</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Fornecedores</w:t>
            </w:r>
          </w:p>
        </w:tc>
        <w:tc>
          <w:tcPr>
            <w:tcW w:type="dxa" w:w="16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Gasto Anual</w:t>
            </w:r>
          </w:p>
        </w:tc>
        <w:tc>
          <w:tcPr>
            <w:tcW w:type="dxa" w:w="41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Descrição</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Equipamentos Táticos e Armamento</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w:t>
            </w:r>
          </w:p>
        </w:tc>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US$ 0,9M</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Fornecedores de munição, armas, equipamentos de proteção</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Locação e Instalações de Treinamento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US$ 1,9M</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Aluguel de stand de tiro, espaços de treinamento, instalações táticas</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Serviços Profissionais</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10</w:t>
            </w:r>
          </w:p>
        </w:tc>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US$ 0,7M</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Advogados, contadores, consultores, marketing</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Operações e Suporte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US$ 0,5M</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Utilidades, manutenção, escritório, seguros</w:t>
            </w:r>
          </w:p>
        </w:tc>
      </w:tr>
    </w:tbl>
    <w:p>
      <w:pPr>
        <w:spacing w:after="80"/>
      </w:pPr>
    </w:p>
    <w:p>
      <w:pPr>
        <w:spacing w:after="100" w:line="260"/>
        <w:jc w:val="left"/>
      </w:pPr>
      <w:r>
        <w:rPr>
          <w:rFonts w:ascii="Arial" w:cs="Arial" w:eastAsia="Arial" w:hAnsi="Arial"/>
          <w:i/>
          <w:iCs/>
          <w:color w:val="718096"/>
          <w:sz w:val="18"/>
          <w:szCs w:val="18"/>
        </w:rPr>
        <w:t xml:space="preserve">Gastos representam fluxo monetário direto para fornecedores; efeitos induzidos modelados no Módulo M1.</w:t>
      </w:r>
    </w:p>
    <w:p>
      <w:r>
        <w:br w:type="page"/>
      </w:r>
    </w:p>
    <w:p>
      <w:pPr>
        <w:pStyle w:val="Heading1"/>
        <w:spacing w:after="200" w:before="360"/>
      </w:pPr>
      <w:r>
        <w:rPr>
          <w:rFonts w:ascii="Arial" w:cs="Arial" w:eastAsia="Arial" w:hAnsi="Arial"/>
          <w:b/>
          <w:bCs/>
          <w:color w:val="0A1628"/>
          <w:sz w:val="32"/>
          <w:szCs w:val="32"/>
        </w:rPr>
        <w:t xml:space="preserve">7. Módulo M6 — Análise de Multiplicador de Emprego (EPI)</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Employment multipliers from the Economic Policy Institute (EPI) demonstrate that each direct job supported by the petitioner generates additional employment across the supply chain and consumer spending sectors.</w:t>
      </w:r>
    </w:p>
    <w:p>
      <w:pPr>
        <w:spacing w:after="200"/>
      </w:pPr>
    </w:p>
    <w:p>
      <w:pPr>
        <w:pStyle w:val="Heading2"/>
        <w:spacing w:after="160" w:before="280"/>
      </w:pPr>
      <w:r>
        <w:rPr>
          <w:rFonts w:ascii="Arial" w:cs="Arial" w:eastAsia="Arial" w:hAnsi="Arial"/>
          <w:b/>
          <w:bCs/>
          <w:color w:val="0D9488"/>
          <w:sz w:val="26"/>
          <w:szCs w:val="26"/>
        </w:rPr>
        <w:t xml:space="preserve">7.1 Innovation &amp; R&amp;D Investment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5AD5"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805AD5"/>
                <w:sz w:val="40"/>
                <w:szCs w:val="40"/>
              </w:rPr>
              <w:t xml:space="preserve">US$ 132.000</w:t>
            </w:r>
          </w:p>
          <w:p>
            <w:pPr>
              <w:spacing w:after="20"/>
              <w:jc w:val="center"/>
            </w:pPr>
            <w:r>
              <w:rPr>
                <w:rFonts w:ascii="Arial" w:cs="Arial" w:eastAsia="Arial" w:hAnsi="Arial"/>
                <w:color w:val="4A5568"/>
                <w:sz w:val="18"/>
                <w:szCs w:val="18"/>
              </w:rPr>
              <w:t xml:space="preserve">Technology Transfer</w:t>
            </w:r>
          </w:p>
          <w:p>
            <w:pPr>
              <w:jc w:val="center"/>
            </w:pPr>
            <w:r>
              <w:rPr>
                <w:rFonts w:ascii="Arial" w:cs="Arial" w:eastAsia="Arial" w:hAnsi="Arial"/>
                <w:color w:val="718096"/>
                <w:sz w:val="16"/>
                <w:szCs w:val="16"/>
              </w:rPr>
              <w:t xml:space="preserve">R&amp;D Investment (Annual)</w:t>
            </w:r>
          </w:p>
        </w:tc>
      </w:tr>
    </w:tbl>
    <w:p>
      <w:pPr>
        <w:spacing w:after="200"/>
      </w:pPr>
    </w:p>
    <w:p>
      <w:pPr>
        <w:pStyle w:val="Heading2"/>
        <w:spacing w:after="160" w:before="280"/>
      </w:pPr>
      <w:r>
        <w:rPr>
          <w:rFonts w:ascii="Arial" w:cs="Arial" w:eastAsia="Arial" w:hAnsi="Arial"/>
          <w:b/>
          <w:bCs/>
          <w:color w:val="0D9488"/>
          <w:sz w:val="26"/>
          <w:szCs w:val="26"/>
        </w:rPr>
        <w:t xml:space="preserve">7.2 Catálogo de Inovações Implementadas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innovations below operationalize the petitioner's R&amp;D investment. Each entry pairs a discrete technical contribution with a measurable economic impact, supplying the causal mechanism behind the multipliers reported in Module M1.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160"/>
        <w:gridCol w:w="1000"/>
      </w:tblGrid>
      <w:tr>
        <w:tc>
          <w:tcPr>
            <w:tcW w:type="dxa" w:w="2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Inovação</w:t>
            </w:r>
          </w:p>
        </w:tc>
        <w:tc>
          <w:tcPr>
            <w:tcW w:type="dxa" w:w="3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Descrição</w:t>
            </w:r>
          </w:p>
        </w:tc>
        <w:tc>
          <w:tcPr>
            <w:tcW w:type="dxa" w:w="31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Impacto Mensurável</w:t>
            </w:r>
          </w:p>
        </w:tc>
        <w:tc>
          <w:tcPr>
            <w:tcW w:type="dxa" w:w="1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Ano</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Doutrina BAEP aplicada a contexto civil norte-americano</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Adaptação de protocolos táticos do 3º Batalhão de Ações Especiais de Polícia (BAEP) — uma das unidades de elite mais respeitadas do Brasil — ao contexto operacional dos EUA</w:t>
            </w:r>
          </w:p>
        </w:tc>
        <w:tc>
          <w:tcPr>
            <w:tcW w:type="dxa" w:w="3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Eleva o padrão de capacitação tática de profissionais de segurança pública e privada na Flórida</w:t>
            </w:r>
          </w:p>
        </w:tc>
        <w:tc>
          <w:tcPr>
            <w:tcW w:type="dxa" w:w="1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2025</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Metodologia integrada de treinamento sob alto estresse</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Programa proprietário que combina treinamento físico, controle emocional e tomada de decisão sob pressão extrema, baseado em mais de uma década de experiência operacional</w:t>
            </w:r>
          </w:p>
        </w:tc>
        <w:tc>
          <w:tcPr>
            <w:tcW w:type="dxa" w:w="3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Reduz tempo de reação e erros táticos em cenários de alto risco em 22-30%</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2025</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Protocolo de capacitação multilíngue para diversidade comunitária</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Primeiro programa de treinamento tático na Flórida Central com instrução trilíngue (inglês, português, espanhol), atendendo demanda de comunidades diversas</w:t>
            </w:r>
          </w:p>
        </w:tc>
        <w:tc>
          <w:tcPr>
            <w:tcW w:type="dxa" w:w="3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Amplia acesso à capacitação para profissionais de segurança de origem latina e brasileira</w:t>
            </w:r>
          </w:p>
        </w:tc>
        <w:tc>
          <w:tcPr>
            <w:tcW w:type="dxa" w:w="1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2025</w:t>
            </w:r>
          </w:p>
        </w:tc>
      </w:tr>
    </w:tbl>
    <w:p>
      <w:pPr>
        <w:spacing w:after="120"/>
      </w:pPr>
    </w:p>
    <w:p>
      <w:pPr>
        <w:spacing w:after="120" w:before="200"/>
      </w:pPr>
      <w:r>
        <w:rPr>
          <w:rFonts w:ascii="Arial" w:cs="Arial" w:eastAsia="Arial" w:hAnsi="Arial"/>
          <w:b/>
          <w:bCs/>
          <w:color w:val="0B7A6E"/>
          <w:sz w:val="22"/>
          <w:szCs w:val="22"/>
        </w:rPr>
        <w:t xml:space="preserve">7.2.1 Doutrina BAEP aplicada a contexto civil norte-americano</w:t>
      </w:r>
    </w:p>
    <w:p>
      <w:pPr>
        <w:spacing w:after="120" w:line="276"/>
        <w:jc w:val="both"/>
      </w:pPr>
      <w:r>
        <w:rPr>
          <w:rFonts w:ascii="Arial" w:cs="Arial" w:eastAsia="Arial" w:hAnsi="Arial"/>
          <w:b w:val="false"/>
          <w:bCs w:val="false"/>
          <w:i w:val="false"/>
          <w:iCs w:val="false"/>
          <w:color w:val="1A202C"/>
          <w:sz w:val="21"/>
          <w:szCs w:val="21"/>
        </w:rPr>
        <w:t xml:space="preserve">Adaptação de protocolos táticos do 3º Batalhão de Ações Especiais de Polícia (BAEP) — uma das unidades de elite mais respeitadas do Brasil — ao contexto operacional dos EUA</w:t>
      </w:r>
    </w:p>
    <w:p>
      <w:pPr>
        <w:spacing w:after="120" w:line="276"/>
        <w:jc w:val="both"/>
      </w:pPr>
      <w:r>
        <w:rPr>
          <w:rFonts w:ascii="Arial" w:cs="Arial" w:eastAsia="Arial" w:hAnsi="Arial"/>
          <w:b w:val="false"/>
          <w:bCs w:val="false"/>
          <w:i w:val="false"/>
          <w:iCs w:val="false"/>
          <w:color w:val="1A202C"/>
          <w:sz w:val="21"/>
          <w:szCs w:val="21"/>
        </w:rPr>
        <w:t xml:space="preserve">Impacto: Eleva o padrão de capacitação tática de profissionais de segurança pública e privada na Flórida</w:t>
      </w:r>
    </w:p>
    <w:p>
      <w:pPr>
        <w:spacing w:after="120"/>
      </w:pPr>
    </w:p>
    <w:p>
      <w:pPr>
        <w:spacing w:after="120" w:before="200"/>
      </w:pPr>
      <w:r>
        <w:rPr>
          <w:rFonts w:ascii="Arial" w:cs="Arial" w:eastAsia="Arial" w:hAnsi="Arial"/>
          <w:b/>
          <w:bCs/>
          <w:color w:val="0B7A6E"/>
          <w:sz w:val="22"/>
          <w:szCs w:val="22"/>
        </w:rPr>
        <w:t xml:space="preserve">7.2.2 Metodologia integrada de treinamento sob alto estresse</w:t>
      </w:r>
    </w:p>
    <w:p>
      <w:pPr>
        <w:spacing w:after="120" w:line="276"/>
        <w:jc w:val="both"/>
      </w:pPr>
      <w:r>
        <w:rPr>
          <w:rFonts w:ascii="Arial" w:cs="Arial" w:eastAsia="Arial" w:hAnsi="Arial"/>
          <w:b w:val="false"/>
          <w:bCs w:val="false"/>
          <w:i w:val="false"/>
          <w:iCs w:val="false"/>
          <w:color w:val="1A202C"/>
          <w:sz w:val="21"/>
          <w:szCs w:val="21"/>
        </w:rPr>
        <w:t xml:space="preserve">Programa proprietário que combina treinamento físico, controle emocional e tomada de decisão sob pressão extrema, baseado em mais de uma década de experiência operacional</w:t>
      </w:r>
    </w:p>
    <w:p>
      <w:pPr>
        <w:spacing w:after="120" w:line="276"/>
        <w:jc w:val="both"/>
      </w:pPr>
      <w:r>
        <w:rPr>
          <w:rFonts w:ascii="Arial" w:cs="Arial" w:eastAsia="Arial" w:hAnsi="Arial"/>
          <w:b w:val="false"/>
          <w:bCs w:val="false"/>
          <w:i w:val="false"/>
          <w:iCs w:val="false"/>
          <w:color w:val="1A202C"/>
          <w:sz w:val="21"/>
          <w:szCs w:val="21"/>
        </w:rPr>
        <w:t xml:space="preserve">Impacto: Reduz tempo de reação e erros táticos em cenários de alto risco em 22-30%</w:t>
      </w:r>
    </w:p>
    <w:p>
      <w:pPr>
        <w:spacing w:after="120"/>
      </w:pPr>
    </w:p>
    <w:p>
      <w:pPr>
        <w:spacing w:after="120" w:before="200"/>
      </w:pPr>
      <w:r>
        <w:rPr>
          <w:rFonts w:ascii="Arial" w:cs="Arial" w:eastAsia="Arial" w:hAnsi="Arial"/>
          <w:b/>
          <w:bCs/>
          <w:color w:val="0B7A6E"/>
          <w:sz w:val="22"/>
          <w:szCs w:val="22"/>
        </w:rPr>
        <w:t xml:space="preserve">7.2.3 Protocolo de capacitação multilíngue para diversidade comunitária</w:t>
      </w:r>
    </w:p>
    <w:p>
      <w:pPr>
        <w:spacing w:after="120" w:line="276"/>
        <w:jc w:val="both"/>
      </w:pPr>
      <w:r>
        <w:rPr>
          <w:rFonts w:ascii="Arial" w:cs="Arial" w:eastAsia="Arial" w:hAnsi="Arial"/>
          <w:b w:val="false"/>
          <w:bCs w:val="false"/>
          <w:i w:val="false"/>
          <w:iCs w:val="false"/>
          <w:color w:val="1A202C"/>
          <w:sz w:val="21"/>
          <w:szCs w:val="21"/>
        </w:rPr>
        <w:t xml:space="preserve">Primeiro programa de treinamento tático na Flórida Central com instrução trilíngue (inglês, português, espanhol), atendendo demanda de comunidades diversas</w:t>
      </w:r>
    </w:p>
    <w:p>
      <w:pPr>
        <w:spacing w:after="120" w:line="276"/>
        <w:jc w:val="both"/>
      </w:pPr>
      <w:r>
        <w:rPr>
          <w:rFonts w:ascii="Arial" w:cs="Arial" w:eastAsia="Arial" w:hAnsi="Arial"/>
          <w:b w:val="false"/>
          <w:bCs w:val="false"/>
          <w:i w:val="false"/>
          <w:iCs w:val="false"/>
          <w:color w:val="1A202C"/>
          <w:sz w:val="21"/>
          <w:szCs w:val="21"/>
        </w:rPr>
        <w:t xml:space="preserve">Impacto: Amplia acesso à capacitação para profissionais de segurança de origem latina e brasileira</w:t>
      </w:r>
    </w:p>
    <w:p>
      <w:pPr>
        <w:spacing w:after="200"/>
      </w:pPr>
    </w:p>
    <w:p>
      <w:pPr>
        <w:pStyle w:val="Heading2"/>
        <w:spacing w:after="160" w:before="280"/>
      </w:pPr>
      <w:r>
        <w:rPr>
          <w:rFonts w:ascii="Arial" w:cs="Arial" w:eastAsia="Arial" w:hAnsi="Arial"/>
          <w:b/>
          <w:bCs/>
          <w:color w:val="0D9488"/>
          <w:sz w:val="26"/>
          <w:szCs w:val="26"/>
        </w:rPr>
        <w:t xml:space="preserve">7.3 Segredos Comerciais Protegidos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Each protected asset below represents proprietary know-how whose disclosure would erode the petitioner's competitive moat. Trade secrets are catalogued descriptively to preserve confidentiality.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Descrição do Ativo</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Currículo proprietário de treinamento tático adaptado de doutrina BAEP</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Metodologia de avaliação de prontidão sob estresse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Protocolos de instrução de armamento progressivo</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Framework de capacitação para resposta a ameaças assimétricas</w:t>
            </w:r>
          </w:p>
        </w:tc>
      </w:tr>
    </w:tbl>
    <w:p>
      <w:r>
        <w:br w:type="page"/>
      </w:r>
    </w:p>
    <w:p>
      <w:pPr>
        <w:pStyle w:val="Heading1"/>
        <w:spacing w:after="200" w:before="360"/>
      </w:pPr>
      <w:r>
        <w:rPr>
          <w:rFonts w:ascii="Arial" w:cs="Arial" w:eastAsia="Arial" w:hAnsi="Arial"/>
          <w:b/>
          <w:bCs/>
          <w:color w:val="0A1628"/>
          <w:sz w:val="32"/>
          <w:szCs w:val="32"/>
        </w:rPr>
        <w:t xml:space="preserve">8. Módulo M7 — Alinhamento de Política e Prioridade Nacional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operations align with multiple federal policy priorities including workforce development, regional economic competitiveness, trade facilitation, and strategic industry advancement.</w:t>
      </w:r>
    </w:p>
    <w:p>
      <w:pPr>
        <w:spacing w:after="200"/>
      </w:pPr>
    </w:p>
    <w:p>
      <w:pPr>
        <w:pStyle w:val="Heading2"/>
        <w:spacing w:after="160" w:before="280"/>
      </w:pPr>
      <w:r>
        <w:rPr>
          <w:rFonts w:ascii="Arial" w:cs="Arial" w:eastAsia="Arial" w:hAnsi="Arial"/>
          <w:b/>
          <w:bCs/>
          <w:color w:val="0D9488"/>
          <w:sz w:val="26"/>
          <w:szCs w:val="26"/>
        </w:rPr>
        <w:t xml:space="preserve">8.1 Industry Positioning</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empresa de Rodrigo Pires Corrêa de Mattos demonstra margens, crescimento e produtividade superiores à média da indústria, impulsionados por metodologia proprietária derivada de unidade tática de elite e posicionamento único no mercado trilíngue da Flórida Central.</w:t>
      </w:r>
    </w:p>
    <w:p>
      <w:pPr>
        <w:spacing w:after="200"/>
      </w:pPr>
    </w:p>
    <w:p>
      <w:pPr>
        <w:pStyle w:val="Heading2"/>
        <w:spacing w:after="160" w:before="280"/>
      </w:pPr>
      <w:r>
        <w:rPr>
          <w:rFonts w:ascii="Arial" w:cs="Arial" w:eastAsia="Arial" w:hAnsi="Arial"/>
          <w:b/>
          <w:bCs/>
          <w:color w:val="0D9488"/>
          <w:sz w:val="26"/>
          <w:szCs w:val="26"/>
        </w:rPr>
        <w:t xml:space="preserve">8.2 Comparação Quantitativa com Pares Setoriais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benchmarks below contrast the petitioner's operational performance with the industry baseline drawn from comparable firms in the same NAICS classification. Outperformance is highlighted where it materially affects the multipliers used elsewhere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Métrica</w:t>
            </w:r>
          </w:p>
        </w:tc>
        <w:tc>
          <w:tcPr>
            <w:tcW w:type="dxa" w:w="2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Petição</w:t>
            </w:r>
          </w:p>
        </w:tc>
        <w:tc>
          <w:tcPr>
            <w:tcW w:type="dxa" w:w="2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Benchmark Setorial</w:t>
            </w:r>
          </w:p>
        </w:tc>
        <w:tc>
          <w:tcPr>
            <w:tcW w:type="dxa" w:w="2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Diferença</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Margem Bruta</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82-93% | Significativamente acima do padrão da indústria</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Crescimento de Receita (CAGR 5 anos)</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13% | Acima da média do setor</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Receita por Funcionário</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US$ 98.000 | Produtividade superior</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r>
    </w:tbl>
    <w:p>
      <w:r>
        <w:br w:type="page"/>
      </w:r>
    </w:p>
    <w:p>
      <w:pPr>
        <w:pStyle w:val="Heading1"/>
        <w:spacing w:after="200" w:before="360"/>
      </w:pPr>
      <w:r>
        <w:rPr>
          <w:rFonts w:ascii="Arial" w:cs="Arial" w:eastAsia="Arial" w:hAnsi="Arial"/>
          <w:b/>
          <w:bCs/>
          <w:color w:val="0A1628"/>
          <w:sz w:val="32"/>
          <w:szCs w:val="32"/>
        </w:rPr>
        <w:t xml:space="preserve">9. Módulo M8 — Vantagem Comparativa Regional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Comparative analysis reveals that the Orlando-Kissimmee-Sanford region benefits from the petitioner's presence relative to peer regions and national benchmarks in similar industries.</w:t>
      </w:r>
    </w:p>
    <w:p>
      <w:pPr>
        <w:spacing w:after="200"/>
      </w:pPr>
    </w:p>
    <w:p>
      <w:pPr>
        <w:pStyle w:val="Heading2"/>
        <w:spacing w:after="160" w:before="280"/>
      </w:pPr>
      <w:r>
        <w:rPr>
          <w:rFonts w:ascii="Arial" w:cs="Arial" w:eastAsia="Arial" w:hAnsi="Arial"/>
          <w:b/>
          <w:bCs/>
          <w:color w:val="0D9488"/>
          <w:sz w:val="26"/>
          <w:szCs w:val="26"/>
        </w:rPr>
        <w:t xml:space="preserve">9.1 Strategic Alignment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As operações do peticionário avançam prioridades nacionais críticas em capacitação de profissionais de segurança pública e privada, prontidão tática para resposta a ameaças e fortalecimento da segurança de infraestrutura crítica.</w:t>
      </w:r>
    </w:p>
    <w:p>
      <w:pPr>
        <w:spacing w:after="200"/>
      </w:pPr>
    </w:p>
    <w:p>
      <w:pPr>
        <w:pStyle w:val="Heading2"/>
        <w:spacing w:after="160" w:before="280"/>
      </w:pPr>
      <w:r>
        <w:rPr>
          <w:rFonts w:ascii="Arial" w:cs="Arial" w:eastAsia="Arial" w:hAnsi="Arial"/>
          <w:b/>
          <w:bCs/>
          <w:color w:val="0D9488"/>
          <w:sz w:val="26"/>
          <w:szCs w:val="26"/>
        </w:rPr>
        <w:t xml:space="preserve">9.2 Alinhamento com Ordens Executivas Federais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operations directly intersect with the executive orders catalogued below. Each row maps a specific policy mandate to the operational dimension of the petition that satisfies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Ordem Executiva</w:t>
            </w:r>
          </w:p>
        </w:tc>
        <w:tc>
          <w:tcPr>
            <w:tcW w:type="dxa" w:w="1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Grau de Alinhamento</w:t>
            </w:r>
          </w:p>
        </w:tc>
        <w:tc>
          <w:tcPr>
            <w:tcW w:type="dxa" w:w="4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Descrição da Ligação</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EO 14074 — Advancing Effective, Accountable Policing and Criminal Justice Practices</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Direta</w:t>
            </w:r>
          </w:p>
        </w:tc>
        <w:tc>
          <w:tcPr>
            <w:tcW w:type="dxa" w:w="4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Capacitação de profissionais de segurança pública em padrões avançados de uso da força, defesa pessoal e protocolos de resposta</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EO 13929 — Safe Policing for Safe Communities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Direta</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Treinamento certificado de oficiais de segurança em técnicas de uso de força progressiva e prevenção de incidentes</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EO 13985 — Advancing Racial Equity</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Contributing</w:t>
            </w:r>
          </w:p>
        </w:tc>
        <w:tc>
          <w:tcPr>
            <w:tcW w:type="dxa" w:w="4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Programa trilíngue ampliando acesso à capacitação para comunidades sub-representadas</w:t>
            </w:r>
          </w:p>
        </w:tc>
      </w:tr>
    </w:tbl>
    <w:p>
      <w:pPr>
        <w:spacing w:after="200"/>
      </w:pPr>
    </w:p>
    <w:p>
      <w:pPr>
        <w:pStyle w:val="Heading2"/>
        <w:spacing w:after="160" w:before="280"/>
      </w:pPr>
      <w:r>
        <w:rPr>
          <w:rFonts w:ascii="Arial" w:cs="Arial" w:eastAsia="Arial" w:hAnsi="Arial"/>
          <w:b/>
          <w:bCs/>
          <w:color w:val="0D9488"/>
          <w:sz w:val="26"/>
          <w:szCs w:val="26"/>
        </w:rPr>
        <w:t xml:space="preserve">9.3 Prioridades Federais Endereçadas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federal-level priorities below were drawn from publicly available agency strategic plans and policy directives. Each item below is materially advanced by the petitioner's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Prioridade Federal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Capacitação avançada de oficiais de segurança pública</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Resposta a ameaças assimétricas e terrorismo doméstico</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Padrões nacionais de treinamento em uso de força</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Proteção de infraestrutura crítica</w:t>
            </w:r>
          </w:p>
        </w:tc>
      </w:tr>
    </w:tbl>
    <w:p>
      <w:pPr>
        <w:spacing w:after="200"/>
      </w:pPr>
    </w:p>
    <w:p>
      <w:pPr>
        <w:pStyle w:val="Heading2"/>
        <w:spacing w:after="160" w:before="280"/>
      </w:pPr>
      <w:r>
        <w:rPr>
          <w:rFonts w:ascii="Arial" w:cs="Arial" w:eastAsia="Arial" w:hAnsi="Arial"/>
          <w:b/>
          <w:bCs/>
          <w:color w:val="0D9488"/>
          <w:sz w:val="26"/>
          <w:szCs w:val="26"/>
        </w:rPr>
        <w:t xml:space="preserve">9.4 Prioridades Estaduais Endereçadas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At the state level, the petitioner's footprint advances each of the priorities catalogued below, as articulated in current state economic development planning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Prioridade Estadual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Desenvolvimento econômico e geração de empregos qualificados na Flórida</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Capacitação de oficiais do FDLE, FHP e órgãos municipais</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Treinamento certificado em armamento e defesa pessoal</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Resposta a emergências e crime organizado</w:t>
            </w:r>
          </w:p>
        </w:tc>
      </w:tr>
    </w:tbl>
    <w:p>
      <w:pPr>
        <w:spacing w:after="200"/>
      </w:pPr>
    </w:p>
    <w:p>
      <w:pPr>
        <w:pStyle w:val="Heading2"/>
        <w:spacing w:after="160" w:before="280"/>
      </w:pPr>
      <w:r>
        <w:rPr>
          <w:rFonts w:ascii="Arial" w:cs="Arial" w:eastAsia="Arial" w:hAnsi="Arial"/>
          <w:b/>
          <w:bCs/>
          <w:color w:val="0D9488"/>
          <w:sz w:val="26"/>
          <w:szCs w:val="26"/>
        </w:rPr>
        <w:t xml:space="preserve">9.5 Prioridades Locais (MSA) Endereçadas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Local priorities reflect MSA-specific economic development objectives that are directly served by the petitioner's presence and operational footprint within the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Prioridade Local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Capacitação de oficiais do Orlando Police Department e Orange County Sheriff's Office</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Treinamento de profissionais de segurança privada em Orlando MSA</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Geração de empregos qualificados na Flórida Central</w:t>
            </w:r>
          </w:p>
        </w:tc>
      </w:tr>
    </w:tbl>
    <w:p>
      <w:pPr>
        <w:spacing w:after="200"/>
      </w:pPr>
    </w:p>
    <w:p>
      <w:pPr>
        <w:pStyle w:val="Heading2"/>
        <w:spacing w:after="160" w:before="280"/>
      </w:pPr>
      <w:r>
        <w:rPr>
          <w:rFonts w:ascii="Arial" w:cs="Arial" w:eastAsia="Arial" w:hAnsi="Arial"/>
          <w:b/>
          <w:bCs/>
          <w:color w:val="0D9488"/>
          <w:sz w:val="26"/>
          <w:szCs w:val="26"/>
        </w:rPr>
        <w:t xml:space="preserve">9.6 Elegibilidade a Programas SBA Aplicáveis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Small Business Administration programs below are either currently leveraged by the petitioner or represent active eligibility pathways that reinforce the public-interest dimension of the 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Programa SBA</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Small Business Development Center (SBDC)</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Veteran-Owned Small Business (se aplicável)</w:t>
            </w:r>
          </w:p>
        </w:tc>
      </w:tr>
    </w:tbl>
    <w:p>
      <w:r>
        <w:br w:type="page"/>
      </w:r>
    </w:p>
    <w:p>
      <w:pPr>
        <w:pStyle w:val="Heading1"/>
        <w:spacing w:after="200" w:before="360"/>
      </w:pPr>
      <w:r>
        <w:rPr>
          <w:rFonts w:ascii="Arial" w:cs="Arial" w:eastAsia="Arial" w:hAnsi="Arial"/>
          <w:b/>
          <w:bCs/>
          <w:color w:val="0A1628"/>
          <w:sz w:val="32"/>
          <w:szCs w:val="32"/>
        </w:rPr>
        <w:t xml:space="preserve">10. Módulo M9 — Análise de Sensibilidade e Cenário</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Sensitivity analysis tests the robustness of impact projections under varying assumptions regarding multiplier rates, growth trajectories, and market conditions.</w:t>
      </w:r>
    </w:p>
    <w:p>
      <w:pPr>
        <w:spacing w:after="200"/>
      </w:pPr>
    </w:p>
    <w:p>
      <w:pPr>
        <w:pStyle w:val="Heading2"/>
        <w:spacing w:after="160" w:before="280"/>
      </w:pPr>
      <w:r>
        <w:rPr>
          <w:rFonts w:ascii="Arial" w:cs="Arial" w:eastAsia="Arial" w:hAnsi="Arial"/>
          <w:b/>
          <w:bCs/>
          <w:color w:val="0D9488"/>
          <w:sz w:val="26"/>
          <w:szCs w:val="26"/>
        </w:rPr>
        <w:t xml:space="preserve">10.1 Scenario Analysis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Cenário Base: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US$ 15,3M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Cenário Otimista: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US$ 19,9M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Cenário Conservador: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US$ 10,7M</w:t>
            </w:r>
          </w:p>
        </w:tc>
      </w:tr>
    </w:tbl>
    <w:p>
      <w:r>
        <w:br w:type="page"/>
      </w:r>
    </w:p>
    <w:p>
      <w:pPr>
        <w:pStyle w:val="Heading1"/>
        <w:spacing w:after="200" w:before="360"/>
      </w:pPr>
      <w:r>
        <w:rPr>
          <w:rFonts w:ascii="Arial" w:cs="Arial" w:eastAsia="Arial" w:hAnsi="Arial"/>
          <w:b/>
          <w:bCs/>
          <w:color w:val="0A1628"/>
          <w:sz w:val="32"/>
          <w:szCs w:val="32"/>
        </w:rPr>
        <w:t xml:space="preserve">11. Módulo M10 — Mapeamento RFE</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O mapeamento de RFE demonstra alinhamento com as Solicitações de Evidência do Formulário I-140, abordando diretamente os critérios do USCIS para profissionais com grau avançado e elegibilidade ao National Interest Waiver sob 8 CFR § 204.5(k)(4)(ii).</w:t>
      </w:r>
    </w:p>
    <w:p>
      <w:pPr>
        <w:spacing w:after="200"/>
      </w:pPr>
    </w:p>
    <w:p>
      <w:pPr>
        <w:pStyle w:val="Heading2"/>
        <w:spacing w:after="160" w:before="280"/>
      </w:pPr>
      <w:r>
        <w:rPr>
          <w:rFonts w:ascii="Arial" w:cs="Arial" w:eastAsia="Arial" w:hAnsi="Arial"/>
          <w:b/>
          <w:bCs/>
          <w:color w:val="0D9488"/>
          <w:sz w:val="26"/>
          <w:szCs w:val="26"/>
        </w:rPr>
        <w:t xml:space="preserve">11.1 USCIS Criterion Alignment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O peticionário demonstra capacidade excepcional através de mais de uma década de experiência operacional em unidade tática de elite (3º BAEP — Polícia Militar de São Paulo), aplicada a um empreendimento com mérito substancial e importância nacional na capacitação de profissionais de segurança pública e privada nos Estados Unidos.</w:t>
      </w:r>
    </w:p>
    <w:p>
      <w:pPr>
        <w:spacing w:after="200"/>
      </w:pPr>
    </w:p>
    <w:p>
      <w:pPr>
        <w:pStyle w:val="Heading2"/>
        <w:spacing w:after="160" w:before="280"/>
      </w:pPr>
      <w:r>
        <w:rPr>
          <w:rFonts w:ascii="Arial" w:cs="Arial" w:eastAsia="Arial" w:hAnsi="Arial"/>
          <w:b/>
          <w:bCs/>
          <w:color w:val="0D9488"/>
          <w:sz w:val="26"/>
          <w:szCs w:val="26"/>
        </w:rPr>
        <w:t xml:space="preserve">11.2 Mapeamento de Objeções Antecipadas e Refutações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matrix below pre-empts the most probable adjudicator concerns by pairing each anticipated objection with the modules that address it, the rebuttal summary, and the supporting evidence already documented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780"/>
        <w:gridCol w:w="2780"/>
      </w:tblGrid>
      <w:tr>
        <w:tc>
          <w:tcPr>
            <w:tcW w:type="dxa" w:w="26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Objeção Antecipada</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Módulos</w:t>
            </w:r>
          </w:p>
        </w:tc>
        <w:tc>
          <w:tcPr>
            <w:tcW w:type="dxa" w:w="27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Resumo da Refutação</w:t>
            </w:r>
          </w:p>
        </w:tc>
        <w:tc>
          <w:tcPr>
            <w:tcW w:type="dxa" w:w="27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Evidência Chave</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 empreendimento não opera em escala suficiente para criar empregos, gerar receita ou impactar substancialmente a arrecadação tributária federal e estadual em nível compatível com importância nacional</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 M2, M4, M13</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Produção econômica de US$ 15,3M em 5 anos; 57-75 empregos sustentados; US$ 936K em arrecadação tributária total; impacto em 9 setores NAICS</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Metodologia RIMS II Tipo II; multiplicadores BEA/IMPLAN; análise IRPF + FICA + impostos sobre vendas FL</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 empreendimento não se estende suficientemente além da organização e seus clientes para impactar a indústria ou o campo de forma mais ampla</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M5, M6, M13</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Doutrina tática de elite (BAEP) difundida via capacitação a centenas de oficiais que retornam aos seus órgãos; 32+ fornecedores engajados; contribuição para padrões nacionais de treinamento</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M6: três inovações metodológicas com aplicação setorial; M13: efeito multiplicador através de oficiais treinados; M5: rede de fornecedores em expansão</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Serviços individualmente customizados não representam medidas amplamente aplicáveis que uma vasta gama de organizações possa adotar</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M6, M13</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Currículo padronizado de capacitação adotável por diferentes órgãos de segurança pública (FDLE, OPD, OCSO, CBP, USMS) e empresas privadas; metodologia baseada em doutrina BAEP escalável a múltiplas jurisdições</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M6: framework escalável de capacitação; M8: alinhamento com EO 14074 e EO 13929; M13: difusão setorial</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 registro não detalha como os efeitos do empreendimento operariam em escala suficiente para criar empregos e gerar receita em nível regional ou nacional</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 M2, M3, M4</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21 empregos diretos no Ano 5; 57-75 empregos totais via multiplicadores RIMS II; US$ 9,97M em renda salarial; US$ 936K em arrecadação tributária ao longo de 5 anos</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 produção total US$ 15,3M; M2 emprego ampliado via multiplicador 2,69; M3 renda salarial induzida; M4 contribuições tributárias federal/estadual/local</w:t>
            </w:r>
          </w:p>
        </w:tc>
      </w:tr>
    </w:tbl>
    <w:p>
      <w:pPr>
        <w:spacing w:after="120"/>
      </w:pPr>
    </w:p>
    <w:p>
      <w:pPr>
        <w:spacing w:after="120" w:before="200"/>
      </w:pPr>
      <w:r>
        <w:rPr>
          <w:rFonts w:ascii="Arial" w:cs="Arial" w:eastAsia="Arial" w:hAnsi="Arial"/>
          <w:b/>
          <w:bCs/>
          <w:color w:val="0B7A6E"/>
          <w:sz w:val="22"/>
          <w:szCs w:val="22"/>
        </w:rPr>
        <w:t xml:space="preserve">11.2.1 O empreendimento não opera em escala suficiente para criar empregos, gerar receita ou impactar substancialmente a arrecadação tributária federal e estadual em nível compatível com importância nacional</w:t>
      </w:r>
    </w:p>
    <w:p>
      <w:pPr>
        <w:spacing w:after="120" w:line="276"/>
        <w:jc w:val="both"/>
      </w:pPr>
      <w:r>
        <w:rPr>
          <w:rFonts w:ascii="Arial" w:cs="Arial" w:eastAsia="Arial" w:hAnsi="Arial"/>
          <w:b w:val="false"/>
          <w:bCs w:val="false"/>
          <w:i w:val="false"/>
          <w:iCs w:val="false"/>
          <w:color w:val="1A202C"/>
          <w:sz w:val="21"/>
          <w:szCs w:val="21"/>
        </w:rPr>
        <w:t xml:space="preserve">Refutação: Produção econômica de US$ 15,3M em 5 anos; 57-75 empregos sustentados; US$ 936K em arrecadação tributária total; impacto em 9 setores NAICS</w:t>
      </w:r>
    </w:p>
    <w:p>
      <w:pPr>
        <w:spacing w:after="120" w:line="276"/>
        <w:jc w:val="both"/>
      </w:pPr>
      <w:r>
        <w:rPr>
          <w:rFonts w:ascii="Arial" w:cs="Arial" w:eastAsia="Arial" w:hAnsi="Arial"/>
          <w:b w:val="false"/>
          <w:bCs w:val="false"/>
          <w:i w:val="false"/>
          <w:iCs w:val="false"/>
          <w:color w:val="1A202C"/>
          <w:sz w:val="21"/>
          <w:szCs w:val="21"/>
        </w:rPr>
        <w:t xml:space="preserve">Evidência referenciada: Metodologia RIMS II Tipo II; multiplicadores BEA/IMPLAN; análise IRPF + FICA + impostos sobre vendas FL</w:t>
      </w:r>
    </w:p>
    <w:p>
      <w:pPr>
        <w:spacing w:after="120"/>
      </w:pPr>
    </w:p>
    <w:p>
      <w:pPr>
        <w:spacing w:after="120" w:before="200"/>
      </w:pPr>
      <w:r>
        <w:rPr>
          <w:rFonts w:ascii="Arial" w:cs="Arial" w:eastAsia="Arial" w:hAnsi="Arial"/>
          <w:b/>
          <w:bCs/>
          <w:color w:val="0B7A6E"/>
          <w:sz w:val="22"/>
          <w:szCs w:val="22"/>
        </w:rPr>
        <w:t xml:space="preserve">11.2.2 O empreendimento não se estende suficientemente além da organização e seus clientes para impactar a indústria ou o campo de forma mais ampla</w:t>
      </w:r>
    </w:p>
    <w:p>
      <w:pPr>
        <w:spacing w:after="120" w:line="276"/>
        <w:jc w:val="both"/>
      </w:pPr>
      <w:r>
        <w:rPr>
          <w:rFonts w:ascii="Arial" w:cs="Arial" w:eastAsia="Arial" w:hAnsi="Arial"/>
          <w:b w:val="false"/>
          <w:bCs w:val="false"/>
          <w:i w:val="false"/>
          <w:iCs w:val="false"/>
          <w:color w:val="1A202C"/>
          <w:sz w:val="21"/>
          <w:szCs w:val="21"/>
        </w:rPr>
        <w:t xml:space="preserve">Refutação: Doutrina tática de elite (BAEP) difundida via capacitação a centenas de oficiais que retornam aos seus órgãos; 32+ fornecedores engajados; contribuição para padrões nacionais de treinamento</w:t>
      </w:r>
    </w:p>
    <w:p>
      <w:pPr>
        <w:spacing w:after="120" w:line="276"/>
        <w:jc w:val="both"/>
      </w:pPr>
      <w:r>
        <w:rPr>
          <w:rFonts w:ascii="Arial" w:cs="Arial" w:eastAsia="Arial" w:hAnsi="Arial"/>
          <w:b w:val="false"/>
          <w:bCs w:val="false"/>
          <w:i w:val="false"/>
          <w:iCs w:val="false"/>
          <w:color w:val="1A202C"/>
          <w:sz w:val="21"/>
          <w:szCs w:val="21"/>
        </w:rPr>
        <w:t xml:space="preserve">Evidência referenciada: M6: três inovações metodológicas com aplicação setorial; M13: efeito multiplicador através de oficiais treinados; M5: rede de fornecedores em expansão</w:t>
      </w:r>
    </w:p>
    <w:p>
      <w:pPr>
        <w:spacing w:after="120"/>
      </w:pPr>
    </w:p>
    <w:p>
      <w:pPr>
        <w:spacing w:after="120" w:before="200"/>
      </w:pPr>
      <w:r>
        <w:rPr>
          <w:rFonts w:ascii="Arial" w:cs="Arial" w:eastAsia="Arial" w:hAnsi="Arial"/>
          <w:b/>
          <w:bCs/>
          <w:color w:val="0B7A6E"/>
          <w:sz w:val="22"/>
          <w:szCs w:val="22"/>
        </w:rPr>
        <w:t xml:space="preserve">11.2.3 Serviços individualmente customizados não representam medidas amplamente aplicáveis que uma vasta gama de organizações possa adotar</w:t>
      </w:r>
    </w:p>
    <w:p>
      <w:pPr>
        <w:spacing w:after="120" w:line="276"/>
        <w:jc w:val="both"/>
      </w:pPr>
      <w:r>
        <w:rPr>
          <w:rFonts w:ascii="Arial" w:cs="Arial" w:eastAsia="Arial" w:hAnsi="Arial"/>
          <w:b w:val="false"/>
          <w:bCs w:val="false"/>
          <w:i w:val="false"/>
          <w:iCs w:val="false"/>
          <w:color w:val="1A202C"/>
          <w:sz w:val="21"/>
          <w:szCs w:val="21"/>
        </w:rPr>
        <w:t xml:space="preserve">Refutação: Currículo padronizado de capacitação adotável por diferentes órgãos de segurança pública (FDLE, OPD, OCSO, CBP, USMS) e empresas privadas; metodologia baseada em doutrina BAEP escalável a múltiplas jurisdições</w:t>
      </w:r>
    </w:p>
    <w:p>
      <w:pPr>
        <w:spacing w:after="120" w:line="276"/>
        <w:jc w:val="both"/>
      </w:pPr>
      <w:r>
        <w:rPr>
          <w:rFonts w:ascii="Arial" w:cs="Arial" w:eastAsia="Arial" w:hAnsi="Arial"/>
          <w:b w:val="false"/>
          <w:bCs w:val="false"/>
          <w:i w:val="false"/>
          <w:iCs w:val="false"/>
          <w:color w:val="1A202C"/>
          <w:sz w:val="21"/>
          <w:szCs w:val="21"/>
        </w:rPr>
        <w:t xml:space="preserve">Evidência referenciada: M6: framework escalável de capacitação; M8: alinhamento com EO 14074 e EO 13929; M13: difusão setorial</w:t>
      </w:r>
    </w:p>
    <w:p>
      <w:pPr>
        <w:spacing w:after="120"/>
      </w:pPr>
    </w:p>
    <w:p>
      <w:pPr>
        <w:spacing w:after="120" w:before="200"/>
      </w:pPr>
      <w:r>
        <w:rPr>
          <w:rFonts w:ascii="Arial" w:cs="Arial" w:eastAsia="Arial" w:hAnsi="Arial"/>
          <w:b/>
          <w:bCs/>
          <w:color w:val="0B7A6E"/>
          <w:sz w:val="22"/>
          <w:szCs w:val="22"/>
        </w:rPr>
        <w:t xml:space="preserve">11.2.4 O registro não detalha como os efeitos do empreendimento operariam em escala suficiente para criar empregos e gerar receita em nível regional ou nacional</w:t>
      </w:r>
    </w:p>
    <w:p>
      <w:pPr>
        <w:spacing w:after="120" w:line="276"/>
        <w:jc w:val="both"/>
      </w:pPr>
      <w:r>
        <w:rPr>
          <w:rFonts w:ascii="Arial" w:cs="Arial" w:eastAsia="Arial" w:hAnsi="Arial"/>
          <w:b w:val="false"/>
          <w:bCs w:val="false"/>
          <w:i w:val="false"/>
          <w:iCs w:val="false"/>
          <w:color w:val="1A202C"/>
          <w:sz w:val="21"/>
          <w:szCs w:val="21"/>
        </w:rPr>
        <w:t xml:space="preserve">Refutação: 21 empregos diretos no Ano 5; 57-75 empregos totais via multiplicadores RIMS II; US$ 9,97M em renda salarial; US$ 936K em arrecadação tributária ao longo de 5 anos</w:t>
      </w:r>
    </w:p>
    <w:p>
      <w:pPr>
        <w:spacing w:after="120" w:line="276"/>
        <w:jc w:val="both"/>
      </w:pPr>
      <w:r>
        <w:rPr>
          <w:rFonts w:ascii="Arial" w:cs="Arial" w:eastAsia="Arial" w:hAnsi="Arial"/>
          <w:b w:val="false"/>
          <w:bCs w:val="false"/>
          <w:i w:val="false"/>
          <w:iCs w:val="false"/>
          <w:color w:val="1A202C"/>
          <w:sz w:val="21"/>
          <w:szCs w:val="21"/>
        </w:rPr>
        <w:t xml:space="preserve">Evidência referenciada: M1 produção total US$ 15,3M; M2 emprego ampliado via multiplicador 2,69; M3 renda salarial induzida; M4 contribuições tributárias federal/estadual/local</w:t>
      </w:r>
    </w:p>
    <w:p>
      <w:r>
        <w:br w:type="page"/>
      </w:r>
    </w:p>
    <w:p>
      <w:pPr>
        <w:pStyle w:val="Heading1"/>
        <w:spacing w:after="200" w:before="360"/>
      </w:pPr>
      <w:r>
        <w:rPr>
          <w:rFonts w:ascii="Arial" w:cs="Arial" w:eastAsia="Arial" w:hAnsi="Arial"/>
          <w:b/>
          <w:bCs/>
          <w:color w:val="0A1628"/>
          <w:sz w:val="32"/>
          <w:szCs w:val="32"/>
        </w:rPr>
        <w:t xml:space="preserve">12. Módulo M11 — Análise de Retorno Social sobre o Investimento (SROI)</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quantifies the petitioner's social impact using the Social Return on Investment (SROI) framework — an internationally recognized methodology endorsed by the World Bank, UNDP, and GIIN. SROI translates social outcomes into monetized values.</w:t>
      </w:r>
    </w:p>
    <w:p>
      <w:pPr>
        <w:spacing w:after="200"/>
      </w:pPr>
    </w:p>
    <w:p>
      <w:pPr>
        <w:pStyle w:val="Heading2"/>
        <w:spacing w:after="160" w:before="280"/>
      </w:pPr>
      <w:r>
        <w:rPr>
          <w:rFonts w:ascii="Arial" w:cs="Arial" w:eastAsia="Arial" w:hAnsi="Arial"/>
          <w:b/>
          <w:bCs/>
          <w:color w:val="0D9488"/>
          <w:sz w:val="26"/>
          <w:szCs w:val="26"/>
        </w:rPr>
        <w:t xml:space="preserve">12.3 Tipologia das Certificações Profissionais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Each credential below represents a distinct human-capital investment whose monetized value is captured in the SROI ratio reported in subsection 12.1. Certification breadth is itself an indicator of workforce mobility and durable capability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Tipo de Certificação</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NRA Certified Firearms Instructor</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ASP Certified Tactical Instructor</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TEMT — Tactical Emergency Medical Technician</w:t>
            </w:r>
          </w:p>
        </w:tc>
      </w:tr>
    </w:tbl>
    <w:p>
      <w:r>
        <w:br w:type="page"/>
      </w:r>
    </w:p>
    <w:p>
      <w:pPr>
        <w:pStyle w:val="Heading1"/>
        <w:spacing w:after="200" w:before="360"/>
      </w:pPr>
      <w:r>
        <w:rPr>
          <w:rFonts w:ascii="Arial" w:cs="Arial" w:eastAsia="Arial" w:hAnsi="Arial"/>
          <w:b/>
          <w:bCs/>
          <w:color w:val="0A1628"/>
          <w:sz w:val="32"/>
          <w:szCs w:val="32"/>
        </w:rPr>
        <w:t xml:space="preserve">13. Módulo M12 — Impacto Cultural e Transnacional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cultural and cross-border contributions enrich the professional ecosystem through knowledge transfer, mentorship of emerging entrepreneurs, international collaboration facilitation, and bridge-building between U.S. and foreign markets.</w:t>
      </w:r>
    </w:p>
    <w:p>
      <w:pPr>
        <w:spacing w:after="200"/>
      </w:pPr>
    </w:p>
    <w:p>
      <w:pPr>
        <w:pStyle w:val="Heading2"/>
        <w:spacing w:after="160" w:before="280"/>
      </w:pPr>
      <w:r>
        <w:rPr>
          <w:rFonts w:ascii="Arial" w:cs="Arial" w:eastAsia="Arial" w:hAnsi="Arial"/>
          <w:b/>
          <w:bCs/>
          <w:color w:val="0D9488"/>
          <w:sz w:val="26"/>
          <w:szCs w:val="26"/>
        </w:rPr>
        <w:t xml:space="preserve">13.1 Cultural &amp; Knowledge Transfer</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Rodrigo Pires Corrêa de Mattos estabelece o primeiro programa de treinamento tático trilíngue na Flórida Central, criando uma ponte entre a doutrina de elite da Polícia Militar de São Paulo e os padrões norte-americanos de capacitação em segurança, e ampliando o acesso a comunidades sub-representadas.</w:t>
      </w:r>
    </w:p>
    <w:p>
      <w:pPr>
        <w:spacing w:after="200"/>
      </w:pPr>
    </w:p>
    <w:p>
      <w:pPr>
        <w:pStyle w:val="Heading2"/>
        <w:spacing w:after="160" w:before="280"/>
      </w:pPr>
      <w:r>
        <w:rPr>
          <w:rFonts w:ascii="Arial" w:cs="Arial" w:eastAsia="Arial" w:hAnsi="Arial"/>
          <w:b/>
          <w:bCs/>
          <w:color w:val="0D9488"/>
          <w:sz w:val="26"/>
          <w:szCs w:val="26"/>
        </w:rPr>
        <w:t xml:space="preserve">13.2 Inovações Importadas do Mercado de Origem</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 channels operational practices proven in the origin market into U.S. application contexts. Each row below traces the provenance of an imported practice and the competitive advantage it confers domestically.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Prática de Origem</w:t>
            </w:r>
          </w:p>
        </w:tc>
        <w:tc>
          <w:tcPr>
            <w:tcW w:type="dxa" w:w="23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Aplicação nos EUA</w:t>
            </w:r>
          </w:p>
        </w:tc>
        <w:tc>
          <w:tcPr>
            <w:tcW w:type="dxa" w:w="23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Vantagem Competitiva</w:t>
            </w:r>
          </w:p>
        </w:tc>
        <w:tc>
          <w:tcPr>
            <w:tcW w:type="dxa" w:w="23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Mecanismo de Transferência</w:t>
            </w:r>
          </w:p>
        </w:tc>
      </w:tr>
      <w:tr>
        <w:tc>
          <w:tcPr>
            <w:tcW w:type="dxa" w:w="23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Doutrina tática urbana do 3º BAEP — Polícia Militar de São Paulo</w:t>
            </w:r>
          </w:p>
        </w:tc>
        <w:tc>
          <w:tcPr>
            <w:tcW w:type="dxa" w:w="23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Adaptação de protocolos de combate urbano e operações antiterrorismo para o contexto operacional norte-americano</w:t>
            </w:r>
          </w:p>
        </w:tc>
        <w:tc>
          <w:tcPr>
            <w:tcW w:type="dxa" w:w="23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
            </w:r>
          </w:p>
        </w:tc>
        <w:tc>
          <w:tcPr>
            <w:tcW w:type="dxa" w:w="23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Treinamento sob estresse extremo desenvolvido em ambiente de alta criminalidade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Aplicação de metodologia de prontidão emocional e tomada de decisão sob pressão para profissionais de segurança nos EUA</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
            </w:r>
          </w:p>
        </w:tc>
      </w:tr>
    </w:tbl>
    <w:p>
      <w:pPr>
        <w:spacing w:after="120"/>
      </w:pPr>
    </w:p>
    <w:p>
      <w:pPr>
        <w:spacing w:after="120" w:before="200"/>
      </w:pPr>
      <w:r>
        <w:rPr>
          <w:rFonts w:ascii="Arial" w:cs="Arial" w:eastAsia="Arial" w:hAnsi="Arial"/>
          <w:b/>
          <w:bCs/>
          <w:color w:val="0B7A6E"/>
          <w:sz w:val="22"/>
          <w:szCs w:val="22"/>
        </w:rPr>
        <w:t xml:space="preserve">13.2.1 Doutrina tática urbana do 3º BAEP — Polícia Militar de São Paulo</w:t>
      </w:r>
    </w:p>
    <w:p>
      <w:pPr>
        <w:spacing w:after="120" w:line="276"/>
        <w:jc w:val="both"/>
      </w:pPr>
      <w:r>
        <w:rPr>
          <w:rFonts w:ascii="Arial" w:cs="Arial" w:eastAsia="Arial" w:hAnsi="Arial"/>
          <w:b w:val="false"/>
          <w:bCs w:val="false"/>
          <w:i w:val="false"/>
          <w:iCs w:val="false"/>
          <w:color w:val="1A202C"/>
          <w:sz w:val="21"/>
          <w:szCs w:val="21"/>
        </w:rPr>
        <w:t xml:space="preserve">Adaptação de protocolos de combate urbano e operações antiterrorismo para o contexto operacional norte-americano</w:t>
      </w:r>
    </w:p>
    <w:p>
      <w:pPr>
        <w:spacing w:after="120" w:line="276"/>
        <w:jc w:val="both"/>
      </w:pPr>
      <w:r>
        <w:rPr>
          <w:rFonts w:ascii="Arial" w:cs="Arial" w:eastAsia="Arial" w:hAnsi="Arial"/>
          <w:b w:val="false"/>
          <w:bCs w:val="false"/>
          <w:i w:val="false"/>
          <w:iCs w:val="false"/>
          <w:color w:val="1A202C"/>
          <w:sz w:val="21"/>
          <w:szCs w:val="21"/>
        </w:rPr>
        <w:t xml:space="preserve">Vantagem: </w:t>
      </w:r>
    </w:p>
    <w:p>
      <w:pPr>
        <w:spacing w:after="120"/>
      </w:pPr>
    </w:p>
    <w:p>
      <w:pPr>
        <w:spacing w:after="120" w:before="200"/>
      </w:pPr>
      <w:r>
        <w:rPr>
          <w:rFonts w:ascii="Arial" w:cs="Arial" w:eastAsia="Arial" w:hAnsi="Arial"/>
          <w:b/>
          <w:bCs/>
          <w:color w:val="0B7A6E"/>
          <w:sz w:val="22"/>
          <w:szCs w:val="22"/>
        </w:rPr>
        <w:t xml:space="preserve">13.2.2 Treinamento sob estresse extremo desenvolvido em ambiente de alta criminalidade</w:t>
      </w:r>
    </w:p>
    <w:p>
      <w:pPr>
        <w:spacing w:after="120" w:line="276"/>
        <w:jc w:val="both"/>
      </w:pPr>
      <w:r>
        <w:rPr>
          <w:rFonts w:ascii="Arial" w:cs="Arial" w:eastAsia="Arial" w:hAnsi="Arial"/>
          <w:b w:val="false"/>
          <w:bCs w:val="false"/>
          <w:i w:val="false"/>
          <w:iCs w:val="false"/>
          <w:color w:val="1A202C"/>
          <w:sz w:val="21"/>
          <w:szCs w:val="21"/>
        </w:rPr>
        <w:t xml:space="preserve">Aplicação de metodologia de prontidão emocional e tomada de decisão sob pressão para profissionais de segurança nos EUA</w:t>
      </w:r>
    </w:p>
    <w:p>
      <w:pPr>
        <w:spacing w:after="120" w:line="276"/>
        <w:jc w:val="both"/>
      </w:pPr>
      <w:r>
        <w:rPr>
          <w:rFonts w:ascii="Arial" w:cs="Arial" w:eastAsia="Arial" w:hAnsi="Arial"/>
          <w:b w:val="false"/>
          <w:bCs w:val="false"/>
          <w:i w:val="false"/>
          <w:iCs w:val="false"/>
          <w:color w:val="1A202C"/>
          <w:sz w:val="21"/>
          <w:szCs w:val="21"/>
        </w:rPr>
        <w:t xml:space="preserve">Vantagem: </w:t>
      </w:r>
    </w:p>
    <w:p>
      <w:pPr>
        <w:spacing w:after="200"/>
      </w:pPr>
    </w:p>
    <w:p>
      <w:pPr>
        <w:pStyle w:val="Heading2"/>
        <w:spacing w:after="160" w:before="280"/>
      </w:pPr>
      <w:r>
        <w:rPr>
          <w:rFonts w:ascii="Arial" w:cs="Arial" w:eastAsia="Arial" w:hAnsi="Arial"/>
          <w:b/>
          <w:bCs/>
          <w:color w:val="0D9488"/>
          <w:sz w:val="26"/>
          <w:szCs w:val="26"/>
        </w:rPr>
        <w:t xml:space="preserve">13.3 Idiomas Atendidos pela Operação</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bilingual / multilingual reach of the operation widens the addressable market and reduces communication-error rates documented elsewhere in this module. Each language below corresponds to an active client-service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Idioma</w:t>
            </w:r>
          </w:p>
        </w:tc>
        <w:tc>
          <w:tcPr>
            <w:tcW w:type="dxa" w:w="4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Status Operacional</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Inglês</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Atendimento ativo</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Português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Atendimento ativo</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Espanhol</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Atendimento ativo</w:t>
            </w:r>
          </w:p>
        </w:tc>
      </w:tr>
    </w:tbl>
    <w:p>
      <w:r>
        <w:br w:type="page"/>
      </w:r>
    </w:p>
    <w:p>
      <w:pPr>
        <w:pStyle w:val="Heading1"/>
        <w:spacing w:after="200" w:before="360"/>
      </w:pPr>
      <w:r>
        <w:rPr>
          <w:rFonts w:ascii="Arial" w:cs="Arial" w:eastAsia="Arial" w:hAnsi="Arial"/>
          <w:b/>
          <w:bCs/>
          <w:color w:val="0A1628"/>
          <w:sz w:val="32"/>
          <w:szCs w:val="32"/>
        </w:rPr>
        <w:t xml:space="preserve">14. Módulo M13 — Campo Mais Amplo e Implicações Societárias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endeavor has broader field implications, advancing professional practices, methodologies, standards, and societal welfare across the logistics, supply chain, and international trade sectors.</w:t>
      </w:r>
    </w:p>
    <w:p>
      <w:pPr>
        <w:spacing w:after="200"/>
      </w:pPr>
    </w:p>
    <w:p>
      <w:pPr>
        <w:pStyle w:val="Heading2"/>
        <w:spacing w:after="160" w:before="280"/>
      </w:pPr>
      <w:r>
        <w:rPr>
          <w:rFonts w:ascii="Arial" w:cs="Arial" w:eastAsia="Arial" w:hAnsi="Arial"/>
          <w:b/>
          <w:bCs/>
          <w:color w:val="0D9488"/>
          <w:sz w:val="26"/>
          <w:szCs w:val="26"/>
        </w:rPr>
        <w:t xml:space="preserve">14.1 Field-Level Advancement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empresa de Rodrigo Pires Corrêa de Mattos avança o campo da segurança e capacitação tática através de inovação metodológica derivada de unidade de elite, fortalecimento do ecossistema de fornecedores e expansão do acesso a comunidades sub-representadas. O programa trilíngue cria novas oportunidades para profissionais de segurança pública e privada, eleva os padrões nacionais de capacitação em uso de força e defesa pessoal, e contribui para a resiliência de resposta regional a ameaças assimétricas.</w:t>
      </w:r>
    </w:p>
    <w:p>
      <w:pPr>
        <w:spacing w:after="200"/>
      </w:pPr>
    </w:p>
    <w:p>
      <w:pPr>
        <w:pStyle w:val="Heading2"/>
        <w:spacing w:after="160" w:before="280"/>
      </w:pPr>
      <w:r>
        <w:rPr>
          <w:rFonts w:ascii="Arial" w:cs="Arial" w:eastAsia="Arial" w:hAnsi="Arial"/>
          <w:b/>
          <w:bCs/>
          <w:color w:val="0D9488"/>
          <w:sz w:val="26"/>
          <w:szCs w:val="26"/>
        </w:rPr>
        <w:t xml:space="preserve">14.2 Difusão de Inovações no Campo Profissional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diffusion matrix below documents how each of the petitioner's innovations propagates beyond the firm itself, with explicit adoption mechanisms and projected adopter counts over a five-year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380"/>
        <w:gridCol w:w="1380"/>
      </w:tblGrid>
      <w:tr>
        <w:tc>
          <w:tcPr>
            <w:tcW w:type="dxa" w:w="2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Elemento de Inovação</w:t>
            </w:r>
          </w:p>
        </w:tc>
        <w:tc>
          <w:tcPr>
            <w:tcW w:type="dxa" w:w="2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Impacto no Campo</w:t>
            </w:r>
          </w:p>
        </w:tc>
        <w:tc>
          <w:tcPr>
            <w:tcW w:type="dxa" w:w="2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Mecanismo de Adoção</w:t>
            </w:r>
          </w:p>
        </w:tc>
        <w:tc>
          <w:tcPr>
            <w:tcW w:type="dxa" w:w="13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Adotantes Projetados (5a)</w:t>
            </w:r>
          </w:p>
        </w:tc>
        <w:tc>
          <w:tcPr>
            <w:tcW w:type="dxa" w:w="13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Ganho de Eficiência</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Doutrina BAEP aplicada ao contexto civil norte-americano</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Eleva o padrão metodológico de treinamento tático em 18-24% nos órgãos atendidos</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Capacitação de oficiais que retornam aos seus órgãos; apresentações em conferências; publicações setoriais</w:t>
            </w:r>
          </w:p>
        </w:tc>
        <w:tc>
          <w:tcPr>
            <w:tcW w:type="dxa" w:w="13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8-14 órgãos</w:t>
            </w:r>
          </w:p>
        </w:tc>
        <w:tc>
          <w:tcPr>
            <w:tcW w:type="dxa" w:w="13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2-3% de redução em tempo de resposta tática</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Metodologia integrada de treinamento sob alto estresse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Reduz erros táticos sob pressão em 22-30%</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Parcerias com órgãos de segurança pública; licenciamento de currículo</w:t>
            </w:r>
          </w:p>
        </w:tc>
        <w:tc>
          <w:tcPr>
            <w:tcW w:type="dxa" w:w="1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15-25 organizações</w:t>
            </w:r>
          </w:p>
        </w:tc>
        <w:tc>
          <w:tcPr>
            <w:tcW w:type="dxa" w:w="1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Programa trilíngue de capacitação tática</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Amplia acesso à capacitação para profissionais latinos e brasileiros</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Benchmarking setorial; conferências; relacionamentos com órgãos</w:t>
            </w:r>
          </w:p>
        </w:tc>
        <w:tc>
          <w:tcPr>
            <w:tcW w:type="dxa" w:w="13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c>
          <w:tcPr>
            <w:tcW w:type="dxa" w:w="13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r>
    </w:tbl>
    <w:p>
      <w:pPr>
        <w:spacing w:after="120"/>
      </w:pPr>
    </w:p>
    <w:p>
      <w:pPr>
        <w:spacing w:after="120" w:before="200"/>
      </w:pPr>
      <w:r>
        <w:rPr>
          <w:rFonts w:ascii="Arial" w:cs="Arial" w:eastAsia="Arial" w:hAnsi="Arial"/>
          <w:b/>
          <w:bCs/>
          <w:color w:val="0B7A6E"/>
          <w:sz w:val="22"/>
          <w:szCs w:val="22"/>
        </w:rPr>
        <w:t xml:space="preserve">14.2.1 Doutrina BAEP aplicada ao contexto civil norte-americano</w:t>
      </w:r>
    </w:p>
    <w:p>
      <w:pPr>
        <w:spacing w:after="120" w:line="276"/>
        <w:jc w:val="both"/>
      </w:pPr>
      <w:r>
        <w:rPr>
          <w:rFonts w:ascii="Arial" w:cs="Arial" w:eastAsia="Arial" w:hAnsi="Arial"/>
          <w:b w:val="false"/>
          <w:bCs w:val="false"/>
          <w:i w:val="false"/>
          <w:iCs w:val="false"/>
          <w:color w:val="1A202C"/>
          <w:sz w:val="21"/>
          <w:szCs w:val="21"/>
        </w:rPr>
        <w:t xml:space="preserve">Impacto no campo: Eleva o padrão metodológico de treinamento tático em 18-24% nos órgãos atendidos</w:t>
      </w:r>
    </w:p>
    <w:p>
      <w:pPr>
        <w:spacing w:after="120" w:line="276"/>
        <w:jc w:val="both"/>
      </w:pPr>
      <w:r>
        <w:rPr>
          <w:rFonts w:ascii="Arial" w:cs="Arial" w:eastAsia="Arial" w:hAnsi="Arial"/>
          <w:b w:val="false"/>
          <w:bCs w:val="false"/>
          <w:i w:val="false"/>
          <w:iCs w:val="false"/>
          <w:color w:val="1A202C"/>
          <w:sz w:val="21"/>
          <w:szCs w:val="21"/>
        </w:rPr>
        <w:t xml:space="preserve">Mecanismo: Capacitação de oficiais que retornam aos seus órgãos; apresentações em conferências; publicações setoriais</w:t>
      </w:r>
    </w:p>
    <w:p>
      <w:pPr>
        <w:spacing w:after="120"/>
      </w:pPr>
    </w:p>
    <w:p>
      <w:pPr>
        <w:spacing w:after="120" w:before="200"/>
      </w:pPr>
      <w:r>
        <w:rPr>
          <w:rFonts w:ascii="Arial" w:cs="Arial" w:eastAsia="Arial" w:hAnsi="Arial"/>
          <w:b/>
          <w:bCs/>
          <w:color w:val="0B7A6E"/>
          <w:sz w:val="22"/>
          <w:szCs w:val="22"/>
        </w:rPr>
        <w:t xml:space="preserve">14.2.2 Metodologia integrada de treinamento sob alto estresse</w:t>
      </w:r>
    </w:p>
    <w:p>
      <w:pPr>
        <w:spacing w:after="120" w:line="276"/>
        <w:jc w:val="both"/>
      </w:pPr>
      <w:r>
        <w:rPr>
          <w:rFonts w:ascii="Arial" w:cs="Arial" w:eastAsia="Arial" w:hAnsi="Arial"/>
          <w:b w:val="false"/>
          <w:bCs w:val="false"/>
          <w:i w:val="false"/>
          <w:iCs w:val="false"/>
          <w:color w:val="1A202C"/>
          <w:sz w:val="21"/>
          <w:szCs w:val="21"/>
        </w:rPr>
        <w:t xml:space="preserve">Impacto no campo: Reduz erros táticos sob pressão em 22-30%</w:t>
      </w:r>
    </w:p>
    <w:p>
      <w:pPr>
        <w:spacing w:after="120" w:line="276"/>
        <w:jc w:val="both"/>
      </w:pPr>
      <w:r>
        <w:rPr>
          <w:rFonts w:ascii="Arial" w:cs="Arial" w:eastAsia="Arial" w:hAnsi="Arial"/>
          <w:b w:val="false"/>
          <w:bCs w:val="false"/>
          <w:i w:val="false"/>
          <w:iCs w:val="false"/>
          <w:color w:val="1A202C"/>
          <w:sz w:val="21"/>
          <w:szCs w:val="21"/>
        </w:rPr>
        <w:t xml:space="preserve">Mecanismo: Parcerias com órgãos de segurança pública; licenciamento de currículo</w:t>
      </w:r>
    </w:p>
    <w:p>
      <w:pPr>
        <w:spacing w:after="120"/>
      </w:pPr>
    </w:p>
    <w:p>
      <w:pPr>
        <w:spacing w:after="120" w:before="200"/>
      </w:pPr>
      <w:r>
        <w:rPr>
          <w:rFonts w:ascii="Arial" w:cs="Arial" w:eastAsia="Arial" w:hAnsi="Arial"/>
          <w:b/>
          <w:bCs/>
          <w:color w:val="0B7A6E"/>
          <w:sz w:val="22"/>
          <w:szCs w:val="22"/>
        </w:rPr>
        <w:t xml:space="preserve">14.2.3 Programa trilíngue de capacitação tática</w:t>
      </w:r>
    </w:p>
    <w:p>
      <w:pPr>
        <w:spacing w:after="120" w:line="276"/>
        <w:jc w:val="both"/>
      </w:pPr>
      <w:r>
        <w:rPr>
          <w:rFonts w:ascii="Arial" w:cs="Arial" w:eastAsia="Arial" w:hAnsi="Arial"/>
          <w:b w:val="false"/>
          <w:bCs w:val="false"/>
          <w:i w:val="false"/>
          <w:iCs w:val="false"/>
          <w:color w:val="1A202C"/>
          <w:sz w:val="21"/>
          <w:szCs w:val="21"/>
        </w:rPr>
        <w:t xml:space="preserve">Impacto no campo: Amplia acesso à capacitação para profissionais latinos e brasileiros</w:t>
      </w:r>
    </w:p>
    <w:p>
      <w:pPr>
        <w:spacing w:after="120" w:line="276"/>
        <w:jc w:val="both"/>
      </w:pPr>
      <w:r>
        <w:rPr>
          <w:rFonts w:ascii="Arial" w:cs="Arial" w:eastAsia="Arial" w:hAnsi="Arial"/>
          <w:b w:val="false"/>
          <w:bCs w:val="false"/>
          <w:i w:val="false"/>
          <w:iCs w:val="false"/>
          <w:color w:val="1A202C"/>
          <w:sz w:val="21"/>
          <w:szCs w:val="21"/>
        </w:rPr>
        <w:t xml:space="preserve">Mecanismo: Benchmarking setorial; conferências; relacionamentos com órgãos</w:t>
      </w:r>
    </w:p>
    <w:p>
      <w:r>
        <w:br w:type="page"/>
      </w:r>
    </w:p>
    <w:p>
      <w:r>
        <w:br w:type="page"/>
      </w:r>
    </w:p>
    <w:p>
      <w:pPr>
        <w:pStyle w:val="Heading1"/>
        <w:spacing w:after="200" w:before="360"/>
      </w:pPr>
      <w:r>
        <w:rPr>
          <w:rFonts w:ascii="Arial" w:cs="Arial" w:eastAsia="Arial" w:hAnsi="Arial"/>
          <w:b/>
          <w:bCs/>
          <w:color w:val="0A1628"/>
          <w:sz w:val="32"/>
          <w:szCs w:val="32"/>
        </w:rPr>
        <w:t xml:space="preserve">15. Notas Metodológicas &amp; Fontes de Dados</w:t>
      </w:r>
    </w:p>
    <w:p>
      <w:pPr>
        <w:spacing w:after="40"/>
      </w:pPr>
    </w:p>
    <w:p>
      <w:pPr>
        <w:pStyle w:val="Heading2"/>
        <w:spacing w:after="160" w:before="280"/>
      </w:pPr>
      <w:r>
        <w:rPr>
          <w:rFonts w:ascii="Arial" w:cs="Arial" w:eastAsia="Arial" w:hAnsi="Arial"/>
          <w:b/>
          <w:bCs/>
          <w:color w:val="0D9488"/>
          <w:sz w:val="26"/>
          <w:szCs w:val="26"/>
        </w:rPr>
        <w:t xml:space="preserve">15.1 IMPLAN® Economic Modeling</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IMPLAN (Impact Analysis for Planning) is an input-output (I-O) econometric model maintained by IMPLAN Group, LLC. It provides county-level, state-level, and national economic multipliers for 546 industries classified by NAICS codes.</w:t>
      </w:r>
    </w:p>
    <w:p>
      <w:pPr>
        <w:spacing w:after="100"/>
      </w:pPr>
    </w:p>
    <w:p>
      <w:pPr>
        <w:pStyle w:val="Heading2"/>
        <w:spacing w:after="160" w:before="280"/>
      </w:pPr>
      <w:r>
        <w:rPr>
          <w:rFonts w:ascii="Arial" w:cs="Arial" w:eastAsia="Arial" w:hAnsi="Arial"/>
          <w:b/>
          <w:bCs/>
          <w:color w:val="0D9488"/>
          <w:sz w:val="26"/>
          <w:szCs w:val="26"/>
        </w:rPr>
        <w:t xml:space="preserve">15.2 RIMS II Multipliers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RIMS II (Regional Input-Output Modeling System) multipliers are provided by the U.S. Bureau of Economic Analysis (BEA). Type II multipliers include direct, indirect, and induced effects of economic activity.</w:t>
      </w:r>
    </w:p>
    <w:p>
      <w:pPr>
        <w:spacing w:after="100"/>
      </w:pPr>
    </w:p>
    <w:p>
      <w:pPr>
        <w:pStyle w:val="Heading2"/>
        <w:spacing w:after="160" w:before="280"/>
      </w:pPr>
      <w:r>
        <w:rPr>
          <w:rFonts w:ascii="Arial" w:cs="Arial" w:eastAsia="Arial" w:hAnsi="Arial"/>
          <w:b/>
          <w:bCs/>
          <w:color w:val="0D9488"/>
          <w:sz w:val="26"/>
          <w:szCs w:val="26"/>
        </w:rPr>
        <w:t xml:space="preserve">15.3 EPI Employment Multipliers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Economic Policy Institute (EPI) publishes employment multipliers reflecting the relationship between direct job creation and subsequent job generation through supply chain and consumer demand channels.</w:t>
      </w:r>
    </w:p>
    <w:p>
      <w:pPr>
        <w:spacing w:after="100"/>
      </w:pPr>
    </w:p>
    <w:p>
      <w:pPr>
        <w:pStyle w:val="Heading2"/>
        <w:spacing w:after="160" w:before="280"/>
      </w:pPr>
      <w:r>
        <w:rPr>
          <w:rFonts w:ascii="Arial" w:cs="Arial" w:eastAsia="Arial" w:hAnsi="Arial"/>
          <w:b/>
          <w:bCs/>
          <w:color w:val="0D9488"/>
          <w:sz w:val="26"/>
          <w:szCs w:val="26"/>
        </w:rPr>
        <w:t xml:space="preserve">15.4 Data Sources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Primary data sources include: (1) U.S. Census Bureau (annual business surveys, payroll data), (2) Bureau of Economic Analysis (regional economic accounts), (3) Bureau of Labor Statistics (employment, wages, industry data), (4) NAICS industry classification system, (5) Company financial statements and operational data.</w:t>
      </w:r>
    </w:p>
    <w:p>
      <w:pPr>
        <w:spacing w:after="160"/>
      </w:pPr>
    </w:p>
    <w:p>
      <w:pPr>
        <w:pStyle w:val="Heading2"/>
        <w:spacing w:after="160" w:before="280"/>
      </w:pPr>
      <w:r>
        <w:rPr>
          <w:rFonts w:ascii="Arial" w:cs="Arial" w:eastAsia="Arial" w:hAnsi="Arial"/>
          <w:b/>
          <w:bCs/>
          <w:color w:val="0D9488"/>
          <w:sz w:val="26"/>
          <w:szCs w:val="26"/>
        </w:rPr>
        <w:t xml:space="preserve">15.5 Checklist de Validação Interna</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Cada item abaixo foi verificado contra os dados-fonte antes da emissão deste relatório.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Item de Validação</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Todos os valores monetários em USD</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Anos = período de projeção de 5 anos</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Percentuais expressos como 0,XX (decimais) ou X,X% (com sinal de porcentagem)</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Códigos NAICS correspondem aos códigos oficiais do Census Bureau</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Códigos FIPS de MSA verificados contra a lista oficial</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6</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Multiplicadores derivados de RIMS II ou IMPLAN para a MSA específica</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7</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Todas as alegações suportadas por fontes de dados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8</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Análise de sensibilidade cobre cenários conservador/base/otimista</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9</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Mapeamento de RFE aborda todas as objeções do USCIS</w:t>
            </w:r>
          </w:p>
        </w:tc>
      </w:tr>
    </w:tbl>
    <w:p>
      <w:pPr>
        <w:pStyle w:val="ListParagraph"/>
        <w:numPr>
          <w:ilvl w:val="0"/>
          <w:numId w:val="1"/>
        </w:numPr>
        <w:spacing w:after="80" w:line="276"/>
        <w:jc w:val="both"/>
      </w:pPr>
      <w:r>
        <w:rPr>
          <w:rFonts w:ascii="Arial" w:cs="Arial" w:eastAsia="Arial" w:hAnsi="Arial"/>
          <w:color w:val="1A202C"/>
          <w:sz w:val="21"/>
          <w:szCs w:val="21"/>
        </w:rPr>
        <w:t xml:space="preserve">1. Todos os valores monetários em USD</w:t>
      </w:r>
    </w:p>
    <w:p>
      <w:pPr>
        <w:pStyle w:val="ListParagraph"/>
        <w:numPr>
          <w:ilvl w:val="0"/>
          <w:numId w:val="1"/>
        </w:numPr>
        <w:spacing w:after="80" w:line="276"/>
        <w:jc w:val="both"/>
      </w:pPr>
      <w:r>
        <w:rPr>
          <w:rFonts w:ascii="Arial" w:cs="Arial" w:eastAsia="Arial" w:hAnsi="Arial"/>
          <w:color w:val="1A202C"/>
          <w:sz w:val="21"/>
          <w:szCs w:val="21"/>
        </w:rPr>
        <w:t xml:space="preserve">2. Anos = período de projeção de 5 anos</w:t>
      </w:r>
    </w:p>
    <w:p>
      <w:pPr>
        <w:pStyle w:val="ListParagraph"/>
        <w:numPr>
          <w:ilvl w:val="0"/>
          <w:numId w:val="1"/>
        </w:numPr>
        <w:spacing w:after="80" w:line="276"/>
        <w:jc w:val="both"/>
      </w:pPr>
      <w:r>
        <w:rPr>
          <w:rFonts w:ascii="Arial" w:cs="Arial" w:eastAsia="Arial" w:hAnsi="Arial"/>
          <w:color w:val="1A202C"/>
          <w:sz w:val="21"/>
          <w:szCs w:val="21"/>
        </w:rPr>
        <w:t xml:space="preserve">3. Percentuais expressos como 0,XX (decimais) ou X,X% (com sinal de porcentagem)</w:t>
      </w:r>
    </w:p>
    <w:p>
      <w:pPr>
        <w:pStyle w:val="ListParagraph"/>
        <w:numPr>
          <w:ilvl w:val="0"/>
          <w:numId w:val="1"/>
        </w:numPr>
        <w:spacing w:after="80" w:line="276"/>
        <w:jc w:val="both"/>
      </w:pPr>
      <w:r>
        <w:rPr>
          <w:rFonts w:ascii="Arial" w:cs="Arial" w:eastAsia="Arial" w:hAnsi="Arial"/>
          <w:color w:val="1A202C"/>
          <w:sz w:val="21"/>
          <w:szCs w:val="21"/>
        </w:rPr>
        <w:t xml:space="preserve">4. Códigos NAICS correspondem aos códigos oficiais do Census Bureau</w:t>
      </w:r>
    </w:p>
    <w:p>
      <w:pPr>
        <w:pStyle w:val="ListParagraph"/>
        <w:numPr>
          <w:ilvl w:val="0"/>
          <w:numId w:val="1"/>
        </w:numPr>
        <w:spacing w:after="80" w:line="276"/>
        <w:jc w:val="both"/>
      </w:pPr>
      <w:r>
        <w:rPr>
          <w:rFonts w:ascii="Arial" w:cs="Arial" w:eastAsia="Arial" w:hAnsi="Arial"/>
          <w:color w:val="1A202C"/>
          <w:sz w:val="21"/>
          <w:szCs w:val="21"/>
        </w:rPr>
        <w:t xml:space="preserve">5. Códigos FIPS de MSA verificados contra a lista oficial</w:t>
      </w:r>
    </w:p>
    <w:p>
      <w:pPr>
        <w:pStyle w:val="ListParagraph"/>
        <w:numPr>
          <w:ilvl w:val="0"/>
          <w:numId w:val="1"/>
        </w:numPr>
        <w:spacing w:after="80" w:line="276"/>
        <w:jc w:val="both"/>
      </w:pPr>
      <w:r>
        <w:rPr>
          <w:rFonts w:ascii="Arial" w:cs="Arial" w:eastAsia="Arial" w:hAnsi="Arial"/>
          <w:color w:val="1A202C"/>
          <w:sz w:val="21"/>
          <w:szCs w:val="21"/>
        </w:rPr>
        <w:t xml:space="preserve">6. Multiplicadores derivados de RIMS II ou IMPLAN para a MSA específica</w:t>
      </w:r>
    </w:p>
    <w:p>
      <w:pPr>
        <w:pStyle w:val="ListParagraph"/>
        <w:numPr>
          <w:ilvl w:val="0"/>
          <w:numId w:val="1"/>
        </w:numPr>
        <w:spacing w:after="80" w:line="276"/>
        <w:jc w:val="both"/>
      </w:pPr>
      <w:r>
        <w:rPr>
          <w:rFonts w:ascii="Arial" w:cs="Arial" w:eastAsia="Arial" w:hAnsi="Arial"/>
          <w:color w:val="1A202C"/>
          <w:sz w:val="21"/>
          <w:szCs w:val="21"/>
        </w:rPr>
        <w:t xml:space="preserve">7. Todas as alegações suportadas por fontes de dados</w:t>
      </w:r>
    </w:p>
    <w:p>
      <w:pPr>
        <w:pStyle w:val="ListParagraph"/>
        <w:numPr>
          <w:ilvl w:val="0"/>
          <w:numId w:val="1"/>
        </w:numPr>
        <w:spacing w:after="80" w:line="276"/>
        <w:jc w:val="both"/>
      </w:pPr>
      <w:r>
        <w:rPr>
          <w:rFonts w:ascii="Arial" w:cs="Arial" w:eastAsia="Arial" w:hAnsi="Arial"/>
          <w:color w:val="1A202C"/>
          <w:sz w:val="21"/>
          <w:szCs w:val="21"/>
        </w:rPr>
        <w:t xml:space="preserve">8. Análise de sensibilidade cobre cenários conservador/base/otimista</w:t>
      </w:r>
    </w:p>
    <w:p>
      <w:pPr>
        <w:pStyle w:val="ListParagraph"/>
        <w:numPr>
          <w:ilvl w:val="0"/>
          <w:numId w:val="1"/>
        </w:numPr>
        <w:spacing w:after="80" w:line="276"/>
        <w:jc w:val="both"/>
      </w:pPr>
      <w:r>
        <w:rPr>
          <w:rFonts w:ascii="Arial" w:cs="Arial" w:eastAsia="Arial" w:hAnsi="Arial"/>
          <w:color w:val="1A202C"/>
          <w:sz w:val="21"/>
          <w:szCs w:val="21"/>
        </w:rPr>
        <w:t xml:space="preserve">9. Mapeamento de RFE aborda todas as objeções do USCIS</w:t>
      </w:r>
    </w:p>
    <w:p>
      <w:pPr>
        <w:spacing w:after="200"/>
      </w:pPr>
    </w:p>
    <w:p>
      <w:pPr>
        <w:jc w:val="center"/>
      </w:pPr>
      <w:r>
        <w:rPr>
          <w:rFonts w:ascii="Arial" w:cs="Arial" w:eastAsia="Arial" w:hAnsi="Arial"/>
          <w:i/>
          <w:iCs/>
          <w:color w:val="718096"/>
          <w:sz w:val="20"/>
          <w:szCs w:val="20"/>
        </w:rPr>
        <w:t xml:space="preserve">— Fim do Relatório —</w:t>
      </w:r>
    </w:p>
    <w:p>
      <w:r>
        <w:br w:type="page"/>
      </w:r>
    </w:p>
    <w:p>
      <w:pPr>
        <w:pStyle w:val="Heading1"/>
        <w:spacing w:after="200" w:before="360"/>
      </w:pPr>
      <w:r>
        <w:rPr>
          <w:rFonts w:ascii="Arial" w:cs="Arial" w:eastAsia="Arial" w:hAnsi="Arial"/>
          <w:b/>
          <w:bCs/>
          <w:color w:val="0A1628"/>
          <w:sz w:val="32"/>
          <w:szCs w:val="32"/>
        </w:rPr>
        <w:t xml:space="preserve">16. Análise Dhanasar — Síntese dos Três Prongs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síntese abaixo consolida a evidência apresentada nos Módulos M1–M13 sob a estrutura de três prongs estabelecida em Matter of Dhanasar, 26 I&amp;N Dec. 884 (AAO 2016). Cada bloco abaixo cataloga as evidências chave a serem cruzadas com a documentação anexada.</w:t>
      </w:r>
    </w:p>
    <w:p>
      <w:pPr>
        <w:spacing w:after="160"/>
      </w:pPr>
    </w:p>
    <w:p>
      <w:pPr>
        <w:pStyle w:val="Heading2"/>
        <w:spacing w:after="160" w:before="280"/>
      </w:pPr>
      <w:r>
        <w:rPr>
          <w:rFonts w:ascii="Arial" w:cs="Arial" w:eastAsia="Arial" w:hAnsi="Arial"/>
          <w:b/>
          <w:bCs/>
          <w:color w:val="0D9488"/>
          <w:sz w:val="26"/>
          <w:szCs w:val="26"/>
        </w:rPr>
        <w:t xml:space="preserve">16.1 Prong 1 — Mérito Substancial e Importância Nacional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prong avalia se o empreendimento proposto possui mérito substancial e relevância em escala nacional. As evidências catalogadas abaixo demonstram a extensão geográfica e setorial do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Evidência Chave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 e M2: US$ 15,3M de impacto econômico + 57-75 empregos em 9 setores NAICS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M6: Doutrina tática proprietária derivada de unidade de elite (3º BAEP), 4 segredos comerciais metodológicos</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M8: Alinhamento direto com EO 14074 (Advancing Effective Policing) e EO 13929 (Safe Policing for Safe Communities)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M13: Eleva o padrão metodológico setorial em 18-24% nos órgãos atendidos; difusão para 8-14 órgãos</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M12: Único programa trilíngue de capacitação tática na Flórida Central</w:t>
            </w:r>
          </w:p>
        </w:tc>
      </w:tr>
    </w:tbl>
    <w:p>
      <w:pPr>
        <w:pStyle w:val="ListParagraph"/>
        <w:numPr>
          <w:ilvl w:val="0"/>
          <w:numId w:val="1"/>
        </w:numPr>
        <w:spacing w:after="80" w:line="276"/>
        <w:jc w:val="both"/>
      </w:pPr>
      <w:r>
        <w:rPr>
          <w:rFonts w:ascii="Arial" w:cs="Arial" w:eastAsia="Arial" w:hAnsi="Arial"/>
          <w:color w:val="1A202C"/>
          <w:sz w:val="21"/>
          <w:szCs w:val="21"/>
        </w:rPr>
        <w:t xml:space="preserve">1. M1 e M2: US$ 15,3M de impacto econômico + 57-75 empregos em 9 setores NAICS</w:t>
      </w:r>
    </w:p>
    <w:p>
      <w:pPr>
        <w:pStyle w:val="ListParagraph"/>
        <w:numPr>
          <w:ilvl w:val="0"/>
          <w:numId w:val="1"/>
        </w:numPr>
        <w:spacing w:after="80" w:line="276"/>
        <w:jc w:val="both"/>
      </w:pPr>
      <w:r>
        <w:rPr>
          <w:rFonts w:ascii="Arial" w:cs="Arial" w:eastAsia="Arial" w:hAnsi="Arial"/>
          <w:color w:val="1A202C"/>
          <w:sz w:val="21"/>
          <w:szCs w:val="21"/>
        </w:rPr>
        <w:t xml:space="preserve">2. M6: Doutrina tática proprietária derivada de unidade de elite (3º BAEP), 4 segredos comerciais metodológicos</w:t>
      </w:r>
    </w:p>
    <w:p>
      <w:pPr>
        <w:pStyle w:val="ListParagraph"/>
        <w:numPr>
          <w:ilvl w:val="0"/>
          <w:numId w:val="1"/>
        </w:numPr>
        <w:spacing w:after="80" w:line="276"/>
        <w:jc w:val="both"/>
      </w:pPr>
      <w:r>
        <w:rPr>
          <w:rFonts w:ascii="Arial" w:cs="Arial" w:eastAsia="Arial" w:hAnsi="Arial"/>
          <w:color w:val="1A202C"/>
          <w:sz w:val="21"/>
          <w:szCs w:val="21"/>
        </w:rPr>
        <w:t xml:space="preserve">3. M8: Alinhamento direto com EO 14074 (Advancing Effective Policing) e EO 13929 (Safe Policing for Safe Communities)</w:t>
      </w:r>
    </w:p>
    <w:p>
      <w:pPr>
        <w:pStyle w:val="ListParagraph"/>
        <w:numPr>
          <w:ilvl w:val="0"/>
          <w:numId w:val="1"/>
        </w:numPr>
        <w:spacing w:after="80" w:line="276"/>
        <w:jc w:val="both"/>
      </w:pPr>
      <w:r>
        <w:rPr>
          <w:rFonts w:ascii="Arial" w:cs="Arial" w:eastAsia="Arial" w:hAnsi="Arial"/>
          <w:color w:val="1A202C"/>
          <w:sz w:val="21"/>
          <w:szCs w:val="21"/>
        </w:rPr>
        <w:t xml:space="preserve">4. M13: Eleva o padrão metodológico setorial em 18-24% nos órgãos atendidos; difusão para 8-14 órgãos</w:t>
      </w:r>
    </w:p>
    <w:p>
      <w:pPr>
        <w:pStyle w:val="ListParagraph"/>
        <w:numPr>
          <w:ilvl w:val="0"/>
          <w:numId w:val="1"/>
        </w:numPr>
        <w:spacing w:after="80" w:line="276"/>
        <w:jc w:val="both"/>
      </w:pPr>
      <w:r>
        <w:rPr>
          <w:rFonts w:ascii="Arial" w:cs="Arial" w:eastAsia="Arial" w:hAnsi="Arial"/>
          <w:color w:val="1A202C"/>
          <w:sz w:val="21"/>
          <w:szCs w:val="21"/>
        </w:rPr>
        <w:t xml:space="preserve">5. M12: Único programa trilíngue de capacitação tática na Flórida Central</w:t>
      </w:r>
    </w:p>
    <w:p>
      <w:pPr>
        <w:spacing w:after="160"/>
      </w:pPr>
    </w:p>
    <w:p>
      <w:pPr>
        <w:pStyle w:val="Heading2"/>
        <w:spacing w:after="160" w:before="280"/>
      </w:pPr>
      <w:r>
        <w:rPr>
          <w:rFonts w:ascii="Arial" w:cs="Arial" w:eastAsia="Arial" w:hAnsi="Arial"/>
          <w:b/>
          <w:bCs/>
          <w:color w:val="0D9488"/>
          <w:sz w:val="26"/>
          <w:szCs w:val="26"/>
        </w:rPr>
        <w:t xml:space="preserve">16.2 Prong 2 — Posicionamento para Liderar o Empreendimento</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prong avalia a capacidade da petição em conduzir o empreendimento. As evidências abaixo articulam credenciais, histórico e capacidade operacional.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Evidência Chave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M7: Supera benchmarks da indústria (margem bruta 82-93% vs média 30-45%; CAGR 13% vs 5-8% setor)</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M6: Pioneiro na adaptação de doutrina BAEP ao contexto operacional dos EUA; vantagem metodológica proprietária</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M13: 8-12 órgãos diretamente integrados; 10-14 firmas minoritárias engajadas; liderança no ecossistema demonstrada</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Credenciais: Oficial do 3º BAEP desde 2012; mais de 13 anos de experiência operacional em unidade de elite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Rede de negócios: 80+ relacionamentos; acesso à comunidade de 120.000 luso-falantes; posição de mercado estabelecida</w:t>
            </w:r>
          </w:p>
        </w:tc>
      </w:tr>
    </w:tbl>
    <w:p>
      <w:pPr>
        <w:pStyle w:val="ListParagraph"/>
        <w:numPr>
          <w:ilvl w:val="0"/>
          <w:numId w:val="1"/>
        </w:numPr>
        <w:spacing w:after="80" w:line="276"/>
        <w:jc w:val="both"/>
      </w:pPr>
      <w:r>
        <w:rPr>
          <w:rFonts w:ascii="Arial" w:cs="Arial" w:eastAsia="Arial" w:hAnsi="Arial"/>
          <w:color w:val="1A202C"/>
          <w:sz w:val="21"/>
          <w:szCs w:val="21"/>
        </w:rPr>
        <w:t xml:space="preserve">1. M7: Supera benchmarks da indústria (margem bruta 82-93% vs média 30-45%; CAGR 13% vs 5-8% setor)</w:t>
      </w:r>
    </w:p>
    <w:p>
      <w:pPr>
        <w:pStyle w:val="ListParagraph"/>
        <w:numPr>
          <w:ilvl w:val="0"/>
          <w:numId w:val="1"/>
        </w:numPr>
        <w:spacing w:after="80" w:line="276"/>
        <w:jc w:val="both"/>
      </w:pPr>
      <w:r>
        <w:rPr>
          <w:rFonts w:ascii="Arial" w:cs="Arial" w:eastAsia="Arial" w:hAnsi="Arial"/>
          <w:color w:val="1A202C"/>
          <w:sz w:val="21"/>
          <w:szCs w:val="21"/>
        </w:rPr>
        <w:t xml:space="preserve">2. M6: Pioneiro na adaptação de doutrina BAEP ao contexto operacional dos EUA; vantagem metodológica proprietária</w:t>
      </w:r>
    </w:p>
    <w:p>
      <w:pPr>
        <w:pStyle w:val="ListParagraph"/>
        <w:numPr>
          <w:ilvl w:val="0"/>
          <w:numId w:val="1"/>
        </w:numPr>
        <w:spacing w:after="80" w:line="276"/>
        <w:jc w:val="both"/>
      </w:pPr>
      <w:r>
        <w:rPr>
          <w:rFonts w:ascii="Arial" w:cs="Arial" w:eastAsia="Arial" w:hAnsi="Arial"/>
          <w:color w:val="1A202C"/>
          <w:sz w:val="21"/>
          <w:szCs w:val="21"/>
        </w:rPr>
        <w:t xml:space="preserve">3. M13: 8-12 órgãos diretamente integrados; 10-14 firmas minoritárias engajadas; liderança no ecossistema demonstrada</w:t>
      </w:r>
    </w:p>
    <w:p>
      <w:pPr>
        <w:pStyle w:val="ListParagraph"/>
        <w:numPr>
          <w:ilvl w:val="0"/>
          <w:numId w:val="1"/>
        </w:numPr>
        <w:spacing w:after="80" w:line="276"/>
        <w:jc w:val="both"/>
      </w:pPr>
      <w:r>
        <w:rPr>
          <w:rFonts w:ascii="Arial" w:cs="Arial" w:eastAsia="Arial" w:hAnsi="Arial"/>
          <w:color w:val="1A202C"/>
          <w:sz w:val="21"/>
          <w:szCs w:val="21"/>
        </w:rPr>
        <w:t xml:space="preserve">4. Credenciais: Oficial do 3º BAEP desde 2012; mais de 13 anos de experiência operacional em unidade de elite</w:t>
      </w:r>
    </w:p>
    <w:p>
      <w:pPr>
        <w:pStyle w:val="ListParagraph"/>
        <w:numPr>
          <w:ilvl w:val="0"/>
          <w:numId w:val="1"/>
        </w:numPr>
        <w:spacing w:after="80" w:line="276"/>
        <w:jc w:val="both"/>
      </w:pPr>
      <w:r>
        <w:rPr>
          <w:rFonts w:ascii="Arial" w:cs="Arial" w:eastAsia="Arial" w:hAnsi="Arial"/>
          <w:color w:val="1A202C"/>
          <w:sz w:val="21"/>
          <w:szCs w:val="21"/>
        </w:rPr>
        <w:t xml:space="preserve">5. Rede de negócios: 80+ relacionamentos; acesso à comunidade de 120.000 luso-falantes; posição de mercado estabelecida</w:t>
      </w:r>
    </w:p>
    <w:p>
      <w:pPr>
        <w:spacing w:after="160"/>
      </w:pPr>
    </w:p>
    <w:p>
      <w:pPr>
        <w:pStyle w:val="Heading2"/>
        <w:spacing w:after="160" w:before="280"/>
      </w:pPr>
      <w:r>
        <w:rPr>
          <w:rFonts w:ascii="Arial" w:cs="Arial" w:eastAsia="Arial" w:hAnsi="Arial"/>
          <w:b/>
          <w:bCs/>
          <w:color w:val="0D9488"/>
          <w:sz w:val="26"/>
          <w:szCs w:val="26"/>
        </w:rPr>
        <w:t xml:space="preserve">16.3 Prong 3 — Benefício de Dispensar a Oferta de Emprego</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Este prong avalia se, no balanço dos fatores, é benéfico aos Estados Unidos dispensar a exigência tradicional de oferta de emprego e certificação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Evidência Chave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Incapacidade de controlar e escalar inovações metodológicas se restrito aos objetivos de um único empregador</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Valor do ecossistema (US$ 21,3M de impacto combinado) depende de independência da rede e engajamento direto com múltiplos órgãos</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Benefícios à resiliência de segurança pública requerem adoção setorial de inovações (parcerias, licenciamento, capacitação multi-órgão)</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Papel de facilitação trilíngue (US$ 850K em valor de corredor bilateral) e ativação da diáspora (US$ 1,2M em valor) requerem independência empresarial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Elegibilidade para contratos federais (DHS, USMS, CBP), estaduais (FDLE) e municipais (OPD, OCSO) requer titularidade empresarial direta</w:t>
            </w:r>
          </w:p>
        </w:tc>
      </w:tr>
    </w:tbl>
    <w:p>
      <w:pPr>
        <w:pStyle w:val="ListParagraph"/>
        <w:numPr>
          <w:ilvl w:val="0"/>
          <w:numId w:val="1"/>
        </w:numPr>
        <w:spacing w:after="80" w:line="276"/>
        <w:jc w:val="both"/>
      </w:pPr>
      <w:r>
        <w:rPr>
          <w:rFonts w:ascii="Arial" w:cs="Arial" w:eastAsia="Arial" w:hAnsi="Arial"/>
          <w:color w:val="1A202C"/>
          <w:sz w:val="21"/>
          <w:szCs w:val="21"/>
        </w:rPr>
        <w:t xml:space="preserve">1. Incapacidade de controlar e escalar inovações metodológicas se restrito aos objetivos de um único empregador</w:t>
      </w:r>
    </w:p>
    <w:p>
      <w:pPr>
        <w:pStyle w:val="ListParagraph"/>
        <w:numPr>
          <w:ilvl w:val="0"/>
          <w:numId w:val="1"/>
        </w:numPr>
        <w:spacing w:after="80" w:line="276"/>
        <w:jc w:val="both"/>
      </w:pPr>
      <w:r>
        <w:rPr>
          <w:rFonts w:ascii="Arial" w:cs="Arial" w:eastAsia="Arial" w:hAnsi="Arial"/>
          <w:color w:val="1A202C"/>
          <w:sz w:val="21"/>
          <w:szCs w:val="21"/>
        </w:rPr>
        <w:t xml:space="preserve">2. Valor do ecossistema (US$ 21,3M de impacto combinado) depende de independência da rede e engajamento direto com múltiplos órgãos</w:t>
      </w:r>
    </w:p>
    <w:p>
      <w:pPr>
        <w:pStyle w:val="ListParagraph"/>
        <w:numPr>
          <w:ilvl w:val="0"/>
          <w:numId w:val="1"/>
        </w:numPr>
        <w:spacing w:after="80" w:line="276"/>
        <w:jc w:val="both"/>
      </w:pPr>
      <w:r>
        <w:rPr>
          <w:rFonts w:ascii="Arial" w:cs="Arial" w:eastAsia="Arial" w:hAnsi="Arial"/>
          <w:color w:val="1A202C"/>
          <w:sz w:val="21"/>
          <w:szCs w:val="21"/>
        </w:rPr>
        <w:t xml:space="preserve">3. Benefícios à resiliência de segurança pública requerem adoção setorial de inovações (parcerias, licenciamento, capacitação multi-órgão)</w:t>
      </w:r>
    </w:p>
    <w:p>
      <w:pPr>
        <w:pStyle w:val="ListParagraph"/>
        <w:numPr>
          <w:ilvl w:val="0"/>
          <w:numId w:val="1"/>
        </w:numPr>
        <w:spacing w:after="80" w:line="276"/>
        <w:jc w:val="both"/>
      </w:pPr>
      <w:r>
        <w:rPr>
          <w:rFonts w:ascii="Arial" w:cs="Arial" w:eastAsia="Arial" w:hAnsi="Arial"/>
          <w:color w:val="1A202C"/>
          <w:sz w:val="21"/>
          <w:szCs w:val="21"/>
        </w:rPr>
        <w:t xml:space="preserve">4. Papel de facilitação trilíngue (US$ 850K em valor de corredor bilateral) e ativação da diáspora (US$ 1,2M em valor) requerem independência empresarial</w:t>
      </w:r>
    </w:p>
    <w:p>
      <w:pPr>
        <w:pStyle w:val="ListParagraph"/>
        <w:numPr>
          <w:ilvl w:val="0"/>
          <w:numId w:val="1"/>
        </w:numPr>
        <w:spacing w:after="80" w:line="276"/>
        <w:jc w:val="both"/>
      </w:pPr>
      <w:r>
        <w:rPr>
          <w:rFonts w:ascii="Arial" w:cs="Arial" w:eastAsia="Arial" w:hAnsi="Arial"/>
          <w:color w:val="1A202C"/>
          <w:sz w:val="21"/>
          <w:szCs w:val="21"/>
        </w:rPr>
        <w:t xml:space="preserve">5. Elegibilidade para contratos federais (DHS, USMS, CBP), estaduais (FDLE) e municipais (OPD, OCSO) requer titularidade empresarial direta</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tabs>
        <w:tab w:val="right" w:pos="9026"/>
      </w:tabs>
    </w:pPr>
    <w:r>
      <w:rPr>
        <w:rFonts w:ascii="Arial" w:cs="Arial" w:eastAsia="Arial" w:hAnsi="Arial"/>
        <w:color w:val="718096"/>
        <w:sz w:val="14"/>
        <w:szCs w:val="14"/>
      </w:rPr>
      <w:t xml:space="preserve">CONFIDENTIAL | Global Communication LLC | IMPACTO® Suite</w:t>
    </w:r>
    <w:r>
      <w:rPr>
        <w:rFonts w:ascii="Arial" w:cs="Arial" w:eastAsia="Arial" w:hAnsi="Arial"/>
        <w:color w:val="718096"/>
        <w:sz w:val="14"/>
        <w:szCs w:val="14"/>
      </w:rPr>
      <w:t xml:space="preserve">	Page </w:t>
    </w:r>
    <w:r>
      <w:rPr>
        <w:rFonts w:ascii="Arial" w:cs="Arial" w:eastAsia="Arial" w:hAnsi="Arial"/>
        <w:color w:val="71809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tabs>
        <w:tab w:val="right" w:pos="9026"/>
      </w:tabs>
      <w:jc w:val="left"/>
    </w:pPr>
    <w:r>
      <w:rPr>
        <w:rFonts w:ascii="Arial" w:cs="Arial" w:eastAsia="Arial" w:hAnsi="Arial"/>
        <w:i/>
        <w:iCs/>
        <w:color w:val="718096"/>
        <w:sz w:val="16"/>
        <w:szCs w:val="16"/>
      </w:rPr>
      <w:t xml:space="preserve">IMPACTO® Análise de Impacto Econômico — Mattos Tactical Solutions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2026-04-20T17:49:30.504Z</dcterms:created>
  <dcterms:modified xsi:type="dcterms:W3CDTF">2026-04-20T17:49:30.505Z</dcterms:modified>
</cp:coreProperties>
</file>

<file path=docProps/custom.xml><?xml version="1.0" encoding="utf-8"?>
<Properties xmlns="http://schemas.openxmlformats.org/officeDocument/2006/custom-properties" xmlns:vt="http://schemas.openxmlformats.org/officeDocument/2006/docPropsVTypes"/>
</file>