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pBdr>
          <w:bottom w:val="single" w:color="0D9488" w:sz="12" w:space="1"/>
        </w:pBdr>
        <w:spacing w:after="400"/>
      </w:pPr>
    </w:p>
    <w:p>
      <w:pPr>
        <w:spacing w:after="200"/>
      </w:pPr>
    </w:p>
    <w:p>
      <w:pPr>
        <w:spacing w:after="80"/>
        <w:jc w:val="left"/>
      </w:pPr>
      <w:r>
        <w:rPr>
          <w:rFonts w:ascii="Arial" w:cs="Arial" w:eastAsia="Arial" w:hAnsi="Arial"/>
          <w:b/>
          <w:bCs/>
          <w:color w:val="0A1628"/>
          <w:sz w:val="56"/>
          <w:szCs w:val="56"/>
        </w:rPr>
        <w:t xml:space="preserve">IMPACTO®</w:t>
      </w:r>
    </w:p>
    <w:p>
      <w:pPr>
        <w:spacing w:after="40"/>
        <w:jc w:val="left"/>
      </w:pPr>
      <w:r>
        <w:rPr>
          <w:rFonts w:ascii="Arial" w:cs="Arial" w:eastAsia="Arial" w:hAnsi="Arial"/>
          <w:color w:val="0D9488"/>
          <w:sz w:val="28"/>
          <w:szCs w:val="28"/>
        </w:rPr>
        <w:t xml:space="preserve">Suite de Inteligência de Impacto Econômico</w:t>
      </w:r>
    </w:p>
    <w:p>
      <w:pPr>
        <w:spacing w:after="200"/>
        <w:jc w:val="left"/>
      </w:pPr>
      <w:r>
        <w:rPr>
          <w:rFonts w:ascii="Arial" w:cs="Arial" w:eastAsia="Arial" w:hAnsi="Arial"/>
          <w:b/>
          <w:bCs/>
          <w:color w:val="D4A843"/>
          <w:sz w:val="22"/>
          <w:szCs w:val="22"/>
        </w:rPr>
        <w:t xml:space="preserve">Nível Empresarial — Análise Completa de 13 Módulos</w:t>
      </w:r>
    </w:p>
    <w:p>
      <w:pPr>
        <w:pBdr>
          <w:bottom w:val="single" w:color="E2E8F0" w:sz="4" w:space="1"/>
        </w:pBdr>
        <w:spacing w:after="300"/>
      </w:pPr>
    </w:p>
    <w:p>
      <w:pPr>
        <w:spacing w:after="100"/>
      </w:pPr>
    </w:p>
    <w:p>
      <w:pPr>
        <w:spacing w:after="80"/>
      </w:pPr>
      <w:r>
        <w:rPr>
          <w:rFonts w:ascii="Arial" w:cs="Arial" w:eastAsia="Arial" w:hAnsi="Arial"/>
          <w:b/>
          <w:bCs/>
          <w:color w:val="0A1628"/>
          <w:sz w:val="24"/>
          <w:szCs w:val="24"/>
        </w:rPr>
        <w:t xml:space="preserve">ANÁLISE ABRANGENTE DE IMPACTO ECONÔMICO</w:t>
      </w:r>
    </w:p>
    <w:p>
      <w:pPr>
        <w:spacing w:after="60"/>
      </w:pPr>
      <w:r>
        <w:rPr>
          <w:rFonts w:ascii="Arial" w:cs="Arial" w:eastAsia="Arial" w:hAnsi="Arial"/>
          <w:color w:val="4A5568"/>
          <w:sz w:val="20"/>
          <w:szCs w:val="20"/>
        </w:rPr>
        <w:t xml:space="preserve">Em Suporte ao Formulário I-140, Petição de Imigração para Trabalhador Estrangeiro</w:t>
      </w:r>
    </w:p>
    <w:p>
      <w:pPr>
        <w:spacing w:after="60"/>
      </w:pPr>
      <w:r>
        <w:rPr>
          <w:rFonts w:ascii="Arial" w:cs="Arial" w:eastAsia="Arial" w:hAnsi="Arial"/>
          <w:color w:val="4A5568"/>
          <w:sz w:val="20"/>
          <w:szCs w:val="20"/>
        </w:rPr>
        <w:t xml:space="preserve">National Interest Waiver (EB-2 NIW) — 8 CFR § 204.5(k)(4)(ii)</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b/>
                <w:bCs/>
                <w:color w:val="718096"/>
                <w:sz w:val="19"/>
                <w:szCs w:val="19"/>
              </w:rPr>
              <w:t xml:space="preserve">Peticionário:</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1A202C"/>
                <w:sz w:val="19"/>
                <w:szCs w:val="19"/>
              </w:rPr>
              <w:t xml:space="preserve">Rodrigo Pires Corrêa de Mattos</w:t>
            </w:r>
          </w:p>
        </w:tc>
      </w:tr>
      <w:tr>
        <w:tc>
          <w:tcPr>
            <w:tcW w:type="dxa" w:w="28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b/>
                <w:bCs/>
                <w:color w:val="718096"/>
                <w:sz w:val="19"/>
                <w:szCs w:val="19"/>
              </w:rPr>
              <w:t xml:space="preserve">Empresa:</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1A202C"/>
                <w:sz w:val="19"/>
                <w:szCs w:val="19"/>
              </w:rPr>
              <w:t xml:space="preserve">Mattos Tactical Solutions LLC</w:t>
            </w:r>
          </w:p>
        </w:tc>
      </w:tr>
      <w:tr>
        <w:tc>
          <w:tcPr>
            <w:tcW w:type="dxa" w:w="28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b/>
                <w:bCs/>
                <w:color w:val="718096"/>
                <w:sz w:val="19"/>
                <w:szCs w:val="19"/>
              </w:rPr>
              <w:t xml:space="preserve">Entidade Responsável:</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1A202C"/>
                <w:sz w:val="19"/>
                <w:szCs w:val="19"/>
              </w:rPr>
              <w:t xml:space="preserve">N/A</w:t>
            </w:r>
          </w:p>
        </w:tc>
      </w:tr>
      <w:tr>
        <w:tc>
          <w:tcPr>
            <w:tcW w:type="dxa" w:w="28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b/>
                <w:bCs/>
                <w:color w:val="718096"/>
                <w:sz w:val="19"/>
                <w:szCs w:val="19"/>
              </w:rPr>
              <w:t xml:space="preserve">Setor:</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1A202C"/>
                <w:sz w:val="19"/>
                <w:szCs w:val="19"/>
              </w:rPr>
              <w:t xml:space="preserve">611699</w:t>
            </w:r>
          </w:p>
        </w:tc>
      </w:tr>
      <w:tr>
        <w:tc>
          <w:tcPr>
            <w:tcW w:type="dxa" w:w="28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b/>
                <w:bCs/>
                <w:color w:val="718096"/>
                <w:sz w:val="19"/>
                <w:szCs w:val="19"/>
              </w:rPr>
              <w:t xml:space="preserve">Empreendimento:</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1A202C"/>
                <w:sz w:val="19"/>
                <w:szCs w:val="19"/>
              </w:rPr>
              <w:t xml:space="preserve">Treinamento Tático Avançado e Serviços Especializados de Segurança</w:t>
            </w:r>
          </w:p>
        </w:tc>
      </w:tr>
      <w:tr>
        <w:tc>
          <w:tcPr>
            <w:tcW w:type="dxa" w:w="28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b/>
                <w:bCs/>
                <w:color w:val="718096"/>
                <w:sz w:val="19"/>
                <w:szCs w:val="19"/>
              </w:rPr>
              <w:t xml:space="preserve">Região de Impacto:</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1A202C"/>
                <w:sz w:val="19"/>
                <w:szCs w:val="19"/>
              </w:rPr>
              <w:t xml:space="preserve">Orlando-Kissimmee-Sanford</w:t>
            </w:r>
          </w:p>
        </w:tc>
      </w:tr>
      <w:tr>
        <w:tc>
          <w:tcPr>
            <w:tcW w:type="dxa" w:w="28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b/>
                <w:bCs/>
                <w:color w:val="718096"/>
                <w:sz w:val="19"/>
                <w:szCs w:val="19"/>
              </w:rPr>
              <w:t xml:space="preserve">Número de Recebimento:</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1A202C"/>
                <w:sz w:val="19"/>
                <w:szCs w:val="19"/>
              </w:rPr>
              <w:t xml:space="preserve">TSCI140TSCI14000037754463</w:t>
            </w:r>
          </w:p>
        </w:tc>
      </w:tr>
      <w:tr>
        <w:tc>
          <w:tcPr>
            <w:tcW w:type="dxa" w:w="28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b/>
                <w:bCs/>
                <w:color w:val="718096"/>
                <w:sz w:val="19"/>
                <w:szCs w:val="19"/>
              </w:rPr>
              <w:t xml:space="preserve">Data de Prioridade:</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1A202C"/>
                <w:sz w:val="19"/>
                <w:szCs w:val="19"/>
              </w:rPr>
              <w:t xml:space="preserve">2025-09-03</w:t>
            </w:r>
          </w:p>
        </w:tc>
      </w:tr>
    </w:tbl>
    <w:p>
      <w:pPr>
        <w:spacing w:after="300"/>
      </w:pPr>
    </w:p>
    <w:p>
      <w:pPr>
        <w:pBdr>
          <w:bottom w:val="single" w:color="0D9488" w:sz="12" w:space="1"/>
        </w:pBdr>
        <w:spacing w:after="200"/>
      </w:pPr>
    </w:p>
    <w:p>
      <w:pPr>
        <w:spacing w:after="40"/>
        <w:jc w:val="left"/>
      </w:pPr>
      <w:r>
        <w:rPr>
          <w:rFonts w:ascii="Arial" w:cs="Arial" w:eastAsia="Arial" w:hAnsi="Arial"/>
          <w:color w:val="4A5568"/>
          <w:sz w:val="18"/>
          <w:szCs w:val="18"/>
        </w:rPr>
        <w:t xml:space="preserve">Preparado por: Global Communication LLC</w:t>
      </w:r>
    </w:p>
    <w:p>
      <w:pPr>
        <w:spacing w:after="40"/>
        <w:jc w:val="left"/>
      </w:pPr>
      <w:r>
        <w:rPr>
          <w:rFonts w:ascii="Arial" w:cs="Arial" w:eastAsia="Arial" w:hAnsi="Arial"/>
          <w:color w:val="4A5568"/>
          <w:sz w:val="18"/>
          <w:szCs w:val="18"/>
        </w:rPr>
        <w:t xml:space="preserve">Metodologia: IMPLAN® + RIMS II + EPI Employment Multipliers</w:t>
      </w:r>
    </w:p>
    <w:p>
      <w:pPr>
        <w:spacing w:after="40"/>
        <w:jc w:val="left"/>
      </w:pPr>
      <w:r>
        <w:rPr>
          <w:rFonts w:ascii="Arial" w:cs="Arial" w:eastAsia="Arial" w:hAnsi="Arial"/>
          <w:color w:val="4A5568"/>
          <w:sz w:val="18"/>
          <w:szCs w:val="18"/>
        </w:rPr>
        <w:t xml:space="preserve">Data de Análise: Abril 2026 | ID do Relatório: IMP-2026-RODRIGO-PIRES-CORREA-DE-MATTOS</w:t>
      </w:r>
    </w:p>
    <w:p>
      <w:pPr>
        <w:jc w:val="left"/>
      </w:pPr>
      <w:r>
        <w:rPr>
          <w:rFonts w:ascii="Arial" w:cs="Arial" w:eastAsia="Arial" w:hAnsi="Arial"/>
          <w:b/>
          <w:bCs/>
          <w:color w:val="E53E3E"/>
          <w:sz w:val="16"/>
          <w:szCs w:val="16"/>
        </w:rPr>
        <w:t xml:space="preserve">CONFIDENCIAL — Preparado Apenas para Procedimentos de Imigração</w:t>
      </w:r>
    </w:p>
    <w:p>
      <w:pPr>
        <w:pStyle w:val="Heading1"/>
        <w:spacing w:after="200" w:before="360"/>
      </w:pPr>
      <w:r>
        <w:rPr>
          <w:rFonts w:ascii="Arial" w:cs="Arial" w:eastAsia="Arial" w:hAnsi="Arial"/>
          <w:b/>
          <w:bCs/>
          <w:color w:val="0A1628"/>
          <w:sz w:val="32"/>
          <w:szCs w:val="32"/>
        </w:rPr>
        <w:t xml:space="preserve">Sumário</w:t>
      </w:r>
    </w:p>
    <w:p>
      <w:pPr>
        <w:spacing w:after="100"/>
      </w:pPr>
    </w:p>
    <w:p>
      <w:pPr>
        <w:spacing w:after="80" w:line="300"/>
        <w:ind w:left="200"/>
      </w:pPr>
      <w:r>
        <w:rPr>
          <w:rFonts w:ascii="Arial" w:cs="Arial" w:eastAsia="Arial" w:hAnsi="Arial"/>
          <w:b/>
          <w:bCs/>
          <w:color w:val="0D9488"/>
          <w:sz w:val="20"/>
          <w:szCs w:val="20"/>
        </w:rPr>
        <w:t xml:space="preserve">1. </w:t>
      </w:r>
      <w:r>
        <w:rPr>
          <w:rFonts w:ascii="Arial" w:cs="Arial" w:eastAsia="Arial" w:hAnsi="Arial"/>
          <w:color w:val="1A202C"/>
          <w:sz w:val="20"/>
          <w:szCs w:val="20"/>
        </w:rPr>
        <w:t xml:space="preserve">Sumário Executivo &amp; Painel de Impacto</w:t>
      </w:r>
    </w:p>
    <w:p>
      <w:pPr>
        <w:spacing w:after="80" w:line="300"/>
        <w:ind w:left="200"/>
      </w:pPr>
      <w:r>
        <w:rPr>
          <w:rFonts w:ascii="Arial" w:cs="Arial" w:eastAsia="Arial" w:hAnsi="Arial"/>
          <w:b/>
          <w:bCs/>
          <w:color w:val="0D9488"/>
          <w:sz w:val="20"/>
          <w:szCs w:val="20"/>
        </w:rPr>
        <w:t xml:space="preserve">2. </w:t>
      </w:r>
      <w:r>
        <w:rPr>
          <w:rFonts w:ascii="Arial" w:cs="Arial" w:eastAsia="Arial" w:hAnsi="Arial"/>
          <w:color w:val="1A202C"/>
          <w:sz w:val="20"/>
          <w:szCs w:val="20"/>
        </w:rPr>
        <w:t xml:space="preserve">Módulo M1 — Análise de Impacto Econômico Principal (IMPLAN + RIMS II)</w:t>
      </w:r>
    </w:p>
    <w:p>
      <w:pPr>
        <w:spacing w:after="80" w:line="300"/>
        <w:ind w:left="200"/>
      </w:pPr>
      <w:r>
        <w:rPr>
          <w:rFonts w:ascii="Arial" w:cs="Arial" w:eastAsia="Arial" w:hAnsi="Arial"/>
          <w:b/>
          <w:bCs/>
          <w:color w:val="0D9488"/>
          <w:sz w:val="20"/>
          <w:szCs w:val="20"/>
        </w:rPr>
        <w:t xml:space="preserve">3. </w:t>
      </w:r>
      <w:r>
        <w:rPr>
          <w:rFonts w:ascii="Arial" w:cs="Arial" w:eastAsia="Arial" w:hAnsi="Arial"/>
          <w:color w:val="1A202C"/>
          <w:sz w:val="20"/>
          <w:szCs w:val="20"/>
        </w:rPr>
        <w:t xml:space="preserve">Módulo M2 — Pegada Econômica Regional (MSA)</w:t>
      </w:r>
    </w:p>
    <w:p>
      <w:pPr>
        <w:spacing w:after="80" w:line="300"/>
        <w:ind w:left="200"/>
      </w:pPr>
      <w:r>
        <w:rPr>
          <w:rFonts w:ascii="Arial" w:cs="Arial" w:eastAsia="Arial" w:hAnsi="Arial"/>
          <w:b/>
          <w:bCs/>
          <w:color w:val="0D9488"/>
          <w:sz w:val="20"/>
          <w:szCs w:val="20"/>
        </w:rPr>
        <w:t xml:space="preserve">4. </w:t>
      </w:r>
      <w:r>
        <w:rPr>
          <w:rFonts w:ascii="Arial" w:cs="Arial" w:eastAsia="Arial" w:hAnsi="Arial"/>
          <w:color w:val="1A202C"/>
          <w:sz w:val="20"/>
          <w:szCs w:val="20"/>
        </w:rPr>
        <w:t xml:space="preserve">Módulo M3 — Análise de Multiplicadores Setoriais (NAICS)</w:t>
      </w:r>
    </w:p>
    <w:p>
      <w:pPr>
        <w:spacing w:after="80" w:line="300"/>
        <w:ind w:left="200"/>
      </w:pPr>
      <w:r>
        <w:rPr>
          <w:rFonts w:ascii="Arial" w:cs="Arial" w:eastAsia="Arial" w:hAnsi="Arial"/>
          <w:b/>
          <w:bCs/>
          <w:color w:val="0D9488"/>
          <w:sz w:val="20"/>
          <w:szCs w:val="20"/>
        </w:rPr>
        <w:t xml:space="preserve">5. </w:t>
      </w:r>
      <w:r>
        <w:rPr>
          <w:rFonts w:ascii="Arial" w:cs="Arial" w:eastAsia="Arial" w:hAnsi="Arial"/>
          <w:color w:val="1A202C"/>
          <w:sz w:val="20"/>
          <w:szCs w:val="20"/>
        </w:rPr>
        <w:t xml:space="preserve">Módulo M4 — Projeção de Receita Tributária (Federal, Estadual e Local)</w:t>
      </w:r>
    </w:p>
    <w:p>
      <w:pPr>
        <w:spacing w:after="80" w:line="300"/>
        <w:ind w:left="200"/>
      </w:pPr>
      <w:r>
        <w:rPr>
          <w:rFonts w:ascii="Arial" w:cs="Arial" w:eastAsia="Arial" w:hAnsi="Arial"/>
          <w:b/>
          <w:bCs/>
          <w:color w:val="0D9488"/>
          <w:sz w:val="20"/>
          <w:szCs w:val="20"/>
        </w:rPr>
        <w:t xml:space="preserve">6. </w:t>
      </w:r>
      <w:r>
        <w:rPr>
          <w:rFonts w:ascii="Arial" w:cs="Arial" w:eastAsia="Arial" w:hAnsi="Arial"/>
          <w:color w:val="1A202C"/>
          <w:sz w:val="20"/>
          <w:szCs w:val="20"/>
        </w:rPr>
        <w:t xml:space="preserve">Módulo M5 — Mapeamento do Ecossistema da Cadeia de Suprimentos</w:t>
      </w:r>
    </w:p>
    <w:p>
      <w:pPr>
        <w:spacing w:after="80" w:line="300"/>
        <w:ind w:left="200"/>
      </w:pPr>
      <w:r>
        <w:rPr>
          <w:rFonts w:ascii="Arial" w:cs="Arial" w:eastAsia="Arial" w:hAnsi="Arial"/>
          <w:b/>
          <w:bCs/>
          <w:color w:val="0D9488"/>
          <w:sz w:val="20"/>
          <w:szCs w:val="20"/>
        </w:rPr>
        <w:t xml:space="preserve">7. </w:t>
      </w:r>
      <w:r>
        <w:rPr>
          <w:rFonts w:ascii="Arial" w:cs="Arial" w:eastAsia="Arial" w:hAnsi="Arial"/>
          <w:color w:val="1A202C"/>
          <w:sz w:val="20"/>
          <w:szCs w:val="20"/>
        </w:rPr>
        <w:t xml:space="preserve">Módulo M6 — Análise de Multiplicador de Emprego (EPI)</w:t>
      </w:r>
    </w:p>
    <w:p>
      <w:pPr>
        <w:spacing w:after="80" w:line="300"/>
        <w:ind w:left="200"/>
      </w:pPr>
      <w:r>
        <w:rPr>
          <w:rFonts w:ascii="Arial" w:cs="Arial" w:eastAsia="Arial" w:hAnsi="Arial"/>
          <w:b/>
          <w:bCs/>
          <w:color w:val="0D9488"/>
          <w:sz w:val="20"/>
          <w:szCs w:val="20"/>
        </w:rPr>
        <w:t xml:space="preserve">8. </w:t>
      </w:r>
      <w:r>
        <w:rPr>
          <w:rFonts w:ascii="Arial" w:cs="Arial" w:eastAsia="Arial" w:hAnsi="Arial"/>
          <w:color w:val="1A202C"/>
          <w:sz w:val="20"/>
          <w:szCs w:val="20"/>
        </w:rPr>
        <w:t xml:space="preserve">Módulo M7 — Alinhamento de Política e Prioridade Nacional</w:t>
      </w:r>
    </w:p>
    <w:p>
      <w:pPr>
        <w:spacing w:after="80" w:line="300"/>
        <w:ind w:left="200"/>
      </w:pPr>
      <w:r>
        <w:rPr>
          <w:rFonts w:ascii="Arial" w:cs="Arial" w:eastAsia="Arial" w:hAnsi="Arial"/>
          <w:b/>
          <w:bCs/>
          <w:color w:val="0D9488"/>
          <w:sz w:val="20"/>
          <w:szCs w:val="20"/>
        </w:rPr>
        <w:t xml:space="preserve">9. </w:t>
      </w:r>
      <w:r>
        <w:rPr>
          <w:rFonts w:ascii="Arial" w:cs="Arial" w:eastAsia="Arial" w:hAnsi="Arial"/>
          <w:color w:val="1A202C"/>
          <w:sz w:val="20"/>
          <w:szCs w:val="20"/>
        </w:rPr>
        <w:t xml:space="preserve">Módulo M8 — Vantagem Comparativa Regional</w:t>
      </w:r>
    </w:p>
    <w:p>
      <w:pPr>
        <w:spacing w:after="80" w:line="300"/>
        <w:ind w:left="200"/>
      </w:pPr>
      <w:r>
        <w:rPr>
          <w:rFonts w:ascii="Arial" w:cs="Arial" w:eastAsia="Arial" w:hAnsi="Arial"/>
          <w:b/>
          <w:bCs/>
          <w:color w:val="0D9488"/>
          <w:sz w:val="20"/>
          <w:szCs w:val="20"/>
        </w:rPr>
        <w:t xml:space="preserve">10. </w:t>
      </w:r>
      <w:r>
        <w:rPr>
          <w:rFonts w:ascii="Arial" w:cs="Arial" w:eastAsia="Arial" w:hAnsi="Arial"/>
          <w:color w:val="1A202C"/>
          <w:sz w:val="20"/>
          <w:szCs w:val="20"/>
        </w:rPr>
        <w:t xml:space="preserve">Módulo M9 — Análise de Sensibilidade e Cenário</w:t>
      </w:r>
    </w:p>
    <w:p>
      <w:pPr>
        <w:spacing w:after="80" w:line="300"/>
        <w:ind w:left="200"/>
      </w:pPr>
      <w:r>
        <w:rPr>
          <w:rFonts w:ascii="Arial" w:cs="Arial" w:eastAsia="Arial" w:hAnsi="Arial"/>
          <w:b/>
          <w:bCs/>
          <w:color w:val="0D9488"/>
          <w:sz w:val="20"/>
          <w:szCs w:val="20"/>
        </w:rPr>
        <w:t xml:space="preserve">11. </w:t>
      </w:r>
      <w:r>
        <w:rPr>
          <w:rFonts w:ascii="Arial" w:cs="Arial" w:eastAsia="Arial" w:hAnsi="Arial"/>
          <w:color w:val="1A202C"/>
          <w:sz w:val="20"/>
          <w:szCs w:val="20"/>
        </w:rPr>
        <w:t xml:space="preserve">Módulo M10 — Mapeamento RFE</w:t>
      </w:r>
    </w:p>
    <w:p>
      <w:pPr>
        <w:spacing w:after="80" w:line="300"/>
        <w:ind w:left="200"/>
      </w:pPr>
      <w:r>
        <w:rPr>
          <w:rFonts w:ascii="Arial" w:cs="Arial" w:eastAsia="Arial" w:hAnsi="Arial"/>
          <w:b/>
          <w:bCs/>
          <w:color w:val="0D9488"/>
          <w:sz w:val="20"/>
          <w:szCs w:val="20"/>
        </w:rPr>
        <w:t xml:space="preserve">12. </w:t>
      </w:r>
      <w:r>
        <w:rPr>
          <w:rFonts w:ascii="Arial" w:cs="Arial" w:eastAsia="Arial" w:hAnsi="Arial"/>
          <w:color w:val="1A202C"/>
          <w:sz w:val="20"/>
          <w:szCs w:val="20"/>
        </w:rPr>
        <w:t xml:space="preserve">Módulo M11 — Análise de Retorno Social sobre o Investimento (SROI)</w:t>
      </w:r>
    </w:p>
    <w:p>
      <w:pPr>
        <w:spacing w:after="80" w:line="300"/>
        <w:ind w:left="200"/>
      </w:pPr>
      <w:r>
        <w:rPr>
          <w:rFonts w:ascii="Arial" w:cs="Arial" w:eastAsia="Arial" w:hAnsi="Arial"/>
          <w:b/>
          <w:bCs/>
          <w:color w:val="0D9488"/>
          <w:sz w:val="20"/>
          <w:szCs w:val="20"/>
        </w:rPr>
        <w:t xml:space="preserve">13. </w:t>
      </w:r>
      <w:r>
        <w:rPr>
          <w:rFonts w:ascii="Arial" w:cs="Arial" w:eastAsia="Arial" w:hAnsi="Arial"/>
          <w:color w:val="1A202C"/>
          <w:sz w:val="20"/>
          <w:szCs w:val="20"/>
        </w:rPr>
        <w:t xml:space="preserve">Módulo M12 — Impacto Cultural e Transnacional</w:t>
      </w:r>
    </w:p>
    <w:p>
      <w:pPr>
        <w:spacing w:after="80" w:line="300"/>
        <w:ind w:left="200"/>
      </w:pPr>
      <w:r>
        <w:rPr>
          <w:rFonts w:ascii="Arial" w:cs="Arial" w:eastAsia="Arial" w:hAnsi="Arial"/>
          <w:b/>
          <w:bCs/>
          <w:color w:val="0D9488"/>
          <w:sz w:val="20"/>
          <w:szCs w:val="20"/>
        </w:rPr>
        <w:t xml:space="preserve">14. </w:t>
      </w:r>
      <w:r>
        <w:rPr>
          <w:rFonts w:ascii="Arial" w:cs="Arial" w:eastAsia="Arial" w:hAnsi="Arial"/>
          <w:color w:val="1A202C"/>
          <w:sz w:val="20"/>
          <w:szCs w:val="20"/>
        </w:rPr>
        <w:t xml:space="preserve">Módulo M13 — Campo Mais Amplo e Implicações Societárias</w:t>
      </w:r>
    </w:p>
    <w:p>
      <w:pPr>
        <w:spacing w:after="80" w:line="300"/>
        <w:ind w:left="200"/>
      </w:pPr>
      <w:r>
        <w:rPr>
          <w:rFonts w:ascii="Arial" w:cs="Arial" w:eastAsia="Arial" w:hAnsi="Arial"/>
          <w:b/>
          <w:bCs/>
          <w:color w:val="0D9488"/>
          <w:sz w:val="20"/>
          <w:szCs w:val="20"/>
        </w:rPr>
        <w:t xml:space="preserve">15. </w:t>
      </w:r>
      <w:r>
        <w:rPr>
          <w:rFonts w:ascii="Arial" w:cs="Arial" w:eastAsia="Arial" w:hAnsi="Arial"/>
          <w:color w:val="1A202C"/>
          <w:sz w:val="20"/>
          <w:szCs w:val="20"/>
        </w:rPr>
        <w:t xml:space="preserve">Notas Metodológicas &amp; Fontes de Dados</w:t>
      </w:r>
    </w:p>
    <w:p>
      <w:pPr>
        <w:spacing w:after="80" w:line="300"/>
        <w:ind w:left="200"/>
      </w:pPr>
      <w:r>
        <w:rPr>
          <w:rFonts w:ascii="Arial" w:cs="Arial" w:eastAsia="Arial" w:hAnsi="Arial"/>
          <w:b/>
          <w:bCs/>
          <w:color w:val="0D9488"/>
          <w:sz w:val="20"/>
          <w:szCs w:val="20"/>
        </w:rPr>
        <w:t xml:space="preserve">16. </w:t>
      </w:r>
      <w:r>
        <w:rPr>
          <w:rFonts w:ascii="Arial" w:cs="Arial" w:eastAsia="Arial" w:hAnsi="Arial"/>
          <w:color w:val="1A202C"/>
          <w:sz w:val="20"/>
          <w:szCs w:val="20"/>
        </w:rPr>
        <w:t xml:space="preserve">Apêndices</w:t>
      </w:r>
    </w:p>
    <w:p>
      <w:r>
        <w:br w:type="page"/>
      </w:r>
    </w:p>
    <w:p>
      <w:r>
        <w:br w:type="page"/>
      </w:r>
    </w:p>
    <w:p>
      <w:pPr>
        <w:pStyle w:val="Heading1"/>
        <w:spacing w:after="200" w:before="360"/>
      </w:pPr>
      <w:r>
        <w:rPr>
          <w:rFonts w:ascii="Arial" w:cs="Arial" w:eastAsia="Arial" w:hAnsi="Arial"/>
          <w:b/>
          <w:bCs/>
          <w:color w:val="0A1628"/>
          <w:sz w:val="32"/>
          <w:szCs w:val="32"/>
        </w:rPr>
        <w:t xml:space="preserve">2. Módulo M1 — Análise de Impacto Econômico Principal (IMPLAN + RIMS II)</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The Mattos Tactical Solutions LLC's Treinamento Tático Avançado e Serviços Especializados de Segurança operation in the Orlando-Kissimmee-Sanford MSA generates a total 5-year economic output of US$ 15,3M, validated through RIMS II Type II multipliers (1.85x) sourced from the Bureau of Economic Analysis.</w:t>
      </w:r>
    </w:p>
    <w:p>
      <w:pPr>
        <w:pStyle w:val="Heading2"/>
        <w:spacing w:after="160" w:before="280"/>
      </w:pPr>
      <w:r>
        <w:rPr>
          <w:rFonts w:ascii="Arial" w:cs="Arial" w:eastAsia="Arial" w:hAnsi="Arial"/>
          <w:b/>
          <w:bCs/>
          <w:color w:val="0D9488"/>
          <w:sz w:val="26"/>
          <w:szCs w:val="26"/>
        </w:rPr>
        <w:t xml:space="preserve">2.1 Total Economic Output (5-Year Projection)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none" w:color="FFFFFF" w:sz="0"/>
              <w:bottom w:val="none" w:color="FFFFFF" w:sz="0"/>
              <w:right w:val="none" w:color="FFFFFF" w:sz="0"/>
            </w:tcBorders>
            <w:shd w:fill="F8FAFB" w:val="clear"/>
            <w:tcMar>
              <w:top w:type="dxa" w:w="120"/>
              <w:left w:type="dxa" w:w="160"/>
              <w:bottom w:type="dxa" w:w="120"/>
              <w:right w:type="dxa" w:w="160"/>
            </w:tcMar>
          </w:tcPr>
          <w:p>
            <w:pPr>
              <w:spacing w:after="40"/>
              <w:jc w:val="center"/>
            </w:pPr>
            <w:r>
              <w:rPr>
                <w:rFonts w:ascii="Arial" w:cs="Arial" w:eastAsia="Arial" w:hAnsi="Arial"/>
                <w:b/>
                <w:bCs/>
                <w:color w:val="0D9488"/>
                <w:sz w:val="40"/>
                <w:szCs w:val="40"/>
              </w:rPr>
              <w:t xml:space="preserve">US$ 15.337.313</w:t>
            </w:r>
          </w:p>
          <w:p>
            <w:pPr>
              <w:spacing w:after="20"/>
              <w:jc w:val="center"/>
            </w:pPr>
            <w:r>
              <w:rPr>
                <w:rFonts w:ascii="Arial" w:cs="Arial" w:eastAsia="Arial" w:hAnsi="Arial"/>
                <w:color w:val="4A5568"/>
                <w:sz w:val="18"/>
                <w:szCs w:val="18"/>
              </w:rPr>
              <w:t xml:space="preserve">5-Year Period</w:t>
            </w:r>
          </w:p>
          <w:p>
            <w:pPr>
              <w:jc w:val="center"/>
            </w:pPr>
            <w:r>
              <w:rPr>
                <w:rFonts w:ascii="Arial" w:cs="Arial" w:eastAsia="Arial" w:hAnsi="Arial"/>
                <w:color w:val="718096"/>
                <w:sz w:val="16"/>
                <w:szCs w:val="16"/>
              </w:rPr>
              <w:t xml:space="preserve">Total Economic Output</w:t>
            </w:r>
          </w:p>
        </w:tc>
      </w:tr>
    </w:tbl>
    <w:p>
      <w:pPr>
        <w:spacing w:after="200"/>
      </w:pPr>
    </w:p>
    <w:p>
      <w:pPr>
        <w:pStyle w:val="Heading2"/>
        <w:spacing w:after="160" w:before="280"/>
      </w:pPr>
      <w:r>
        <w:rPr>
          <w:rFonts w:ascii="Arial" w:cs="Arial" w:eastAsia="Arial" w:hAnsi="Arial"/>
          <w:b/>
          <w:bCs/>
          <w:color w:val="0D9488"/>
          <w:sz w:val="26"/>
          <w:szCs w:val="26"/>
        </w:rPr>
        <w:t xml:space="preserve">2.2 Output Decomposition: Direct vs. Induced Effects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Saída Direta:</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US$ 8.290.426</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Saída Indireta:</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D9488"/>
                <w:sz w:val="20"/>
                <w:szCs w:val="20"/>
              </w:rPr>
              <w:t xml:space="preserve">US$ 2.959.682</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Saída Induzida:</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B7A6E"/>
                <w:sz w:val="20"/>
                <w:szCs w:val="20"/>
              </w:rPr>
              <w:t xml:space="preserve">US$ 4.087.205</w:t>
            </w:r>
          </w:p>
        </w:tc>
      </w:tr>
    </w:tbl>
    <w:p>
      <w:r>
        <w:br w:type="page"/>
      </w:r>
    </w:p>
    <w:p>
      <w:pPr>
        <w:pStyle w:val="Heading1"/>
        <w:spacing w:after="200" w:before="360"/>
      </w:pPr>
      <w:r>
        <w:rPr>
          <w:rFonts w:ascii="Arial" w:cs="Arial" w:eastAsia="Arial" w:hAnsi="Arial"/>
          <w:b/>
          <w:bCs/>
          <w:color w:val="0A1628"/>
          <w:sz w:val="32"/>
          <w:szCs w:val="32"/>
        </w:rPr>
        <w:t xml:space="preserve">3. Módulo M2 — Pegada Econômica Regional (MSA)</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The Orlando-Kissimmee-Sanford MSA (FIPS 36740) represents a critical economic hub in the region. Mattos Tactical Solutions LLC's footprint directly contributes to regional GDP through supply chain integration and employment generation.</w:t>
      </w:r>
    </w:p>
    <w:p>
      <w:pPr>
        <w:spacing w:after="200"/>
      </w:pPr>
    </w:p>
    <w:p>
      <w:pPr>
        <w:pStyle w:val="Heading2"/>
        <w:spacing w:after="160" w:before="280"/>
      </w:pPr>
      <w:r>
        <w:rPr>
          <w:rFonts w:ascii="Arial" w:cs="Arial" w:eastAsia="Arial" w:hAnsi="Arial"/>
          <w:b/>
          <w:bCs/>
          <w:color w:val="0D9488"/>
          <w:sz w:val="26"/>
          <w:szCs w:val="26"/>
        </w:rPr>
        <w:t xml:space="preserve">3.1 Regional Employment Impact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A169" w:sz="8"/>
              <w:left w:val="none" w:color="FFFFFF" w:sz="0"/>
              <w:bottom w:val="none" w:color="FFFFFF" w:sz="0"/>
              <w:right w:val="none" w:color="FFFFFF" w:sz="0"/>
            </w:tcBorders>
            <w:shd w:fill="F8FAFB" w:val="clear"/>
            <w:tcMar>
              <w:top w:type="dxa" w:w="120"/>
              <w:left w:type="dxa" w:w="160"/>
              <w:bottom w:type="dxa" w:w="120"/>
              <w:right w:type="dxa" w:w="160"/>
            </w:tcMar>
          </w:tcPr>
          <w:p>
            <w:pPr>
              <w:spacing w:after="40"/>
              <w:jc w:val="center"/>
            </w:pPr>
            <w:r>
              <w:rPr>
                <w:rFonts w:ascii="Arial" w:cs="Arial" w:eastAsia="Arial" w:hAnsi="Arial"/>
                <w:b/>
                <w:bCs/>
                <w:color w:val="38A169"/>
                <w:sz w:val="40"/>
                <w:szCs w:val="40"/>
              </w:rPr>
              <w:t xml:space="preserve">57-75</w:t>
            </w:r>
          </w:p>
          <w:p>
            <w:pPr>
              <w:spacing w:after="20"/>
              <w:jc w:val="center"/>
            </w:pPr>
            <w:r>
              <w:rPr>
                <w:rFonts w:ascii="Arial" w:cs="Arial" w:eastAsia="Arial" w:hAnsi="Arial"/>
                <w:color w:val="4A5568"/>
                <w:sz w:val="18"/>
                <w:szCs w:val="18"/>
              </w:rPr>
              <w:t xml:space="preserve">Direct + Indirect</w:t>
            </w:r>
          </w:p>
          <w:p>
            <w:pPr>
              <w:jc w:val="center"/>
            </w:pPr>
            <w:r>
              <w:rPr>
                <w:rFonts w:ascii="Arial" w:cs="Arial" w:eastAsia="Arial" w:hAnsi="Arial"/>
                <w:color w:val="718096"/>
                <w:sz w:val="16"/>
                <w:szCs w:val="16"/>
              </w:rPr>
              <w:t xml:space="preserve">Total Jobs Generated</w:t>
            </w:r>
          </w:p>
        </w:tc>
      </w:tr>
    </w:tbl>
    <w:p>
      <w:r>
        <w:br w:type="page"/>
      </w:r>
    </w:p>
    <w:p>
      <w:pPr>
        <w:pStyle w:val="Heading1"/>
        <w:spacing w:after="200" w:before="360"/>
      </w:pPr>
      <w:r>
        <w:rPr>
          <w:rFonts w:ascii="Arial" w:cs="Arial" w:eastAsia="Arial" w:hAnsi="Arial"/>
          <w:b/>
          <w:bCs/>
          <w:color w:val="0A1628"/>
          <w:sz w:val="32"/>
          <w:szCs w:val="32"/>
        </w:rPr>
        <w:t xml:space="preserve">4. Módulo M3 — Análise de Multiplicadores Setoriais (NAICS)</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Sectoral multipliers for NAICS 611699 reveal the leverage of the petitioner's operations across upstream and downstream supply chain participants.</w:t>
      </w:r>
    </w:p>
    <w:p>
      <w:pPr>
        <w:spacing w:after="200"/>
      </w:pPr>
    </w:p>
    <w:p>
      <w:pPr>
        <w:pStyle w:val="Heading2"/>
        <w:spacing w:after="160" w:before="280"/>
      </w:pPr>
      <w:r>
        <w:rPr>
          <w:rFonts w:ascii="Arial" w:cs="Arial" w:eastAsia="Arial" w:hAnsi="Arial"/>
          <w:b/>
          <w:bCs/>
          <w:color w:val="0D9488"/>
          <w:sz w:val="26"/>
          <w:szCs w:val="26"/>
        </w:rPr>
        <w:t xml:space="preserve">4.1 Sectoral Income Effects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182CE" w:sz="8"/>
              <w:left w:val="none" w:color="FFFFFF" w:sz="0"/>
              <w:bottom w:val="none" w:color="FFFFFF" w:sz="0"/>
              <w:right w:val="none" w:color="FFFFFF" w:sz="0"/>
            </w:tcBorders>
            <w:shd w:fill="F8FAFB" w:val="clear"/>
            <w:tcMar>
              <w:top w:type="dxa" w:w="120"/>
              <w:left w:type="dxa" w:w="160"/>
              <w:bottom w:type="dxa" w:w="120"/>
              <w:right w:type="dxa" w:w="160"/>
            </w:tcMar>
          </w:tcPr>
          <w:p>
            <w:pPr>
              <w:spacing w:after="40"/>
              <w:jc w:val="center"/>
            </w:pPr>
            <w:r>
              <w:rPr>
                <w:rFonts w:ascii="Arial" w:cs="Arial" w:eastAsia="Arial" w:hAnsi="Arial"/>
                <w:b/>
                <w:bCs/>
                <w:color w:val="3182CE"/>
                <w:sz w:val="40"/>
                <w:szCs w:val="40"/>
              </w:rPr>
              <w:t xml:space="preserve">US$ 9.969.237</w:t>
            </w:r>
          </w:p>
          <w:p>
            <w:pPr>
              <w:spacing w:after="20"/>
              <w:jc w:val="center"/>
            </w:pPr>
            <w:r>
              <w:rPr>
                <w:rFonts w:ascii="Arial" w:cs="Arial" w:eastAsia="Arial" w:hAnsi="Arial"/>
                <w:color w:val="4A5568"/>
                <w:sz w:val="18"/>
                <w:szCs w:val="18"/>
              </w:rPr>
              <w:t xml:space="preserve">Direct Employment</w:t>
            </w:r>
          </w:p>
          <w:p>
            <w:pPr>
              <w:jc w:val="center"/>
            </w:pPr>
            <w:r>
              <w:rPr>
                <w:rFonts w:ascii="Arial" w:cs="Arial" w:eastAsia="Arial" w:hAnsi="Arial"/>
                <w:color w:val="718096"/>
                <w:sz w:val="16"/>
                <w:szCs w:val="16"/>
              </w:rPr>
              <w:t xml:space="preserve">5-Year Wage Income</w:t>
            </w:r>
          </w:p>
        </w:tc>
      </w:tr>
    </w:tbl>
    <w:p>
      <w:r>
        <w:br w:type="page"/>
      </w:r>
    </w:p>
    <w:p>
      <w:pPr>
        <w:pStyle w:val="Heading1"/>
        <w:spacing w:after="200" w:before="360"/>
      </w:pPr>
      <w:r>
        <w:rPr>
          <w:rFonts w:ascii="Arial" w:cs="Arial" w:eastAsia="Arial" w:hAnsi="Arial"/>
          <w:b/>
          <w:bCs/>
          <w:color w:val="0A1628"/>
          <w:sz w:val="32"/>
          <w:szCs w:val="32"/>
        </w:rPr>
        <w:t xml:space="preserve">5. Módulo M4 — Projeção de Receita Tributária (Federal, Estadual e Local)</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Federal, state, and local tax revenues are projected from the petitioner's economic impact over a 5-year period, including personal income tax, corporate profit tax, payroll taxes, sales tax, and property tax contributions.</w:t>
      </w:r>
    </w:p>
    <w:p>
      <w:pPr>
        <w:spacing w:after="200"/>
      </w:pPr>
    </w:p>
    <w:p>
      <w:pPr>
        <w:pStyle w:val="Heading2"/>
        <w:spacing w:after="160" w:before="280"/>
      </w:pPr>
      <w:r>
        <w:rPr>
          <w:rFonts w:ascii="Arial" w:cs="Arial" w:eastAsia="Arial" w:hAnsi="Arial"/>
          <w:b/>
          <w:bCs/>
          <w:color w:val="0D9488"/>
          <w:sz w:val="26"/>
          <w:szCs w:val="26"/>
        </w:rPr>
        <w:t xml:space="preserve">5.1 Tax Revenue Breakdown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Imposto Federal:</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US$ 670.968</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Imposto Estadual:</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D9488"/>
                <w:sz w:val="20"/>
                <w:szCs w:val="20"/>
              </w:rPr>
              <w:t xml:space="preserve">US$ 171.662</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Impostos Locais:</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B7A6E"/>
                <w:sz w:val="20"/>
                <w:szCs w:val="20"/>
              </w:rPr>
              <w:t xml:space="preserve">US$ 94.305</w:t>
            </w:r>
          </w:p>
        </w:tc>
      </w:tr>
    </w:tbl>
    <w:p>
      <w:r>
        <w:br w:type="page"/>
      </w:r>
    </w:p>
    <w:p>
      <w:pPr>
        <w:pStyle w:val="Heading1"/>
        <w:spacing w:after="200" w:before="360"/>
      </w:pPr>
      <w:r>
        <w:rPr>
          <w:rFonts w:ascii="Arial" w:cs="Arial" w:eastAsia="Arial" w:hAnsi="Arial"/>
          <w:b/>
          <w:bCs/>
          <w:color w:val="0A1628"/>
          <w:sz w:val="32"/>
          <w:szCs w:val="32"/>
        </w:rPr>
        <w:t xml:space="preserve">6. Módulo M5 — Mapeamento do Ecossistema da Cadeia de Suprimentos</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The petitioner's supply chain ecosystem encompasses upstream input providers, logistics partners, distribution channels, and downstream customers. This network multiplies initial investment across the regional economy.</w:t>
      </w:r>
    </w:p>
    <w:p>
      <w:pPr>
        <w:spacing w:after="200"/>
      </w:pPr>
    </w:p>
    <w:p>
      <w:pPr>
        <w:pStyle w:val="Heading2"/>
        <w:spacing w:after="160" w:before="280"/>
      </w:pPr>
      <w:r>
        <w:rPr>
          <w:rFonts w:ascii="Arial" w:cs="Arial" w:eastAsia="Arial" w:hAnsi="Arial"/>
          <w:b/>
          <w:bCs/>
          <w:color w:val="0D9488"/>
          <w:sz w:val="26"/>
          <w:szCs w:val="26"/>
        </w:rPr>
        <w:t xml:space="preserve">6.1 Supply Chain Network Size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Fornecedores Diretos:</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32+</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Cadeias Indiretas:</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Tier 1-2</w:t>
            </w:r>
          </w:p>
        </w:tc>
      </w:tr>
    </w:tbl>
    <w:p>
      <w:r>
        <w:br w:type="page"/>
      </w:r>
    </w:p>
    <w:p>
      <w:pPr>
        <w:pStyle w:val="Heading1"/>
        <w:spacing w:after="200" w:before="360"/>
      </w:pPr>
      <w:r>
        <w:rPr>
          <w:rFonts w:ascii="Arial" w:cs="Arial" w:eastAsia="Arial" w:hAnsi="Arial"/>
          <w:b/>
          <w:bCs/>
          <w:color w:val="0A1628"/>
          <w:sz w:val="32"/>
          <w:szCs w:val="32"/>
        </w:rPr>
        <w:t xml:space="preserve">7. Módulo M6 — Análise de Multiplicador de Emprego (EPI)</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Employment multipliers from the Economic Policy Institute (EPI) demonstrate that each direct job supported by the petitioner generates additional employment across the supply chain and consumer spending sectors.</w:t>
      </w:r>
    </w:p>
    <w:p>
      <w:pPr>
        <w:spacing w:after="200"/>
      </w:pPr>
    </w:p>
    <w:p>
      <w:pPr>
        <w:pStyle w:val="Heading2"/>
        <w:spacing w:after="160" w:before="280"/>
      </w:pPr>
      <w:r>
        <w:rPr>
          <w:rFonts w:ascii="Arial" w:cs="Arial" w:eastAsia="Arial" w:hAnsi="Arial"/>
          <w:b/>
          <w:bCs/>
          <w:color w:val="0D9488"/>
          <w:sz w:val="26"/>
          <w:szCs w:val="26"/>
        </w:rPr>
        <w:t xml:space="preserve">7.1 Innovation &amp; R&amp;D Investment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5AD5" w:sz="8"/>
              <w:left w:val="none" w:color="FFFFFF" w:sz="0"/>
              <w:bottom w:val="none" w:color="FFFFFF" w:sz="0"/>
              <w:right w:val="none" w:color="FFFFFF" w:sz="0"/>
            </w:tcBorders>
            <w:shd w:fill="F8FAFB" w:val="clear"/>
            <w:tcMar>
              <w:top w:type="dxa" w:w="120"/>
              <w:left w:type="dxa" w:w="160"/>
              <w:bottom w:type="dxa" w:w="120"/>
              <w:right w:type="dxa" w:w="160"/>
            </w:tcMar>
          </w:tcPr>
          <w:p>
            <w:pPr>
              <w:spacing w:after="40"/>
              <w:jc w:val="center"/>
            </w:pPr>
            <w:r>
              <w:rPr>
                <w:rFonts w:ascii="Arial" w:cs="Arial" w:eastAsia="Arial" w:hAnsi="Arial"/>
                <w:b/>
                <w:bCs/>
                <w:color w:val="805AD5"/>
                <w:sz w:val="40"/>
                <w:szCs w:val="40"/>
              </w:rPr>
              <w:t xml:space="preserve">US$ 132.000</w:t>
            </w:r>
          </w:p>
          <w:p>
            <w:pPr>
              <w:spacing w:after="20"/>
              <w:jc w:val="center"/>
            </w:pPr>
            <w:r>
              <w:rPr>
                <w:rFonts w:ascii="Arial" w:cs="Arial" w:eastAsia="Arial" w:hAnsi="Arial"/>
                <w:color w:val="4A5568"/>
                <w:sz w:val="18"/>
                <w:szCs w:val="18"/>
              </w:rPr>
              <w:t xml:space="preserve">Technology Transfer</w:t>
            </w:r>
          </w:p>
          <w:p>
            <w:pPr>
              <w:jc w:val="center"/>
            </w:pPr>
            <w:r>
              <w:rPr>
                <w:rFonts w:ascii="Arial" w:cs="Arial" w:eastAsia="Arial" w:hAnsi="Arial"/>
                <w:color w:val="718096"/>
                <w:sz w:val="16"/>
                <w:szCs w:val="16"/>
              </w:rPr>
              <w:t xml:space="preserve">R&amp;D Investment (Annual)</w:t>
            </w:r>
          </w:p>
        </w:tc>
      </w:tr>
    </w:tbl>
    <w:p>
      <w:r>
        <w:br w:type="page"/>
      </w:r>
    </w:p>
    <w:p>
      <w:pPr>
        <w:pStyle w:val="Heading1"/>
        <w:spacing w:after="200" w:before="360"/>
      </w:pPr>
      <w:r>
        <w:rPr>
          <w:rFonts w:ascii="Arial" w:cs="Arial" w:eastAsia="Arial" w:hAnsi="Arial"/>
          <w:b/>
          <w:bCs/>
          <w:color w:val="0A1628"/>
          <w:sz w:val="32"/>
          <w:szCs w:val="32"/>
        </w:rPr>
        <w:t xml:space="preserve">8. Módulo M7 — Alinhamento de Política e Prioridade Nacional</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The petitioner's operations align with multiple federal policy priorities including workforce development, regional economic competitiveness, trade facilitation, and strategic industry advancement.</w:t>
      </w:r>
    </w:p>
    <w:p>
      <w:pPr>
        <w:spacing w:after="200"/>
      </w:pPr>
    </w:p>
    <w:p>
      <w:pPr>
        <w:pStyle w:val="Heading2"/>
        <w:spacing w:after="160" w:before="280"/>
      </w:pPr>
      <w:r>
        <w:rPr>
          <w:rFonts w:ascii="Arial" w:cs="Arial" w:eastAsia="Arial" w:hAnsi="Arial"/>
          <w:b/>
          <w:bCs/>
          <w:color w:val="0D9488"/>
          <w:sz w:val="26"/>
          <w:szCs w:val="26"/>
        </w:rPr>
        <w:t xml:space="preserve">8.1 Industry Positioning</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A empresa de Rodrigo Pires Corrêa de Mattos demonstra margens, crescimento e produtividade superiores à média da indústria, impulsionados por metodologia proprietária derivada de unidade tática de elite e posicionamento único no mercado trilíngue da Flórida Central.</w:t>
      </w:r>
    </w:p>
    <w:p>
      <w:r>
        <w:br w:type="page"/>
      </w:r>
    </w:p>
    <w:p>
      <w:pPr>
        <w:pStyle w:val="Heading1"/>
        <w:spacing w:after="200" w:before="360"/>
      </w:pPr>
      <w:r>
        <w:rPr>
          <w:rFonts w:ascii="Arial" w:cs="Arial" w:eastAsia="Arial" w:hAnsi="Arial"/>
          <w:b/>
          <w:bCs/>
          <w:color w:val="0A1628"/>
          <w:sz w:val="32"/>
          <w:szCs w:val="32"/>
        </w:rPr>
        <w:t xml:space="preserve">9. Módulo M8 — Vantagem Comparativa Regional</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Comparative analysis reveals that the Orlando-Kissimmee-Sanford region benefits from the petitioner's presence relative to peer regions and national benchmarks in similar industries.</w:t>
      </w:r>
    </w:p>
    <w:p>
      <w:pPr>
        <w:spacing w:after="200"/>
      </w:pPr>
    </w:p>
    <w:p>
      <w:pPr>
        <w:pStyle w:val="Heading2"/>
        <w:spacing w:after="160" w:before="280"/>
      </w:pPr>
      <w:r>
        <w:rPr>
          <w:rFonts w:ascii="Arial" w:cs="Arial" w:eastAsia="Arial" w:hAnsi="Arial"/>
          <w:b/>
          <w:bCs/>
          <w:color w:val="0D9488"/>
          <w:sz w:val="26"/>
          <w:szCs w:val="26"/>
        </w:rPr>
        <w:t xml:space="preserve">9.1 Strategic Alignment</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As operações do peticionário avançam prioridades nacionais críticas em capacitação de profissionais de segurança pública e privada, prontidão tática para resposta a ameaças e fortalecimento da segurança de infraestrutura crítica.</w:t>
      </w:r>
    </w:p>
    <w:p>
      <w:r>
        <w:br w:type="page"/>
      </w:r>
    </w:p>
    <w:p>
      <w:pPr>
        <w:pStyle w:val="Heading1"/>
        <w:spacing w:after="200" w:before="360"/>
      </w:pPr>
      <w:r>
        <w:rPr>
          <w:rFonts w:ascii="Arial" w:cs="Arial" w:eastAsia="Arial" w:hAnsi="Arial"/>
          <w:b/>
          <w:bCs/>
          <w:color w:val="0A1628"/>
          <w:sz w:val="32"/>
          <w:szCs w:val="32"/>
        </w:rPr>
        <w:t xml:space="preserve">10. Módulo M9 — Análise de Sensibilidade e Cenário</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Sensitivity analysis tests the robustness of impact projections under varying assumptions regarding multiplier rates, growth trajectories, and market conditions.</w:t>
      </w:r>
    </w:p>
    <w:p>
      <w:pPr>
        <w:spacing w:after="200"/>
      </w:pPr>
    </w:p>
    <w:p>
      <w:pPr>
        <w:pStyle w:val="Heading2"/>
        <w:spacing w:after="160" w:before="280"/>
      </w:pPr>
      <w:r>
        <w:rPr>
          <w:rFonts w:ascii="Arial" w:cs="Arial" w:eastAsia="Arial" w:hAnsi="Arial"/>
          <w:b/>
          <w:bCs/>
          <w:color w:val="0D9488"/>
          <w:sz w:val="26"/>
          <w:szCs w:val="26"/>
        </w:rPr>
        <w:t xml:space="preserve">10.1 Scenario Analysis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Cenário Base:</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US$ 15,3M</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Cenário Otimista:</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US$ 19,9M</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Cenário Conservador:</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US$ 10,7M</w:t>
            </w:r>
          </w:p>
        </w:tc>
      </w:tr>
    </w:tbl>
    <w:p>
      <w:r>
        <w:br w:type="page"/>
      </w:r>
    </w:p>
    <w:p>
      <w:pPr>
        <w:pStyle w:val="Heading1"/>
        <w:spacing w:after="200" w:before="360"/>
      </w:pPr>
      <w:r>
        <w:rPr>
          <w:rFonts w:ascii="Arial" w:cs="Arial" w:eastAsia="Arial" w:hAnsi="Arial"/>
          <w:b/>
          <w:bCs/>
          <w:color w:val="0A1628"/>
          <w:sz w:val="32"/>
          <w:szCs w:val="32"/>
        </w:rPr>
        <w:t xml:space="preserve">11. Módulo M10 — Mapeamento RFE</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O mapeamento de RFE demonstra alinhamento com as Solicitações de Evidência do Formulário I-140, abordando diretamente os critérios do USCIS para profissionais com grau avançado e elegibilidade ao National Interest Waiver sob 8 CFR § 204.5(k)(4)(ii).</w:t>
      </w:r>
    </w:p>
    <w:p>
      <w:pPr>
        <w:spacing w:after="200"/>
      </w:pPr>
    </w:p>
    <w:p>
      <w:pPr>
        <w:pStyle w:val="Heading2"/>
        <w:spacing w:after="160" w:before="280"/>
      </w:pPr>
      <w:r>
        <w:rPr>
          <w:rFonts w:ascii="Arial" w:cs="Arial" w:eastAsia="Arial" w:hAnsi="Arial"/>
          <w:b/>
          <w:bCs/>
          <w:color w:val="0D9488"/>
          <w:sz w:val="26"/>
          <w:szCs w:val="26"/>
        </w:rPr>
        <w:t xml:space="preserve">11.1 USCIS Criterion Alignment</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O peticionário demonstra capacidade excepcional através de mais de uma década de experiência operacional em unidade tática de elite (3º BAEP — Polícia Militar de São Paulo), aplicada a um empreendimento com mérito substancial e importância nacional na capacitação de profissionais de segurança pública e privada nos Estados Unidos.</w:t>
      </w:r>
    </w:p>
    <w:p>
      <w:r>
        <w:br w:type="page"/>
      </w:r>
    </w:p>
    <w:p>
      <w:pPr>
        <w:pStyle w:val="Heading1"/>
        <w:spacing w:after="200" w:before="360"/>
      </w:pPr>
      <w:r>
        <w:rPr>
          <w:rFonts w:ascii="Arial" w:cs="Arial" w:eastAsia="Arial" w:hAnsi="Arial"/>
          <w:b/>
          <w:bCs/>
          <w:color w:val="0A1628"/>
          <w:sz w:val="32"/>
          <w:szCs w:val="32"/>
        </w:rPr>
        <w:t xml:space="preserve">12. Módulo M11 — Análise de Retorno Social sobre o Investimento (SROI)</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This module quantifies the petitioner's social impact using the Social Return on Investment (SROI) framework — an internationally recognized methodology endorsed by the World Bank, UNDP, and GIIN. SROI translates social outcomes into monetized values.</w:t>
      </w:r>
    </w:p>
    <w:p>
      <w:r>
        <w:br w:type="page"/>
      </w:r>
    </w:p>
    <w:p>
      <w:pPr>
        <w:pStyle w:val="Heading1"/>
        <w:spacing w:after="200" w:before="360"/>
      </w:pPr>
      <w:r>
        <w:rPr>
          <w:rFonts w:ascii="Arial" w:cs="Arial" w:eastAsia="Arial" w:hAnsi="Arial"/>
          <w:b/>
          <w:bCs/>
          <w:color w:val="0A1628"/>
          <w:sz w:val="32"/>
          <w:szCs w:val="32"/>
        </w:rPr>
        <w:t xml:space="preserve">13. Módulo M12 — Impacto Cultural e Transnacional</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The petitioner's cultural and cross-border contributions enrich the professional ecosystem through knowledge transfer, mentorship of emerging entrepreneurs, international collaboration facilitation, and bridge-building between U.S. and foreign markets.</w:t>
      </w:r>
    </w:p>
    <w:p>
      <w:pPr>
        <w:spacing w:after="200"/>
      </w:pPr>
    </w:p>
    <w:p>
      <w:pPr>
        <w:pStyle w:val="Heading2"/>
        <w:spacing w:after="160" w:before="280"/>
      </w:pPr>
      <w:r>
        <w:rPr>
          <w:rFonts w:ascii="Arial" w:cs="Arial" w:eastAsia="Arial" w:hAnsi="Arial"/>
          <w:b/>
          <w:bCs/>
          <w:color w:val="0D9488"/>
          <w:sz w:val="26"/>
          <w:szCs w:val="26"/>
        </w:rPr>
        <w:t xml:space="preserve">13.1 Cultural &amp; Knowledge Transfer</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Rodrigo Pires Corrêa de Mattos estabelece o primeiro programa de treinamento tático trilíngue na Flórida Central, criando uma ponte entre a doutrina de elite da Polícia Militar de São Paulo e os padrões norte-americanos de capacitação em segurança, e ampliando o acesso a comunidades sub-representadas.</w:t>
      </w:r>
    </w:p>
    <w:p>
      <w:r>
        <w:br w:type="page"/>
      </w:r>
    </w:p>
    <w:p>
      <w:pPr>
        <w:pStyle w:val="Heading1"/>
        <w:spacing w:after="200" w:before="360"/>
      </w:pPr>
      <w:r>
        <w:rPr>
          <w:rFonts w:ascii="Arial" w:cs="Arial" w:eastAsia="Arial" w:hAnsi="Arial"/>
          <w:b/>
          <w:bCs/>
          <w:color w:val="0A1628"/>
          <w:sz w:val="32"/>
          <w:szCs w:val="32"/>
        </w:rPr>
        <w:t xml:space="preserve">14. Módulo M13 — Campo Mais Amplo e Implicações Societárias</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The petitioner's endeavor has broader field implications, advancing professional practices, methodologies, standards, and societal welfare across the logistics, supply chain, and international trade sectors.</w:t>
      </w:r>
    </w:p>
    <w:p>
      <w:pPr>
        <w:spacing w:after="200"/>
      </w:pPr>
    </w:p>
    <w:p>
      <w:pPr>
        <w:pStyle w:val="Heading2"/>
        <w:spacing w:after="160" w:before="280"/>
      </w:pPr>
      <w:r>
        <w:rPr>
          <w:rFonts w:ascii="Arial" w:cs="Arial" w:eastAsia="Arial" w:hAnsi="Arial"/>
          <w:b/>
          <w:bCs/>
          <w:color w:val="0D9488"/>
          <w:sz w:val="26"/>
          <w:szCs w:val="26"/>
        </w:rPr>
        <w:t xml:space="preserve">14.1 Field-Level Advancement</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A empresa de Rodrigo Pires Corrêa de Mattos avança o campo da segurança e capacitação tática através de inovação metodológica derivada de unidade de elite, fortalecimento do ecossistema de fornecedores e expansão do acesso a comunidades sub-representadas. O programa trilíngue cria novas oportunidades para profissionais de segurança pública e privada, eleva os padrões nacionais de capacitação em uso de força e defesa pessoal, e contribui para a resiliência de resposta regional a ameaças assimétricas.</w:t>
      </w:r>
    </w:p>
    <w:p>
      <w:r>
        <w:br w:type="page"/>
      </w:r>
    </w:p>
    <w:p>
      <w:r>
        <w:br w:type="page"/>
      </w:r>
    </w:p>
    <w:p>
      <w:pPr>
        <w:pStyle w:val="Heading1"/>
        <w:spacing w:after="200" w:before="360"/>
      </w:pPr>
      <w:r>
        <w:rPr>
          <w:rFonts w:ascii="Arial" w:cs="Arial" w:eastAsia="Arial" w:hAnsi="Arial"/>
          <w:b/>
          <w:bCs/>
          <w:color w:val="0A1628"/>
          <w:sz w:val="32"/>
          <w:szCs w:val="32"/>
        </w:rPr>
        <w:t xml:space="preserve">15. Notas Metodológicas &amp; Fontes de Dados</w:t>
      </w:r>
    </w:p>
    <w:p>
      <w:pPr>
        <w:spacing w:after="40"/>
      </w:pPr>
    </w:p>
    <w:p>
      <w:pPr>
        <w:pStyle w:val="Heading2"/>
        <w:spacing w:after="160" w:before="280"/>
      </w:pPr>
      <w:r>
        <w:rPr>
          <w:rFonts w:ascii="Arial" w:cs="Arial" w:eastAsia="Arial" w:hAnsi="Arial"/>
          <w:b/>
          <w:bCs/>
          <w:color w:val="0D9488"/>
          <w:sz w:val="26"/>
          <w:szCs w:val="26"/>
        </w:rPr>
        <w:t xml:space="preserve">15.1 IMPLAN® Economic Modeling</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IMPLAN (Impact Analysis for Planning) is an input-output (I-O) econometric model maintained by IMPLAN Group, LLC. It provides county-level, state-level, and national economic multipliers for 546 industries classified by NAICS codes.</w:t>
      </w:r>
    </w:p>
    <w:p>
      <w:pPr>
        <w:spacing w:after="100"/>
      </w:pPr>
    </w:p>
    <w:p>
      <w:pPr>
        <w:pStyle w:val="Heading2"/>
        <w:spacing w:after="160" w:before="280"/>
      </w:pPr>
      <w:r>
        <w:rPr>
          <w:rFonts w:ascii="Arial" w:cs="Arial" w:eastAsia="Arial" w:hAnsi="Arial"/>
          <w:b/>
          <w:bCs/>
          <w:color w:val="0D9488"/>
          <w:sz w:val="26"/>
          <w:szCs w:val="26"/>
        </w:rPr>
        <w:t xml:space="preserve">15.2 RIMS II Multipliers</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RIMS II (Regional Input-Output Modeling System) multipliers are provided by the U.S. Bureau of Economic Analysis (BEA). Type II multipliers include direct, indirect, and induced effects of economic activity.</w:t>
      </w:r>
    </w:p>
    <w:p>
      <w:pPr>
        <w:spacing w:after="100"/>
      </w:pPr>
    </w:p>
    <w:p>
      <w:pPr>
        <w:pStyle w:val="Heading2"/>
        <w:spacing w:after="160" w:before="280"/>
      </w:pPr>
      <w:r>
        <w:rPr>
          <w:rFonts w:ascii="Arial" w:cs="Arial" w:eastAsia="Arial" w:hAnsi="Arial"/>
          <w:b/>
          <w:bCs/>
          <w:color w:val="0D9488"/>
          <w:sz w:val="26"/>
          <w:szCs w:val="26"/>
        </w:rPr>
        <w:t xml:space="preserve">15.3 EPI Employment Multipliers</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The Economic Policy Institute (EPI) publishes employment multipliers reflecting the relationship between direct job creation and subsequent job generation through supply chain and consumer demand channels.</w:t>
      </w:r>
    </w:p>
    <w:p>
      <w:pPr>
        <w:spacing w:after="100"/>
      </w:pPr>
    </w:p>
    <w:p>
      <w:pPr>
        <w:pStyle w:val="Heading2"/>
        <w:spacing w:after="160" w:before="280"/>
      </w:pPr>
      <w:r>
        <w:rPr>
          <w:rFonts w:ascii="Arial" w:cs="Arial" w:eastAsia="Arial" w:hAnsi="Arial"/>
          <w:b/>
          <w:bCs/>
          <w:color w:val="0D9488"/>
          <w:sz w:val="26"/>
          <w:szCs w:val="26"/>
        </w:rPr>
        <w:t xml:space="preserve">15.4 Data Sources</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Primary data sources include: (1) U.S. Census Bureau (annual business surveys, payroll data), (2) Bureau of Economic Analysis (regional economic accounts), (3) Bureau of Labor Statistics (employment, wages, industry data), (4) NAICS industry classification system, (5) Company financial statements and operational data.</w:t>
      </w:r>
    </w:p>
    <w:p>
      <w:pPr>
        <w:spacing w:after="200"/>
      </w:pPr>
    </w:p>
    <w:p>
      <w:pPr>
        <w:jc w:val="center"/>
      </w:pPr>
      <w:r>
        <w:rPr>
          <w:rFonts w:ascii="Arial" w:cs="Arial" w:eastAsia="Arial" w:hAnsi="Arial"/>
          <w:i/>
          <w:iCs/>
          <w:color w:val="718096"/>
          <w:sz w:val="20"/>
          <w:szCs w:val="20"/>
        </w:rPr>
        <w:t xml:space="preserve">— Fim do Relatório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1" w:space="4"/>
      </w:pBdr>
      <w:tabs>
        <w:tab w:val="right" w:pos="9026"/>
      </w:tabs>
    </w:pPr>
    <w:r>
      <w:rPr>
        <w:rFonts w:ascii="Arial" w:cs="Arial" w:eastAsia="Arial" w:hAnsi="Arial"/>
        <w:color w:val="718096"/>
        <w:sz w:val="14"/>
        <w:szCs w:val="14"/>
      </w:rPr>
      <w:t xml:space="preserve">CONFIDENTIAL | Global Communication LLC | IMPACTO® Suite</w:t>
    </w:r>
    <w:r>
      <w:rPr>
        <w:rFonts w:ascii="Arial" w:cs="Arial" w:eastAsia="Arial" w:hAnsi="Arial"/>
        <w:color w:val="718096"/>
        <w:sz w:val="14"/>
        <w:szCs w:val="14"/>
      </w:rPr>
      <w:t xml:space="preserve">	Page </w:t>
    </w:r>
    <w:r>
      <w:rPr>
        <w:rFonts w:ascii="Arial" w:cs="Arial" w:eastAsia="Arial" w:hAnsi="Arial"/>
        <w:color w:val="71809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2" w:space="4"/>
      </w:pBdr>
      <w:tabs>
        <w:tab w:val="right" w:pos="9026"/>
      </w:tabs>
      <w:jc w:val="left"/>
    </w:pPr>
    <w:r>
      <w:rPr>
        <w:rFonts w:ascii="Arial" w:cs="Arial" w:eastAsia="Arial" w:hAnsi="Arial"/>
        <w:i/>
        <w:iCs/>
        <w:color w:val="718096"/>
        <w:sz w:val="16"/>
        <w:szCs w:val="16"/>
      </w:rPr>
      <w:t xml:space="preserve">IMPACTO® Análise de Impacto Econômico — Mattos Tactical Solutions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1628"/>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D948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2026-04-20T16:52:45.452Z</dcterms:created>
  <dcterms:modified xsi:type="dcterms:W3CDTF">2026-04-20T16:52:45.453Z</dcterms:modified>
</cp:coreProperties>
</file>

<file path=docProps/custom.xml><?xml version="1.0" encoding="utf-8"?>
<Properties xmlns="http://schemas.openxmlformats.org/officeDocument/2006/custom-properties" xmlns:vt="http://schemas.openxmlformats.org/officeDocument/2006/docPropsVTypes"/>
</file>